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3205D" w14:textId="2230EBC3" w:rsidR="001F4C4B" w:rsidRDefault="001F4C4B" w:rsidP="270DDC39">
      <w:pPr>
        <w:spacing w:line="480" w:lineRule="auto"/>
        <w:rPr>
          <w:color w:val="FF0000"/>
        </w:rPr>
      </w:pPr>
    </w:p>
    <w:p w14:paraId="2B3DA900" w14:textId="03BE91EA" w:rsidR="270DDC39" w:rsidRDefault="270DDC39" w:rsidP="270DDC39">
      <w:pPr>
        <w:rPr>
          <w:color w:val="FF0000"/>
        </w:rPr>
      </w:pPr>
    </w:p>
    <w:p w14:paraId="3F4C4ACB" w14:textId="344AF1AC" w:rsidR="2E426847" w:rsidRPr="00AB5F23" w:rsidRDefault="006E62FD" w:rsidP="42F4B425">
      <w:pPr>
        <w:spacing w:line="480" w:lineRule="auto"/>
        <w:jc w:val="center"/>
        <w:rPr>
          <w:color w:val="1F1C1D"/>
        </w:rPr>
      </w:pPr>
      <w:r w:rsidRPr="003D6741">
        <w:rPr>
          <w:color w:val="1F1C1D"/>
        </w:rPr>
        <w:t>Vitamin D</w:t>
      </w:r>
      <w:r w:rsidR="42F4B425" w:rsidRPr="003D6741">
        <w:rPr>
          <w:color w:val="1F1C1D"/>
        </w:rPr>
        <w:t xml:space="preserve"> Protocol </w:t>
      </w:r>
      <w:r w:rsidRPr="003D6741">
        <w:rPr>
          <w:color w:val="1F1C1D"/>
        </w:rPr>
        <w:t>in a MS Clinic</w:t>
      </w:r>
      <w:r w:rsidR="42F4B425" w:rsidRPr="42F4B425">
        <w:rPr>
          <w:color w:val="1F1C1D"/>
        </w:rPr>
        <w:t xml:space="preserve"> </w:t>
      </w:r>
    </w:p>
    <w:p w14:paraId="7DDD52B1" w14:textId="77777777" w:rsidR="00172CC2" w:rsidRPr="00AB5F23" w:rsidRDefault="269AEE2E" w:rsidP="001F4C4B">
      <w:pPr>
        <w:pStyle w:val="Heading1"/>
      </w:pPr>
      <w:bookmarkStart w:id="0" w:name="bkAuthor"/>
      <w:bookmarkEnd w:id="0"/>
      <w:r w:rsidRPr="00AB5F23">
        <w:t>Brittany Estep, BSN, RN</w:t>
      </w:r>
      <w:bookmarkStart w:id="1" w:name="bkAuthorAffil"/>
      <w:bookmarkEnd w:id="1"/>
    </w:p>
    <w:p w14:paraId="2EBA585F" w14:textId="77777777" w:rsidR="00172CC2" w:rsidRPr="00AB5F23" w:rsidRDefault="00172CC2" w:rsidP="00172CC2">
      <w:pPr>
        <w:pStyle w:val="APA"/>
        <w:ind w:firstLine="0"/>
        <w:jc w:val="center"/>
        <w:rPr>
          <w:szCs w:val="24"/>
        </w:rPr>
      </w:pPr>
    </w:p>
    <w:p w14:paraId="3DDD08F5" w14:textId="77777777" w:rsidR="00172CC2" w:rsidRPr="00AB5F23" w:rsidRDefault="269AEE2E" w:rsidP="00172CC2">
      <w:pPr>
        <w:pStyle w:val="APA"/>
        <w:spacing w:line="240" w:lineRule="auto"/>
        <w:ind w:firstLine="0"/>
        <w:jc w:val="center"/>
        <w:rPr>
          <w:szCs w:val="24"/>
        </w:rPr>
      </w:pPr>
      <w:r w:rsidRPr="00AB5F23">
        <w:rPr>
          <w:szCs w:val="24"/>
        </w:rPr>
        <w:t>Paper submitted in partial fulfillment of the</w:t>
      </w:r>
    </w:p>
    <w:p w14:paraId="63AD6DAD" w14:textId="77777777" w:rsidR="00172CC2" w:rsidRPr="00AB5F23" w:rsidRDefault="269AEE2E" w:rsidP="00925187">
      <w:pPr>
        <w:pStyle w:val="APA"/>
        <w:ind w:firstLine="0"/>
        <w:contextualSpacing/>
        <w:jc w:val="center"/>
        <w:rPr>
          <w:szCs w:val="24"/>
        </w:rPr>
      </w:pPr>
      <w:proofErr w:type="gramStart"/>
      <w:r w:rsidRPr="00AB5F23">
        <w:rPr>
          <w:szCs w:val="24"/>
        </w:rPr>
        <w:t>requirements</w:t>
      </w:r>
      <w:proofErr w:type="gramEnd"/>
      <w:r w:rsidRPr="00AB5F23">
        <w:rPr>
          <w:szCs w:val="24"/>
        </w:rPr>
        <w:t xml:space="preserve"> for the degree of</w:t>
      </w:r>
    </w:p>
    <w:p w14:paraId="0F557B6A" w14:textId="77777777" w:rsidR="00925187" w:rsidRPr="00AB5F23" w:rsidRDefault="00925187" w:rsidP="00925187">
      <w:pPr>
        <w:pStyle w:val="APA"/>
        <w:ind w:firstLine="0"/>
        <w:contextualSpacing/>
        <w:jc w:val="center"/>
        <w:rPr>
          <w:szCs w:val="24"/>
        </w:rPr>
      </w:pPr>
    </w:p>
    <w:p w14:paraId="5D6C44C2" w14:textId="77777777" w:rsidR="00172CC2" w:rsidRPr="00AB5F23" w:rsidRDefault="269AEE2E" w:rsidP="00925187">
      <w:pPr>
        <w:pStyle w:val="APA"/>
        <w:ind w:firstLine="0"/>
        <w:contextualSpacing/>
        <w:jc w:val="center"/>
        <w:rPr>
          <w:szCs w:val="24"/>
        </w:rPr>
      </w:pPr>
      <w:r w:rsidRPr="00AB5F23">
        <w:rPr>
          <w:szCs w:val="24"/>
        </w:rPr>
        <w:t>Doctor of Nursing Practice</w:t>
      </w:r>
    </w:p>
    <w:p w14:paraId="1D96A99C" w14:textId="77777777" w:rsidR="00925187" w:rsidRPr="00AB5F23" w:rsidRDefault="00925187" w:rsidP="00925187">
      <w:pPr>
        <w:pStyle w:val="APA"/>
        <w:ind w:firstLine="0"/>
        <w:contextualSpacing/>
        <w:jc w:val="center"/>
        <w:rPr>
          <w:szCs w:val="24"/>
        </w:rPr>
      </w:pPr>
    </w:p>
    <w:p w14:paraId="37F58510" w14:textId="77777777" w:rsidR="0014356D" w:rsidRPr="00AB5F23" w:rsidRDefault="269AEE2E" w:rsidP="00EE3BF3">
      <w:pPr>
        <w:pStyle w:val="APAHeadingCenter"/>
        <w:spacing w:line="240" w:lineRule="auto"/>
        <w:contextualSpacing/>
        <w:rPr>
          <w:szCs w:val="24"/>
        </w:rPr>
      </w:pPr>
      <w:bookmarkStart w:id="2" w:name="bmTitlePageInst"/>
      <w:r w:rsidRPr="00AB5F23">
        <w:rPr>
          <w:szCs w:val="24"/>
        </w:rPr>
        <w:t>East Carolina University</w:t>
      </w:r>
      <w:bookmarkEnd w:id="2"/>
    </w:p>
    <w:p w14:paraId="60FE83E9" w14:textId="77777777" w:rsidR="00EE3BF3" w:rsidRPr="00AB5F23" w:rsidRDefault="269AEE2E" w:rsidP="00EE3BF3">
      <w:pPr>
        <w:pStyle w:val="APA"/>
        <w:spacing w:line="240" w:lineRule="auto"/>
        <w:contextualSpacing/>
        <w:rPr>
          <w:szCs w:val="24"/>
        </w:rPr>
      </w:pPr>
      <w:r w:rsidRPr="00AB5F23">
        <w:rPr>
          <w:szCs w:val="24"/>
        </w:rPr>
        <w:t xml:space="preserve">                                                   College of Nursing</w:t>
      </w:r>
    </w:p>
    <w:p w14:paraId="63561995" w14:textId="77777777" w:rsidR="00EE3BF3" w:rsidRPr="00AB5F23" w:rsidRDefault="00EE3BF3" w:rsidP="008A3FF8">
      <w:pPr>
        <w:pStyle w:val="APA"/>
        <w:ind w:firstLine="0"/>
        <w:rPr>
          <w:szCs w:val="24"/>
        </w:rPr>
      </w:pPr>
      <w:bookmarkStart w:id="3" w:name="bmTitleAdd1"/>
      <w:bookmarkEnd w:id="3"/>
    </w:p>
    <w:p w14:paraId="79204463" w14:textId="180CCF7F" w:rsidR="0014356D" w:rsidRPr="00AB5F23" w:rsidRDefault="269AEE2E" w:rsidP="0014356D">
      <w:pPr>
        <w:pStyle w:val="APAHeadingCenter"/>
        <w:rPr>
          <w:szCs w:val="24"/>
        </w:rPr>
      </w:pPr>
      <w:bookmarkStart w:id="4" w:name="bmTitleAdd2"/>
      <w:bookmarkStart w:id="5" w:name="bmTitleAdd3"/>
      <w:bookmarkEnd w:id="4"/>
      <w:bookmarkEnd w:id="5"/>
      <w:r w:rsidRPr="00AB5F23">
        <w:rPr>
          <w:szCs w:val="24"/>
        </w:rPr>
        <w:t>Date Finalized</w:t>
      </w:r>
      <w:r w:rsidR="00FB370E">
        <w:rPr>
          <w:szCs w:val="24"/>
        </w:rPr>
        <w:t>: 07/18/19</w:t>
      </w:r>
    </w:p>
    <w:p w14:paraId="36D04617" w14:textId="77777777" w:rsidR="00086B5D" w:rsidRDefault="00086B5D" w:rsidP="00172CC2">
      <w:pPr>
        <w:pStyle w:val="APA"/>
      </w:pPr>
    </w:p>
    <w:p w14:paraId="44A11BE1" w14:textId="7D6A0FB8" w:rsidR="00644CFD" w:rsidRPr="00644CFD" w:rsidRDefault="00644CFD" w:rsidP="00644CFD">
      <w:pPr>
        <w:spacing w:line="480" w:lineRule="auto"/>
        <w:jc w:val="center"/>
        <w:rPr>
          <w:rFonts w:ascii="Times" w:eastAsia="Times" w:hAnsi="Times" w:cs="Times"/>
          <w:color w:val="000000" w:themeColor="text1"/>
        </w:rPr>
      </w:pPr>
      <w:r>
        <w:rPr>
          <w:b/>
          <w:bCs/>
        </w:rPr>
        <w:br w:type="page"/>
      </w:r>
      <w:r w:rsidRPr="00F4322E">
        <w:rPr>
          <w:rFonts w:eastAsia="Times"/>
          <w:b/>
          <w:bCs/>
          <w:color w:val="000000" w:themeColor="text1"/>
        </w:rPr>
        <w:lastRenderedPageBreak/>
        <w:t>Abstract</w:t>
      </w:r>
    </w:p>
    <w:p w14:paraId="73B75735" w14:textId="77777777" w:rsidR="00644CFD" w:rsidRPr="00210C6D" w:rsidRDefault="00644CFD" w:rsidP="00644CFD">
      <w:pPr>
        <w:pStyle w:val="paragraph"/>
        <w:spacing w:before="0" w:beforeAutospacing="0" w:after="0" w:afterAutospacing="0" w:line="480" w:lineRule="auto"/>
        <w:textAlignment w:val="baseline"/>
        <w:rPr>
          <w:rStyle w:val="eop"/>
          <w:rFonts w:ascii="Times" w:hAnsi="Times" w:cs="Segoe UI"/>
        </w:rPr>
      </w:pPr>
      <w:r w:rsidRPr="00210C6D">
        <w:rPr>
          <w:rStyle w:val="normaltextrun"/>
          <w:color w:val="000000"/>
        </w:rPr>
        <w:t> </w:t>
      </w:r>
      <w:r>
        <w:rPr>
          <w:rStyle w:val="normaltextrun"/>
          <w:color w:val="000000"/>
        </w:rPr>
        <w:tab/>
      </w:r>
      <w:r w:rsidRPr="00210C6D">
        <w:rPr>
          <w:rStyle w:val="normaltextrun"/>
          <w:rFonts w:ascii="Times" w:hAnsi="Times" w:cs="Segoe UI"/>
          <w:color w:val="000000"/>
        </w:rPr>
        <w:t>Vitamin D deficiency is a global health issue</w:t>
      </w:r>
      <w:r w:rsidRPr="00210C6D">
        <w:rPr>
          <w:rStyle w:val="normaltextrun"/>
          <w:color w:val="000000"/>
        </w:rPr>
        <w:t> </w:t>
      </w:r>
      <w:r w:rsidRPr="00210C6D">
        <w:rPr>
          <w:rStyle w:val="normaltextrun"/>
          <w:rFonts w:ascii="Times" w:hAnsi="Times" w:cs="Segoe UI"/>
          <w:color w:val="000000"/>
        </w:rPr>
        <w:t>affecting more than</w:t>
      </w:r>
      <w:r w:rsidRPr="00210C6D">
        <w:rPr>
          <w:rStyle w:val="normaltextrun"/>
          <w:color w:val="000000"/>
        </w:rPr>
        <w:t> </w:t>
      </w:r>
      <w:r w:rsidRPr="00210C6D">
        <w:rPr>
          <w:rStyle w:val="normaltextrun"/>
          <w:rFonts w:ascii="Times" w:hAnsi="Times" w:cs="Segoe UI"/>
          <w:color w:val="000000"/>
        </w:rPr>
        <w:t>half of</w:t>
      </w:r>
      <w:r w:rsidRPr="00210C6D">
        <w:rPr>
          <w:rStyle w:val="normaltextrun"/>
          <w:color w:val="000000"/>
        </w:rPr>
        <w:t> </w:t>
      </w:r>
      <w:r w:rsidRPr="00210C6D">
        <w:rPr>
          <w:rStyle w:val="normaltextrun"/>
          <w:rFonts w:ascii="Times" w:hAnsi="Times" w:cs="Segoe UI"/>
          <w:color w:val="000000"/>
        </w:rPr>
        <w:t>society.</w:t>
      </w:r>
      <w:r w:rsidRPr="00210C6D">
        <w:rPr>
          <w:rStyle w:val="normaltextrun"/>
          <w:color w:val="000000"/>
        </w:rPr>
        <w:t> </w:t>
      </w:r>
      <w:r w:rsidRPr="00210C6D">
        <w:rPr>
          <w:rStyle w:val="normaltextrun"/>
          <w:rFonts w:ascii="Times" w:hAnsi="Times" w:cs="Segoe UI"/>
          <w:color w:val="000000"/>
        </w:rPr>
        <w:t xml:space="preserve"> </w:t>
      </w:r>
      <w:proofErr w:type="gramStart"/>
      <w:r w:rsidRPr="00210C6D">
        <w:rPr>
          <w:rStyle w:val="normaltextrun"/>
          <w:rFonts w:ascii="Times" w:hAnsi="Times" w:cs="Segoe UI"/>
          <w:color w:val="000000"/>
        </w:rPr>
        <w:t>Despite</w:t>
      </w:r>
      <w:proofErr w:type="gramEnd"/>
      <w:r w:rsidRPr="00210C6D">
        <w:rPr>
          <w:rStyle w:val="normaltextrun"/>
          <w:rFonts w:ascii="Times" w:hAnsi="Times" w:cs="Segoe UI"/>
          <w:color w:val="000000"/>
        </w:rPr>
        <w:t xml:space="preserve"> the existence of laboratory screening test and effective supplementation treatment, many vitamin D deficiencies go undetected and untreated.</w:t>
      </w:r>
      <w:r w:rsidRPr="00210C6D">
        <w:rPr>
          <w:rStyle w:val="normaltextrun"/>
          <w:color w:val="000000"/>
        </w:rPr>
        <w:t>  </w:t>
      </w:r>
      <w:r w:rsidRPr="00210C6D">
        <w:rPr>
          <w:rStyle w:val="normaltextrun"/>
          <w:rFonts w:ascii="Times" w:hAnsi="Times" w:cs="Segoe UI"/>
          <w:color w:val="000000"/>
        </w:rPr>
        <w:t xml:space="preserve"> Consequences of undetected and untreated vitamin</w:t>
      </w:r>
      <w:r w:rsidRPr="00210C6D">
        <w:rPr>
          <w:rStyle w:val="normaltextrun"/>
          <w:color w:val="000000"/>
        </w:rPr>
        <w:t> </w:t>
      </w:r>
      <w:r w:rsidRPr="00210C6D">
        <w:rPr>
          <w:rStyle w:val="normaltextrun"/>
          <w:rFonts w:ascii="Times" w:hAnsi="Times" w:cs="Segoe UI"/>
          <w:color w:val="000000"/>
        </w:rPr>
        <w:t>D</w:t>
      </w:r>
      <w:r w:rsidRPr="00210C6D">
        <w:rPr>
          <w:rStyle w:val="normaltextrun"/>
          <w:color w:val="000000"/>
        </w:rPr>
        <w:t> </w:t>
      </w:r>
      <w:r w:rsidRPr="00210C6D">
        <w:rPr>
          <w:rStyle w:val="normaltextrun"/>
          <w:rFonts w:ascii="Times" w:hAnsi="Times" w:cs="Segoe UI"/>
          <w:color w:val="000000"/>
        </w:rPr>
        <w:t>deficiencies in Multiple Sclerosis patients can have detrimental lifetime effects.</w:t>
      </w:r>
      <w:r>
        <w:rPr>
          <w:rStyle w:val="normaltextrun"/>
          <w:rFonts w:ascii="Times" w:hAnsi="Times" w:cs="Segoe UI"/>
          <w:color w:val="000000"/>
        </w:rPr>
        <w:t xml:space="preserve">  The purpose of this project was to create and implement a vitamin D protocol for increased screening and reduction of undetected and untreated deficiencies.  </w:t>
      </w:r>
      <w:r w:rsidRPr="00210C6D">
        <w:rPr>
          <w:rStyle w:val="normaltextrun"/>
        </w:rPr>
        <w:t> </w:t>
      </w:r>
    </w:p>
    <w:p w14:paraId="5B998F9A" w14:textId="69D897B1" w:rsidR="00644CFD" w:rsidRDefault="00644CFD" w:rsidP="00644CFD">
      <w:pPr>
        <w:pStyle w:val="paragraph"/>
        <w:spacing w:before="0" w:beforeAutospacing="0" w:after="0" w:afterAutospacing="0" w:line="480" w:lineRule="auto"/>
        <w:ind w:firstLine="720"/>
        <w:textAlignment w:val="baseline"/>
        <w:rPr>
          <w:color w:val="000000" w:themeColor="text1"/>
        </w:rPr>
      </w:pPr>
      <w:r w:rsidRPr="00210C6D">
        <w:rPr>
          <w:rStyle w:val="normaltextrun"/>
          <w:color w:val="000000"/>
        </w:rPr>
        <w:t>Education was provided to MS clinic providers regarding current </w:t>
      </w:r>
      <w:r w:rsidRPr="00210C6D">
        <w:rPr>
          <w:rStyle w:val="contextualspellingandgrammarerror"/>
          <w:color w:val="000000"/>
        </w:rPr>
        <w:t>evidence-based</w:t>
      </w:r>
      <w:r w:rsidRPr="00210C6D">
        <w:rPr>
          <w:rStyle w:val="normaltextrun"/>
          <w:color w:val="000000"/>
        </w:rPr>
        <w:t> guidelines for vitamin D deficiency screening and testing</w:t>
      </w:r>
      <w:r>
        <w:rPr>
          <w:rStyle w:val="normaltextrun"/>
          <w:color w:val="000000"/>
        </w:rPr>
        <w:t>.  A v</w:t>
      </w:r>
      <w:r w:rsidRPr="00210C6D">
        <w:rPr>
          <w:rStyle w:val="normaltextrun"/>
          <w:color w:val="000000"/>
        </w:rPr>
        <w:t>itamin D</w:t>
      </w:r>
      <w:r>
        <w:rPr>
          <w:rStyle w:val="normaltextrun"/>
          <w:color w:val="000000"/>
        </w:rPr>
        <w:t xml:space="preserve"> </w:t>
      </w:r>
      <w:r w:rsidRPr="00210C6D">
        <w:rPr>
          <w:rStyle w:val="normaltextrun"/>
          <w:color w:val="000000"/>
        </w:rPr>
        <w:t>protocol was developed upon provider consensus of the vitamin D deficiency value definition and subsequent recommended supplementation dosing.  Providers were prompted by</w:t>
      </w:r>
      <w:r>
        <w:rPr>
          <w:rStyle w:val="normaltextrun"/>
          <w:color w:val="000000"/>
        </w:rPr>
        <w:t xml:space="preserve"> </w:t>
      </w:r>
      <w:r w:rsidRPr="00210C6D">
        <w:rPr>
          <w:rStyle w:val="normaltextrun"/>
          <w:color w:val="000000"/>
        </w:rPr>
        <w:t>chart alerts for patients who met criteria for routine vitamin D screening and supplementation for further test ordering or follow up.</w:t>
      </w:r>
      <w:r>
        <w:rPr>
          <w:rStyle w:val="normaltextrun"/>
          <w:color w:val="000000"/>
        </w:rPr>
        <w:t xml:space="preserve">  </w:t>
      </w:r>
      <w:r>
        <w:rPr>
          <w:color w:val="000000" w:themeColor="text1"/>
        </w:rPr>
        <w:t xml:space="preserve">Through weekly chart audits, individual </w:t>
      </w:r>
      <w:r w:rsidR="00BA4D0A">
        <w:rPr>
          <w:color w:val="000000" w:themeColor="text1"/>
        </w:rPr>
        <w:t>provider’s</w:t>
      </w:r>
      <w:r>
        <w:rPr>
          <w:color w:val="000000" w:themeColor="text1"/>
        </w:rPr>
        <w:t xml:space="preserve"> compliance to vitamin D ordering and vitamin D supplementation were tracked and reviewed monthly with the provider.  </w:t>
      </w:r>
      <w:r>
        <w:rPr>
          <w:rStyle w:val="normaltextrun"/>
        </w:rPr>
        <w:t xml:space="preserve">Data was collected on the number </w:t>
      </w:r>
      <w:r w:rsidRPr="00A86824">
        <w:rPr>
          <w:rStyle w:val="normaltextrun"/>
        </w:rPr>
        <w:t>of patients who met criteria for vitamin D testing per the protocol</w:t>
      </w:r>
      <w:r>
        <w:rPr>
          <w:rStyle w:val="normaltextrun"/>
        </w:rPr>
        <w:t xml:space="preserve"> were compared</w:t>
      </w:r>
      <w:r w:rsidRPr="00A86824">
        <w:rPr>
          <w:rStyle w:val="normaltextrun"/>
        </w:rPr>
        <w:t xml:space="preserve"> with the number of patients whom vitamin D testing was ordered for.</w:t>
      </w:r>
      <w:r>
        <w:rPr>
          <w:rStyle w:val="normaltextrun"/>
        </w:rPr>
        <w:t xml:space="preserve">  </w:t>
      </w:r>
      <w:r>
        <w:rPr>
          <w:color w:val="000000" w:themeColor="text1"/>
        </w:rPr>
        <w:t>Of the 726</w:t>
      </w:r>
      <w:r w:rsidRPr="02BE99E2">
        <w:rPr>
          <w:color w:val="000000" w:themeColor="text1"/>
        </w:rPr>
        <w:t xml:space="preserve"> multiple sclerosis patients</w:t>
      </w:r>
      <w:r>
        <w:rPr>
          <w:color w:val="000000" w:themeColor="text1"/>
        </w:rPr>
        <w:t xml:space="preserve"> seen in the MS clinic</w:t>
      </w:r>
      <w:r w:rsidRPr="02BE99E2">
        <w:rPr>
          <w:color w:val="000000" w:themeColor="text1"/>
        </w:rPr>
        <w:t xml:space="preserve"> </w:t>
      </w:r>
      <w:r>
        <w:rPr>
          <w:color w:val="000000" w:themeColor="text1"/>
        </w:rPr>
        <w:t xml:space="preserve">during project implementation, </w:t>
      </w:r>
      <w:r w:rsidRPr="02BE99E2">
        <w:rPr>
          <w:color w:val="000000" w:themeColor="text1"/>
        </w:rPr>
        <w:t>1</w:t>
      </w:r>
      <w:r>
        <w:rPr>
          <w:color w:val="000000" w:themeColor="text1"/>
        </w:rPr>
        <w:t xml:space="preserve">51 </w:t>
      </w:r>
      <w:r w:rsidRPr="007D6DC0">
        <w:rPr>
          <w:color w:val="000000" w:themeColor="text1"/>
        </w:rPr>
        <w:t>(20.8%)</w:t>
      </w:r>
      <w:r w:rsidRPr="02BE99E2">
        <w:rPr>
          <w:color w:val="000000" w:themeColor="text1"/>
        </w:rPr>
        <w:t xml:space="preserve"> vitamin D tests were ordered for completion</w:t>
      </w:r>
      <w:r>
        <w:rPr>
          <w:rStyle w:val="eop"/>
        </w:rPr>
        <w:t xml:space="preserve">.  </w:t>
      </w:r>
      <w:r w:rsidRPr="00A86824">
        <w:rPr>
          <w:rStyle w:val="eop"/>
        </w:rPr>
        <w:t xml:space="preserve">This was an improvement by 2% compared to pre-implementation. </w:t>
      </w:r>
      <w:r>
        <w:rPr>
          <w:color w:val="000000" w:themeColor="text1"/>
        </w:rPr>
        <w:t>Of the 151 patients, 82 (54%) vitamin D deficiencies were identified and 62 (76%) vitamin D supplement prescriptions written.</w:t>
      </w:r>
    </w:p>
    <w:p w14:paraId="2D26F0D2" w14:textId="45748C78" w:rsidR="00644CFD" w:rsidRDefault="00644CFD" w:rsidP="00644CFD">
      <w:pPr>
        <w:pStyle w:val="paragraph"/>
        <w:spacing w:before="0" w:beforeAutospacing="0" w:after="0" w:afterAutospacing="0" w:line="480" w:lineRule="auto"/>
        <w:ind w:firstLine="720"/>
        <w:textAlignment w:val="baseline"/>
        <w:rPr>
          <w:rFonts w:eastAsia="Calibri"/>
        </w:rPr>
      </w:pPr>
      <w:r w:rsidRPr="00A86824">
        <w:rPr>
          <w:rStyle w:val="normaltextrun"/>
          <w:color w:val="000000"/>
        </w:rPr>
        <w:t>Developing a protocol for routine vitamin D screening and supplementation resulted in increased screening and supplementation of vitamin D deficiencies.</w:t>
      </w:r>
      <w:r w:rsidR="000C6A6A">
        <w:rPr>
          <w:rStyle w:val="normaltextrun"/>
          <w:color w:val="000000"/>
        </w:rPr>
        <w:t xml:space="preserve">  I</w:t>
      </w:r>
      <w:r>
        <w:t xml:space="preserve">mproved screening contributes to preventative healthcare and may lead to lower cost of healthcare. </w:t>
      </w:r>
      <w:r w:rsidR="000C6A6A">
        <w:t xml:space="preserve"> This project </w:t>
      </w:r>
      <w:r w:rsidR="000C6A6A">
        <w:lastRenderedPageBreak/>
        <w:t xml:space="preserve">established standardized care for the practice, which is known to improve patient outcomes and reduce costs.  </w:t>
      </w:r>
      <w:r>
        <w:rPr>
          <w:rFonts w:eastAsia="Calibri"/>
        </w:rPr>
        <w:t xml:space="preserve">This project translated the evidence on vitamin D and MS to help develop a unified, cost effective, and efficient approach to screening and treatment.  </w:t>
      </w:r>
    </w:p>
    <w:p w14:paraId="49F17504" w14:textId="77777777" w:rsidR="00644CFD" w:rsidRDefault="00644CFD" w:rsidP="00644CFD">
      <w:pPr>
        <w:pStyle w:val="paragraph"/>
        <w:spacing w:before="0" w:beforeAutospacing="0" w:after="0" w:afterAutospacing="0" w:line="480" w:lineRule="auto"/>
        <w:textAlignment w:val="baseline"/>
        <w:rPr>
          <w:rFonts w:eastAsia="Calibri"/>
        </w:rPr>
      </w:pPr>
    </w:p>
    <w:p w14:paraId="4F22F44B" w14:textId="77777777" w:rsidR="00644CFD" w:rsidRDefault="00644CFD" w:rsidP="00644CFD">
      <w:pPr>
        <w:spacing w:line="480" w:lineRule="auto"/>
      </w:pPr>
      <w:r w:rsidRPr="00111178">
        <w:rPr>
          <w:i/>
          <w:iCs/>
        </w:rPr>
        <w:t xml:space="preserve">Key words: </w:t>
      </w:r>
      <w:r>
        <w:t>vitamin D, vitamin D deficiency, multiple sclerosis, screening, supplementation, protocol; evidence-based practice.</w:t>
      </w:r>
    </w:p>
    <w:p w14:paraId="0E879911" w14:textId="0307ECEF" w:rsidR="00644CFD" w:rsidRDefault="00644CFD">
      <w:pPr>
        <w:rPr>
          <w:b/>
          <w:bCs/>
        </w:rPr>
      </w:pPr>
      <w:r>
        <w:rPr>
          <w:b/>
          <w:bCs/>
        </w:rPr>
        <w:br w:type="page"/>
      </w:r>
    </w:p>
    <w:p w14:paraId="77A32891" w14:textId="1B491755" w:rsidR="00E37476" w:rsidRPr="00E37476" w:rsidRDefault="00E37476" w:rsidP="00E37476">
      <w:pPr>
        <w:spacing w:line="480" w:lineRule="auto"/>
        <w:jc w:val="center"/>
        <w:rPr>
          <w:b/>
          <w:bCs/>
        </w:rPr>
      </w:pPr>
      <w:r w:rsidRPr="00E37476">
        <w:rPr>
          <w:b/>
          <w:bCs/>
        </w:rPr>
        <w:lastRenderedPageBreak/>
        <w:t>Table of Contents</w:t>
      </w:r>
    </w:p>
    <w:p w14:paraId="49583B9C" w14:textId="3AEB3E1F" w:rsidR="00E37476" w:rsidRPr="00D91D72" w:rsidRDefault="00E37476" w:rsidP="00E37476">
      <w:pPr>
        <w:spacing w:line="480" w:lineRule="auto"/>
      </w:pPr>
      <w:r w:rsidRPr="00D91D72">
        <w:t>Abstract..................................................................................................................................</w:t>
      </w:r>
      <w:r w:rsidRPr="00D91D72">
        <w:tab/>
      </w:r>
      <w:r w:rsidR="00644CFD">
        <w:t>2</w:t>
      </w:r>
    </w:p>
    <w:p w14:paraId="58F3B01A" w14:textId="59467A6F" w:rsidR="00E37476" w:rsidRPr="00D91D72" w:rsidRDefault="00E37476" w:rsidP="00E37476">
      <w:pPr>
        <w:spacing w:line="480" w:lineRule="auto"/>
      </w:pPr>
      <w:r w:rsidRPr="00D91D72">
        <w:t>Chapter One:  Overview of the Problem of Interest..............................................................</w:t>
      </w:r>
      <w:r w:rsidRPr="00D91D72">
        <w:tab/>
      </w:r>
      <w:r>
        <w:t>9</w:t>
      </w:r>
    </w:p>
    <w:p w14:paraId="17B7CCE2" w14:textId="0013EACC" w:rsidR="00E37476" w:rsidRPr="00D91D72" w:rsidRDefault="00E37476" w:rsidP="00E37476">
      <w:pPr>
        <w:spacing w:line="480" w:lineRule="auto"/>
        <w:ind w:firstLine="720"/>
      </w:pPr>
      <w:r w:rsidRPr="00D91D72">
        <w:t>Background Information............................................................................................</w:t>
      </w:r>
      <w:r w:rsidRPr="00D91D72">
        <w:tab/>
      </w:r>
      <w:r>
        <w:t>9</w:t>
      </w:r>
    </w:p>
    <w:p w14:paraId="013BC21D" w14:textId="3F0B1C57" w:rsidR="00E37476" w:rsidRPr="00D91D72" w:rsidRDefault="00E37476" w:rsidP="00E37476">
      <w:pPr>
        <w:spacing w:line="480" w:lineRule="auto"/>
        <w:ind w:firstLine="720"/>
      </w:pPr>
      <w:r w:rsidRPr="00D91D72">
        <w:t>Significance of Clinical Problem...............................................................................</w:t>
      </w:r>
      <w:r w:rsidRPr="00D91D72">
        <w:tab/>
      </w:r>
      <w:r>
        <w:t>9</w:t>
      </w:r>
    </w:p>
    <w:p w14:paraId="6C927500" w14:textId="7C2D9E00" w:rsidR="00E37476" w:rsidRPr="00D91D72" w:rsidRDefault="00E37476" w:rsidP="00E37476">
      <w:pPr>
        <w:spacing w:line="480" w:lineRule="auto"/>
        <w:ind w:firstLine="720"/>
      </w:pPr>
      <w:r w:rsidRPr="00D91D72">
        <w:t>Question Guiding Inquiry (PICO).............................................................................</w:t>
      </w:r>
      <w:r w:rsidRPr="00D91D72">
        <w:tab/>
      </w:r>
      <w:r>
        <w:t>11</w:t>
      </w:r>
    </w:p>
    <w:p w14:paraId="499F701F" w14:textId="6D4D1EBD" w:rsidR="00E37476" w:rsidRPr="00D91D72" w:rsidRDefault="00E37476" w:rsidP="00E37476">
      <w:pPr>
        <w:spacing w:line="480" w:lineRule="auto"/>
        <w:ind w:left="720" w:firstLine="720"/>
        <w:jc w:val="both"/>
      </w:pPr>
      <w:r w:rsidRPr="00D91D72">
        <w:t>Population......................................................................................................</w:t>
      </w:r>
      <w:r w:rsidRPr="00D91D72">
        <w:tab/>
        <w:t>1</w:t>
      </w:r>
      <w:r>
        <w:t>2</w:t>
      </w:r>
    </w:p>
    <w:p w14:paraId="049D22AB" w14:textId="39F8F71B" w:rsidR="00E37476" w:rsidRPr="00D91D72" w:rsidRDefault="00E37476" w:rsidP="00E37476">
      <w:pPr>
        <w:spacing w:line="480" w:lineRule="auto"/>
        <w:ind w:left="720" w:firstLine="720"/>
        <w:jc w:val="both"/>
      </w:pPr>
      <w:r w:rsidRPr="00D91D72">
        <w:t>Intervention....................................................................................................</w:t>
      </w:r>
      <w:r w:rsidRPr="00D91D72">
        <w:tab/>
        <w:t>1</w:t>
      </w:r>
      <w:r>
        <w:t>2</w:t>
      </w:r>
    </w:p>
    <w:p w14:paraId="1B479F96" w14:textId="0FAB6001" w:rsidR="00E37476" w:rsidRPr="00D91D72" w:rsidRDefault="00E37476" w:rsidP="00E37476">
      <w:pPr>
        <w:spacing w:line="480" w:lineRule="auto"/>
        <w:ind w:left="720" w:firstLine="720"/>
        <w:jc w:val="both"/>
      </w:pPr>
      <w:r w:rsidRPr="00D91D72">
        <w:t>Comparison....................................................................................................</w:t>
      </w:r>
      <w:r w:rsidRPr="00D91D72">
        <w:tab/>
        <w:t>1</w:t>
      </w:r>
      <w:r>
        <w:t>2</w:t>
      </w:r>
    </w:p>
    <w:p w14:paraId="25C21071" w14:textId="4ACF9B07" w:rsidR="00E37476" w:rsidRPr="00D91D72" w:rsidRDefault="00E37476" w:rsidP="00E37476">
      <w:pPr>
        <w:spacing w:line="480" w:lineRule="auto"/>
        <w:ind w:left="720" w:firstLine="720"/>
        <w:jc w:val="both"/>
      </w:pPr>
      <w:r w:rsidRPr="00D91D72">
        <w:t>Outcome(s).....................................................................................................</w:t>
      </w:r>
      <w:r w:rsidRPr="00D91D72">
        <w:tab/>
        <w:t>1</w:t>
      </w:r>
      <w:r>
        <w:t>2</w:t>
      </w:r>
    </w:p>
    <w:p w14:paraId="20FD7573" w14:textId="2600EAAE" w:rsidR="00E37476" w:rsidRPr="00D91D72" w:rsidRDefault="00E37476" w:rsidP="00E37476">
      <w:pPr>
        <w:spacing w:line="480" w:lineRule="auto"/>
        <w:ind w:firstLine="720"/>
      </w:pPr>
      <w:r w:rsidRPr="00D91D72">
        <w:t>Summary....................................................................................................................</w:t>
      </w:r>
      <w:r w:rsidRPr="00D91D72">
        <w:tab/>
        <w:t>1</w:t>
      </w:r>
      <w:r>
        <w:t>2</w:t>
      </w:r>
    </w:p>
    <w:p w14:paraId="368F91AC" w14:textId="58AF7955" w:rsidR="00E37476" w:rsidRPr="00D91D72" w:rsidRDefault="00E37476" w:rsidP="00E37476">
      <w:pPr>
        <w:spacing w:line="480" w:lineRule="auto"/>
      </w:pPr>
      <w:r w:rsidRPr="00D91D72">
        <w:t>Chapter Two:  Review of Literature......................................................................................</w:t>
      </w:r>
      <w:r w:rsidRPr="00D91D72">
        <w:tab/>
        <w:t>1</w:t>
      </w:r>
      <w:r>
        <w:t>4</w:t>
      </w:r>
    </w:p>
    <w:p w14:paraId="3CD4459B" w14:textId="38455BD0" w:rsidR="00E37476" w:rsidRPr="00D91D72" w:rsidRDefault="00E37476" w:rsidP="00E37476">
      <w:pPr>
        <w:spacing w:line="480" w:lineRule="auto"/>
        <w:ind w:firstLine="720"/>
      </w:pPr>
      <w:r w:rsidRPr="00D91D72">
        <w:t>Methodology..............................................................................................................</w:t>
      </w:r>
      <w:r w:rsidRPr="00D91D72">
        <w:tab/>
        <w:t>1</w:t>
      </w:r>
      <w:r>
        <w:t>4</w:t>
      </w:r>
    </w:p>
    <w:p w14:paraId="367F2825" w14:textId="4A89E471" w:rsidR="00E37476" w:rsidRPr="00D91D72" w:rsidRDefault="00E37476" w:rsidP="00E37476">
      <w:pPr>
        <w:spacing w:line="480" w:lineRule="auto"/>
        <w:ind w:left="720" w:firstLine="720"/>
        <w:jc w:val="both"/>
      </w:pPr>
      <w:r w:rsidRPr="00D91D72">
        <w:t>Sampling strategies........................................................................................</w:t>
      </w:r>
      <w:r w:rsidRPr="00D91D72">
        <w:tab/>
        <w:t>1</w:t>
      </w:r>
      <w:r>
        <w:t>4</w:t>
      </w:r>
    </w:p>
    <w:p w14:paraId="4733EF4E" w14:textId="52E0AAA0" w:rsidR="00E37476" w:rsidRPr="00D91D72" w:rsidRDefault="00E37476" w:rsidP="00E37476">
      <w:pPr>
        <w:spacing w:line="480" w:lineRule="auto"/>
        <w:ind w:firstLine="720"/>
      </w:pPr>
      <w:r w:rsidRPr="00D91D72">
        <w:t>Literature Review Findings........................................................................................</w:t>
      </w:r>
      <w:r w:rsidRPr="00D91D72">
        <w:tab/>
        <w:t>1</w:t>
      </w:r>
      <w:r>
        <w:t>4</w:t>
      </w:r>
    </w:p>
    <w:p w14:paraId="2E705156" w14:textId="48185266" w:rsidR="00E37476" w:rsidRPr="00D91D72" w:rsidRDefault="00E37476" w:rsidP="00E37476">
      <w:pPr>
        <w:spacing w:line="480" w:lineRule="auto"/>
        <w:ind w:left="720" w:firstLine="720"/>
        <w:jc w:val="both"/>
      </w:pPr>
      <w:r w:rsidRPr="00D91D72">
        <w:t>V</w:t>
      </w:r>
      <w:r w:rsidR="00D30718">
        <w:t>itamin D m</w:t>
      </w:r>
      <w:r w:rsidRPr="00D91D72">
        <w:t>onitoring ..................................................................................</w:t>
      </w:r>
      <w:r w:rsidRPr="00D91D72">
        <w:tab/>
        <w:t>1</w:t>
      </w:r>
      <w:r>
        <w:t>4</w:t>
      </w:r>
    </w:p>
    <w:p w14:paraId="25ED2D74" w14:textId="5FD68D33" w:rsidR="00E37476" w:rsidRPr="00D91D72" w:rsidRDefault="00D30718" w:rsidP="00E37476">
      <w:pPr>
        <w:spacing w:line="480" w:lineRule="auto"/>
        <w:ind w:left="720" w:firstLine="720"/>
        <w:jc w:val="both"/>
      </w:pPr>
      <w:r>
        <w:t>Vitamin D s</w:t>
      </w:r>
      <w:r w:rsidR="00E37476" w:rsidRPr="00D91D72">
        <w:t>upplementation..........................................................................</w:t>
      </w:r>
      <w:r w:rsidR="00E37476" w:rsidRPr="00D91D72">
        <w:tab/>
        <w:t>1</w:t>
      </w:r>
      <w:r w:rsidR="00E37476">
        <w:t>6</w:t>
      </w:r>
    </w:p>
    <w:p w14:paraId="16F5937C" w14:textId="57FEBE17" w:rsidR="00E37476" w:rsidRPr="00D91D72" w:rsidRDefault="00D30718" w:rsidP="00E37476">
      <w:pPr>
        <w:spacing w:line="480" w:lineRule="auto"/>
        <w:ind w:left="720" w:firstLine="720"/>
        <w:jc w:val="both"/>
      </w:pPr>
      <w:r>
        <w:t>Standardization with p</w:t>
      </w:r>
      <w:r w:rsidR="00E37476" w:rsidRPr="00D91D72">
        <w:t>rotocols......................................................................</w:t>
      </w:r>
      <w:r w:rsidR="00E37476" w:rsidRPr="00D91D72">
        <w:tab/>
        <w:t>1</w:t>
      </w:r>
      <w:r w:rsidR="00E37476">
        <w:t>6</w:t>
      </w:r>
    </w:p>
    <w:p w14:paraId="6627B571" w14:textId="39E8105B" w:rsidR="00E37476" w:rsidRPr="00D91D72" w:rsidRDefault="00D30718" w:rsidP="00E37476">
      <w:pPr>
        <w:spacing w:line="480" w:lineRule="auto"/>
        <w:ind w:left="720" w:firstLine="720"/>
        <w:jc w:val="both"/>
      </w:pPr>
      <w:r>
        <w:t>Implementation of protocols for practice c</w:t>
      </w:r>
      <w:r w:rsidR="00E37476" w:rsidRPr="00D91D72">
        <w:t>hange.........................................</w:t>
      </w:r>
      <w:r w:rsidR="00E37476" w:rsidRPr="00D91D72">
        <w:tab/>
        <w:t>1</w:t>
      </w:r>
      <w:r w:rsidR="00E37476">
        <w:t>7</w:t>
      </w:r>
    </w:p>
    <w:p w14:paraId="1C688F23" w14:textId="4BB77BDB" w:rsidR="00E37476" w:rsidRPr="00D91D72" w:rsidRDefault="00E37476" w:rsidP="00E37476">
      <w:pPr>
        <w:spacing w:line="480" w:lineRule="auto"/>
        <w:ind w:firstLine="720"/>
      </w:pPr>
      <w:r w:rsidRPr="00D91D72">
        <w:t>Limitations of Literature Review Process.................................................................</w:t>
      </w:r>
      <w:r w:rsidRPr="00D91D72">
        <w:tab/>
        <w:t>1</w:t>
      </w:r>
      <w:r>
        <w:t>9</w:t>
      </w:r>
    </w:p>
    <w:p w14:paraId="7247F872" w14:textId="710AA02E" w:rsidR="00E37476" w:rsidRPr="00D91D72" w:rsidRDefault="00E37476" w:rsidP="00E37476">
      <w:pPr>
        <w:spacing w:line="480" w:lineRule="auto"/>
        <w:ind w:firstLine="720"/>
      </w:pPr>
      <w:r w:rsidRPr="00D91D72">
        <w:t>Discussion..................................................................................................................</w:t>
      </w:r>
      <w:r w:rsidRPr="00D91D72">
        <w:tab/>
        <w:t>1</w:t>
      </w:r>
      <w:r>
        <w:t>9</w:t>
      </w:r>
    </w:p>
    <w:p w14:paraId="4E13193C" w14:textId="5C3E1369" w:rsidR="00E37476" w:rsidRPr="00D91D72" w:rsidRDefault="00E37476" w:rsidP="00E37476">
      <w:pPr>
        <w:spacing w:line="480" w:lineRule="auto"/>
        <w:ind w:left="720" w:firstLine="720"/>
        <w:jc w:val="both"/>
      </w:pPr>
      <w:r w:rsidRPr="00D91D72">
        <w:t>Conclusions of findings.................................................................................</w:t>
      </w:r>
      <w:r w:rsidRPr="00D91D72">
        <w:tab/>
        <w:t>1</w:t>
      </w:r>
      <w:r>
        <w:t>9</w:t>
      </w:r>
    </w:p>
    <w:p w14:paraId="4DBBFB52" w14:textId="20FDBB25" w:rsidR="00E37476" w:rsidRPr="00D91D72" w:rsidRDefault="00E37476" w:rsidP="00E37476">
      <w:pPr>
        <w:spacing w:line="480" w:lineRule="auto"/>
        <w:ind w:left="720" w:firstLine="720"/>
        <w:jc w:val="both"/>
      </w:pPr>
      <w:r w:rsidRPr="00D91D72">
        <w:t>Advantages of findings..................................................................................</w:t>
      </w:r>
      <w:r w:rsidRPr="00D91D72">
        <w:tab/>
        <w:t>1</w:t>
      </w:r>
      <w:r>
        <w:t>9</w:t>
      </w:r>
    </w:p>
    <w:p w14:paraId="3FA5618A" w14:textId="7D8602E7" w:rsidR="00E37476" w:rsidRPr="00D91D72" w:rsidRDefault="00E37476" w:rsidP="00E37476">
      <w:pPr>
        <w:spacing w:line="480" w:lineRule="auto"/>
        <w:ind w:left="720" w:firstLine="720"/>
        <w:jc w:val="both"/>
      </w:pPr>
      <w:r w:rsidRPr="00D91D72">
        <w:lastRenderedPageBreak/>
        <w:t>Disadvantages of findings..............................................................................</w:t>
      </w:r>
      <w:r w:rsidRPr="00D91D72">
        <w:tab/>
      </w:r>
      <w:r>
        <w:t>20</w:t>
      </w:r>
    </w:p>
    <w:p w14:paraId="469BC26D" w14:textId="0DCE8612" w:rsidR="00E37476" w:rsidRPr="00D91D72" w:rsidRDefault="00E37476" w:rsidP="00E37476">
      <w:pPr>
        <w:spacing w:line="480" w:lineRule="auto"/>
        <w:ind w:left="720" w:firstLine="720"/>
        <w:jc w:val="both"/>
      </w:pPr>
      <w:r w:rsidRPr="00D91D72">
        <w:t>Utilization of findings in practice..................................................................</w:t>
      </w:r>
      <w:r w:rsidRPr="00D91D72">
        <w:tab/>
      </w:r>
      <w:r>
        <w:t>20</w:t>
      </w:r>
    </w:p>
    <w:p w14:paraId="607E9A86" w14:textId="38C19E7B" w:rsidR="00E37476" w:rsidRPr="00D91D72" w:rsidRDefault="00E37476" w:rsidP="00E37476">
      <w:pPr>
        <w:spacing w:line="480" w:lineRule="auto"/>
        <w:ind w:firstLine="720"/>
      </w:pPr>
      <w:r w:rsidRPr="00D91D72">
        <w:t>Summary....................................................................................................................</w:t>
      </w:r>
      <w:r w:rsidRPr="00D91D72">
        <w:tab/>
      </w:r>
      <w:r>
        <w:t>21</w:t>
      </w:r>
    </w:p>
    <w:p w14:paraId="73FAF918" w14:textId="7D7480E0" w:rsidR="00E37476" w:rsidRPr="00D91D72" w:rsidRDefault="00E37476" w:rsidP="00E37476">
      <w:pPr>
        <w:spacing w:line="480" w:lineRule="auto"/>
      </w:pPr>
      <w:r w:rsidRPr="00D91D72">
        <w:t>Chapter Three:  Theory and Concept Model for Evidence-based Practice...........................</w:t>
      </w:r>
      <w:r w:rsidRPr="00D91D72">
        <w:tab/>
        <w:t>2</w:t>
      </w:r>
      <w:r>
        <w:t>2</w:t>
      </w:r>
    </w:p>
    <w:p w14:paraId="7E32F591" w14:textId="661C3D10" w:rsidR="00E37476" w:rsidRPr="00D91D72" w:rsidRDefault="00E37476" w:rsidP="00E37476">
      <w:pPr>
        <w:spacing w:line="480" w:lineRule="auto"/>
        <w:ind w:firstLine="720"/>
      </w:pPr>
      <w:r w:rsidRPr="00D91D72">
        <w:t>Concept Analysis.......................................................................................................</w:t>
      </w:r>
      <w:r w:rsidRPr="00D91D72">
        <w:tab/>
        <w:t>2</w:t>
      </w:r>
      <w:r>
        <w:t>2</w:t>
      </w:r>
    </w:p>
    <w:p w14:paraId="0403B297" w14:textId="00259E92" w:rsidR="00E37476" w:rsidRPr="00D91D72" w:rsidRDefault="00E37476" w:rsidP="00E37476">
      <w:pPr>
        <w:spacing w:line="480" w:lineRule="auto"/>
        <w:ind w:firstLine="720"/>
      </w:pPr>
      <w:r w:rsidRPr="00D91D72">
        <w:t>Theoretical Framework..............................................................................................</w:t>
      </w:r>
      <w:r w:rsidRPr="00D91D72">
        <w:tab/>
        <w:t>2</w:t>
      </w:r>
      <w:r>
        <w:t>3</w:t>
      </w:r>
    </w:p>
    <w:p w14:paraId="1CE70886" w14:textId="009E06FC" w:rsidR="00E37476" w:rsidRPr="00D91D72" w:rsidRDefault="00E37476" w:rsidP="00E37476">
      <w:pPr>
        <w:spacing w:line="480" w:lineRule="auto"/>
        <w:ind w:left="720" w:firstLine="720"/>
        <w:jc w:val="both"/>
      </w:pPr>
      <w:r w:rsidRPr="00D91D72">
        <w:t>Application to practice change.......................................................................2</w:t>
      </w:r>
      <w:r>
        <w:t>4</w:t>
      </w:r>
    </w:p>
    <w:p w14:paraId="663EC2F6" w14:textId="5191418D" w:rsidR="00E37476" w:rsidRPr="00D91D72" w:rsidRDefault="00E37476" w:rsidP="00E37476">
      <w:pPr>
        <w:spacing w:line="480" w:lineRule="auto"/>
        <w:ind w:firstLine="720"/>
      </w:pPr>
      <w:r w:rsidRPr="00D91D72">
        <w:t>Pender’s Health Promotion Model………………………………………………… 2</w:t>
      </w:r>
      <w:r>
        <w:t>5</w:t>
      </w:r>
    </w:p>
    <w:p w14:paraId="10CA3FBF" w14:textId="64FA5BAF" w:rsidR="00E37476" w:rsidRPr="00D91D72" w:rsidRDefault="00E37476" w:rsidP="00E37476">
      <w:pPr>
        <w:spacing w:line="480" w:lineRule="auto"/>
        <w:ind w:firstLine="720"/>
      </w:pPr>
      <w:r w:rsidRPr="00D91D72">
        <w:tab/>
        <w:t>Application to practice change…………………………………………</w:t>
      </w:r>
      <w:r w:rsidR="0031057E">
        <w:t>.</w:t>
      </w:r>
      <w:r w:rsidR="0031057E" w:rsidRPr="00D91D72">
        <w:t>….</w:t>
      </w:r>
      <w:r w:rsidRPr="00D91D72">
        <w:t xml:space="preserve"> 2</w:t>
      </w:r>
      <w:r>
        <w:t>6</w:t>
      </w:r>
    </w:p>
    <w:p w14:paraId="39FC36D6" w14:textId="67B105C6" w:rsidR="00E37476" w:rsidRPr="00D91D72" w:rsidRDefault="00E37476" w:rsidP="00E37476">
      <w:pPr>
        <w:spacing w:line="480" w:lineRule="auto"/>
        <w:ind w:firstLine="720"/>
      </w:pPr>
      <w:r w:rsidRPr="00D91D72">
        <w:t>Evidence-Based Practice Change Theory................................................................. 2</w:t>
      </w:r>
      <w:r>
        <w:t>7</w:t>
      </w:r>
    </w:p>
    <w:p w14:paraId="1BD08F47" w14:textId="16EBB515" w:rsidR="00E37476" w:rsidRPr="00D91D72" w:rsidRDefault="00E37476" w:rsidP="00E37476">
      <w:pPr>
        <w:spacing w:line="480" w:lineRule="auto"/>
        <w:ind w:left="720" w:firstLine="720"/>
        <w:jc w:val="both"/>
      </w:pPr>
      <w:r w:rsidRPr="00D91D72">
        <w:t>Application to practice change......................................................................</w:t>
      </w:r>
      <w:r w:rsidRPr="00D91D72">
        <w:tab/>
        <w:t>2</w:t>
      </w:r>
      <w:r>
        <w:t>9</w:t>
      </w:r>
    </w:p>
    <w:p w14:paraId="2B1560F9" w14:textId="5A86BAC9" w:rsidR="00E37476" w:rsidRPr="00D91D72" w:rsidRDefault="00E37476" w:rsidP="00E37476">
      <w:pPr>
        <w:spacing w:line="480" w:lineRule="auto"/>
        <w:ind w:firstLine="720"/>
      </w:pPr>
      <w:r w:rsidRPr="00D91D72">
        <w:t>Summary....................................................................................................................</w:t>
      </w:r>
      <w:r w:rsidRPr="00D91D72">
        <w:tab/>
        <w:t>2</w:t>
      </w:r>
      <w:r>
        <w:t>9</w:t>
      </w:r>
    </w:p>
    <w:p w14:paraId="6E36038D" w14:textId="096EA52F" w:rsidR="00E37476" w:rsidRPr="00D91D72" w:rsidRDefault="00E37476" w:rsidP="00E37476">
      <w:pPr>
        <w:spacing w:line="480" w:lineRule="auto"/>
      </w:pPr>
      <w:r w:rsidRPr="00D91D72">
        <w:t>Chapter Four:  Pre-implementation Plan...............................................................................</w:t>
      </w:r>
      <w:r w:rsidRPr="00D91D72">
        <w:tab/>
      </w:r>
      <w:r>
        <w:t>31</w:t>
      </w:r>
    </w:p>
    <w:p w14:paraId="293322EC" w14:textId="24F44796" w:rsidR="00E37476" w:rsidRPr="00D91D72" w:rsidRDefault="00E37476" w:rsidP="00E37476">
      <w:pPr>
        <w:spacing w:line="480" w:lineRule="auto"/>
        <w:ind w:firstLine="720"/>
      </w:pPr>
      <w:r w:rsidRPr="00D91D72">
        <w:t>Project Purpose..........................................................................................................</w:t>
      </w:r>
      <w:r w:rsidRPr="00D91D72">
        <w:tab/>
      </w:r>
      <w:r>
        <w:t>31</w:t>
      </w:r>
    </w:p>
    <w:p w14:paraId="29CF8463" w14:textId="4CA59138" w:rsidR="00E37476" w:rsidRPr="00D91D72" w:rsidRDefault="00E37476" w:rsidP="00E37476">
      <w:pPr>
        <w:spacing w:line="480" w:lineRule="auto"/>
        <w:ind w:firstLine="720"/>
      </w:pPr>
      <w:r w:rsidRPr="00D91D72">
        <w:t>Project Management..................................................................................................</w:t>
      </w:r>
      <w:r w:rsidRPr="00D91D72">
        <w:tab/>
      </w:r>
      <w:r>
        <w:t>31</w:t>
      </w:r>
    </w:p>
    <w:p w14:paraId="19169CD7" w14:textId="35CFFF25" w:rsidR="00E37476" w:rsidRPr="00D91D72" w:rsidRDefault="00E37476" w:rsidP="00E37476">
      <w:pPr>
        <w:spacing w:line="480" w:lineRule="auto"/>
        <w:ind w:left="720" w:firstLine="720"/>
        <w:jc w:val="both"/>
      </w:pPr>
      <w:r w:rsidRPr="00D91D72">
        <w:t>Organizational readiness for change.............................................................</w:t>
      </w:r>
      <w:r w:rsidRPr="00D91D72">
        <w:tab/>
        <w:t>3</w:t>
      </w:r>
      <w:r w:rsidR="00D85123">
        <w:t>1</w:t>
      </w:r>
    </w:p>
    <w:p w14:paraId="138B938A" w14:textId="44B04438" w:rsidR="00E37476" w:rsidRPr="00D91D72" w:rsidRDefault="00E37476" w:rsidP="00E37476">
      <w:pPr>
        <w:spacing w:line="480" w:lineRule="auto"/>
        <w:ind w:left="720" w:firstLine="720"/>
        <w:jc w:val="both"/>
      </w:pPr>
      <w:r w:rsidRPr="00D91D72">
        <w:t>Inter-professional collaboration....................................................................</w:t>
      </w:r>
      <w:r w:rsidRPr="00D91D72">
        <w:tab/>
        <w:t>3</w:t>
      </w:r>
      <w:r>
        <w:t>2</w:t>
      </w:r>
    </w:p>
    <w:p w14:paraId="6CA7C7C8" w14:textId="653CCAE2" w:rsidR="00E37476" w:rsidRPr="00D91D72" w:rsidRDefault="00E37476" w:rsidP="00E37476">
      <w:pPr>
        <w:spacing w:line="480" w:lineRule="auto"/>
        <w:ind w:left="720" w:firstLine="720"/>
        <w:jc w:val="both"/>
      </w:pPr>
      <w:r w:rsidRPr="00D91D72">
        <w:t>Risk management assessment.......................................................................</w:t>
      </w:r>
      <w:r w:rsidRPr="00D91D72">
        <w:tab/>
        <w:t>3</w:t>
      </w:r>
      <w:r>
        <w:t>4</w:t>
      </w:r>
    </w:p>
    <w:p w14:paraId="7BA83BC3" w14:textId="70515182" w:rsidR="00E37476" w:rsidRPr="00D91D72" w:rsidRDefault="00E37476" w:rsidP="00E37476">
      <w:pPr>
        <w:spacing w:line="480" w:lineRule="auto"/>
        <w:ind w:left="720" w:firstLine="720"/>
        <w:jc w:val="both"/>
      </w:pPr>
      <w:r w:rsidRPr="00D91D72">
        <w:t>Organizational approval process...................................................................</w:t>
      </w:r>
      <w:r w:rsidRPr="00D91D72">
        <w:tab/>
        <w:t>3</w:t>
      </w:r>
      <w:r>
        <w:t>5</w:t>
      </w:r>
    </w:p>
    <w:p w14:paraId="0009AEA4" w14:textId="6F5E9AE1" w:rsidR="00E37476" w:rsidRPr="00D91D72" w:rsidRDefault="00E37476" w:rsidP="00E37476">
      <w:pPr>
        <w:spacing w:line="480" w:lineRule="auto"/>
        <w:ind w:left="720" w:firstLine="720"/>
        <w:jc w:val="both"/>
      </w:pPr>
      <w:r w:rsidRPr="00D91D72">
        <w:t>Information technology.................................................................................</w:t>
      </w:r>
      <w:r w:rsidRPr="00D91D72">
        <w:tab/>
        <w:t>3</w:t>
      </w:r>
      <w:r>
        <w:t>5</w:t>
      </w:r>
    </w:p>
    <w:p w14:paraId="0E7D745E" w14:textId="163E777A" w:rsidR="00E37476" w:rsidRPr="00D91D72" w:rsidRDefault="00E37476" w:rsidP="00E37476">
      <w:pPr>
        <w:spacing w:line="480" w:lineRule="auto"/>
        <w:ind w:firstLine="720"/>
      </w:pPr>
      <w:r w:rsidRPr="00D91D72">
        <w:t>Cost Analysis of Materials Needed for Project.........................................................</w:t>
      </w:r>
      <w:r w:rsidRPr="00D91D72">
        <w:tab/>
        <w:t>3</w:t>
      </w:r>
      <w:r>
        <w:t>6</w:t>
      </w:r>
    </w:p>
    <w:p w14:paraId="7DE5E2C2" w14:textId="6ED1080B" w:rsidR="00E37476" w:rsidRPr="00D91D72" w:rsidRDefault="00E37476" w:rsidP="00E37476">
      <w:pPr>
        <w:spacing w:line="480" w:lineRule="auto"/>
        <w:ind w:firstLine="720"/>
      </w:pPr>
      <w:r w:rsidRPr="00D91D72">
        <w:t>Plans for Institutional Review Board Approval.........................................................</w:t>
      </w:r>
      <w:r w:rsidRPr="00D91D72">
        <w:tab/>
        <w:t>3</w:t>
      </w:r>
      <w:r>
        <w:t>6</w:t>
      </w:r>
    </w:p>
    <w:p w14:paraId="77392534" w14:textId="66D8E5E1" w:rsidR="00E37476" w:rsidRPr="00D91D72" w:rsidRDefault="00E37476" w:rsidP="00E37476">
      <w:pPr>
        <w:spacing w:line="480" w:lineRule="auto"/>
        <w:ind w:firstLine="720"/>
      </w:pPr>
      <w:r w:rsidRPr="00D91D72">
        <w:t>Plan for Project Evaluation........................................................................................</w:t>
      </w:r>
      <w:r w:rsidRPr="00D91D72">
        <w:tab/>
        <w:t>3</w:t>
      </w:r>
      <w:r>
        <w:t>6</w:t>
      </w:r>
    </w:p>
    <w:p w14:paraId="665525EA" w14:textId="23773C57" w:rsidR="00E37476" w:rsidRPr="00D91D72" w:rsidRDefault="00E37476" w:rsidP="00E37476">
      <w:pPr>
        <w:spacing w:line="480" w:lineRule="auto"/>
        <w:ind w:left="720" w:firstLine="720"/>
        <w:jc w:val="both"/>
      </w:pPr>
      <w:r w:rsidRPr="00D91D72">
        <w:lastRenderedPageBreak/>
        <w:t>Demographics................................................................................................</w:t>
      </w:r>
      <w:r w:rsidRPr="00D91D72">
        <w:tab/>
        <w:t>3</w:t>
      </w:r>
      <w:r>
        <w:t>6</w:t>
      </w:r>
    </w:p>
    <w:p w14:paraId="6B9C5CBE" w14:textId="6E16261C" w:rsidR="00E37476" w:rsidRPr="00D91D72" w:rsidRDefault="00E37476" w:rsidP="00E37476">
      <w:pPr>
        <w:spacing w:line="480" w:lineRule="auto"/>
        <w:ind w:left="720" w:firstLine="720"/>
        <w:jc w:val="both"/>
      </w:pPr>
      <w:r w:rsidRPr="00D91D72">
        <w:t>Outcome measurement..................................................................................</w:t>
      </w:r>
      <w:r w:rsidRPr="00D91D72">
        <w:tab/>
        <w:t>3</w:t>
      </w:r>
      <w:r>
        <w:t>6</w:t>
      </w:r>
    </w:p>
    <w:p w14:paraId="689EE3F3" w14:textId="3715CB3F" w:rsidR="00E37476" w:rsidRPr="00D91D72" w:rsidRDefault="00E37476" w:rsidP="00E37476">
      <w:pPr>
        <w:spacing w:line="480" w:lineRule="auto"/>
        <w:ind w:left="1440" w:firstLine="720"/>
        <w:jc w:val="both"/>
      </w:pPr>
      <w:r w:rsidRPr="00D91D72">
        <w:t>Evaluation tool...................................................................................</w:t>
      </w:r>
      <w:r w:rsidRPr="00D91D72">
        <w:tab/>
        <w:t>3</w:t>
      </w:r>
      <w:r>
        <w:t>7</w:t>
      </w:r>
    </w:p>
    <w:p w14:paraId="329BD617" w14:textId="0B2AEDEA" w:rsidR="00E37476" w:rsidRPr="00D91D72" w:rsidRDefault="00E37476" w:rsidP="00E37476">
      <w:pPr>
        <w:spacing w:line="480" w:lineRule="auto"/>
        <w:ind w:left="1440" w:firstLine="720"/>
        <w:jc w:val="both"/>
      </w:pPr>
      <w:r w:rsidRPr="00D91D72">
        <w:t>Data analysis......................................................................................</w:t>
      </w:r>
      <w:r w:rsidRPr="00D91D72">
        <w:tab/>
        <w:t>3</w:t>
      </w:r>
      <w:r>
        <w:t>7</w:t>
      </w:r>
    </w:p>
    <w:p w14:paraId="1F711104" w14:textId="2042BA53" w:rsidR="00E37476" w:rsidRPr="00D91D72" w:rsidRDefault="00E37476" w:rsidP="00E37476">
      <w:pPr>
        <w:spacing w:line="480" w:lineRule="auto"/>
        <w:ind w:left="720" w:firstLine="720"/>
        <w:jc w:val="both"/>
      </w:pPr>
      <w:r w:rsidRPr="00D91D72">
        <w:t>Data management..........................................................................................</w:t>
      </w:r>
      <w:r w:rsidRPr="00D91D72">
        <w:tab/>
        <w:t>3</w:t>
      </w:r>
      <w:r>
        <w:t>8</w:t>
      </w:r>
    </w:p>
    <w:p w14:paraId="4FA68611" w14:textId="0D9BC2BD" w:rsidR="00E37476" w:rsidRPr="00D91D72" w:rsidRDefault="00E37476" w:rsidP="00E37476">
      <w:pPr>
        <w:spacing w:line="480" w:lineRule="auto"/>
        <w:ind w:firstLine="720"/>
      </w:pPr>
      <w:r w:rsidRPr="00D91D72">
        <w:t>Summary....................................................................................................................</w:t>
      </w:r>
      <w:r w:rsidRPr="00D91D72">
        <w:tab/>
        <w:t>3</w:t>
      </w:r>
      <w:r>
        <w:t>8</w:t>
      </w:r>
    </w:p>
    <w:p w14:paraId="42721C2F" w14:textId="7D5F597E" w:rsidR="00E37476" w:rsidRPr="00D91D72" w:rsidRDefault="00E37476" w:rsidP="00E37476">
      <w:pPr>
        <w:spacing w:line="480" w:lineRule="auto"/>
      </w:pPr>
      <w:r w:rsidRPr="00D91D72">
        <w:t>Chapter Five:  Implementation Process.................................................................................</w:t>
      </w:r>
      <w:r w:rsidRPr="00D91D72">
        <w:tab/>
        <w:t>3</w:t>
      </w:r>
      <w:r>
        <w:t>9</w:t>
      </w:r>
    </w:p>
    <w:p w14:paraId="2EB00108" w14:textId="6C998852" w:rsidR="00E37476" w:rsidRPr="00D91D72" w:rsidRDefault="00E37476" w:rsidP="00E37476">
      <w:pPr>
        <w:spacing w:line="480" w:lineRule="auto"/>
        <w:ind w:firstLine="720"/>
      </w:pPr>
      <w:r w:rsidRPr="00D91D72">
        <w:t>Setting........................................................................................................................</w:t>
      </w:r>
      <w:r w:rsidRPr="00D91D72">
        <w:tab/>
        <w:t>3</w:t>
      </w:r>
      <w:r>
        <w:t>9</w:t>
      </w:r>
    </w:p>
    <w:p w14:paraId="31244E19" w14:textId="25FC8F30" w:rsidR="00E37476" w:rsidRPr="00D91D72" w:rsidRDefault="00E37476" w:rsidP="00E37476">
      <w:pPr>
        <w:spacing w:line="480" w:lineRule="auto"/>
        <w:ind w:firstLine="720"/>
      </w:pPr>
      <w:r w:rsidRPr="00D91D72">
        <w:t>Participants.................................................................................................................</w:t>
      </w:r>
      <w:r w:rsidRPr="00D91D72">
        <w:tab/>
        <w:t>3</w:t>
      </w:r>
      <w:r>
        <w:t>9</w:t>
      </w:r>
    </w:p>
    <w:p w14:paraId="58D4E5C7" w14:textId="61F83CF5" w:rsidR="00E37476" w:rsidRPr="00D91D72" w:rsidRDefault="00E37476" w:rsidP="00E37476">
      <w:pPr>
        <w:spacing w:line="480" w:lineRule="auto"/>
        <w:ind w:firstLine="720"/>
      </w:pPr>
      <w:r w:rsidRPr="00D91D72">
        <w:t>Recruitment................................................................................................................</w:t>
      </w:r>
      <w:r w:rsidRPr="00D91D72">
        <w:tab/>
        <w:t>3</w:t>
      </w:r>
      <w:r>
        <w:t>9</w:t>
      </w:r>
    </w:p>
    <w:p w14:paraId="7A7FF52E" w14:textId="7EDAC635" w:rsidR="00E37476" w:rsidRPr="00D91D72" w:rsidRDefault="00E37476" w:rsidP="00E37476">
      <w:pPr>
        <w:spacing w:line="480" w:lineRule="auto"/>
        <w:ind w:firstLine="720"/>
      </w:pPr>
      <w:r w:rsidRPr="00D91D72">
        <w:t>Implementation Process.............................................................................................</w:t>
      </w:r>
      <w:r w:rsidRPr="00D91D72">
        <w:tab/>
      </w:r>
      <w:r>
        <w:t>40</w:t>
      </w:r>
    </w:p>
    <w:p w14:paraId="19EDE983" w14:textId="4D00B257" w:rsidR="00E37476" w:rsidRPr="00D91D72" w:rsidRDefault="00E37476" w:rsidP="00E37476">
      <w:pPr>
        <w:spacing w:line="480" w:lineRule="auto"/>
        <w:ind w:firstLine="720"/>
      </w:pPr>
      <w:r w:rsidRPr="00D91D72">
        <w:t xml:space="preserve">Plan Variation……………………………………………………………………… </w:t>
      </w:r>
      <w:r w:rsidR="005137E0">
        <w:t>41</w:t>
      </w:r>
    </w:p>
    <w:p w14:paraId="57240D8C" w14:textId="11A8E60A" w:rsidR="00E37476" w:rsidRPr="00D91D72" w:rsidRDefault="00E37476" w:rsidP="00E37476">
      <w:pPr>
        <w:spacing w:line="480" w:lineRule="auto"/>
        <w:ind w:firstLine="720"/>
      </w:pPr>
      <w:r w:rsidRPr="00D91D72">
        <w:t>Summary…………………………………………………………………………….4</w:t>
      </w:r>
      <w:r w:rsidR="005137E0">
        <w:t>1</w:t>
      </w:r>
    </w:p>
    <w:p w14:paraId="1D288E3A" w14:textId="7171D525" w:rsidR="00E37476" w:rsidRPr="00D91D72" w:rsidRDefault="00E37476" w:rsidP="00E37476">
      <w:pPr>
        <w:pStyle w:val="APAAbstract"/>
        <w:tabs>
          <w:tab w:val="left" w:leader="dot" w:pos="8640"/>
        </w:tabs>
        <w:rPr>
          <w:szCs w:val="24"/>
        </w:rPr>
      </w:pPr>
      <w:r w:rsidRPr="00D91D72">
        <w:rPr>
          <w:szCs w:val="24"/>
        </w:rPr>
        <w:t>Chapter Six:  Evaluation of the Practice Change Initiative………….……………………...4</w:t>
      </w:r>
      <w:r>
        <w:rPr>
          <w:szCs w:val="24"/>
        </w:rPr>
        <w:t>2</w:t>
      </w:r>
    </w:p>
    <w:p w14:paraId="37E4FCCB" w14:textId="4887C6AE" w:rsidR="00E37476" w:rsidRPr="00D91D72" w:rsidRDefault="00E37476" w:rsidP="00E37476">
      <w:pPr>
        <w:pStyle w:val="APAAbstract"/>
        <w:tabs>
          <w:tab w:val="left" w:leader="dot" w:pos="8640"/>
        </w:tabs>
        <w:ind w:firstLine="720"/>
        <w:rPr>
          <w:szCs w:val="24"/>
        </w:rPr>
      </w:pPr>
      <w:r w:rsidRPr="00D91D72">
        <w:rPr>
          <w:szCs w:val="24"/>
        </w:rPr>
        <w:t>Participant Demographics………………………………………………………</w:t>
      </w:r>
      <w:r w:rsidR="0031057E" w:rsidRPr="00D91D72">
        <w:rPr>
          <w:szCs w:val="24"/>
        </w:rPr>
        <w:t>….</w:t>
      </w:r>
      <w:r w:rsidRPr="00D91D72">
        <w:rPr>
          <w:szCs w:val="24"/>
        </w:rPr>
        <w:tab/>
        <w:t>4</w:t>
      </w:r>
      <w:r>
        <w:rPr>
          <w:szCs w:val="24"/>
        </w:rPr>
        <w:t>2</w:t>
      </w:r>
    </w:p>
    <w:p w14:paraId="66C2DAA6" w14:textId="07BEAE13" w:rsidR="00E37476" w:rsidRPr="00D91D72" w:rsidRDefault="00E37476" w:rsidP="00E37476">
      <w:pPr>
        <w:pStyle w:val="APAAbstract"/>
        <w:tabs>
          <w:tab w:val="left" w:leader="dot" w:pos="8640"/>
        </w:tabs>
        <w:ind w:firstLine="720"/>
        <w:rPr>
          <w:szCs w:val="24"/>
        </w:rPr>
      </w:pPr>
      <w:r w:rsidRPr="00D91D72">
        <w:rPr>
          <w:szCs w:val="24"/>
        </w:rPr>
        <w:t>Intended Outcome(s)</w:t>
      </w:r>
      <w:r w:rsidRPr="00D91D72">
        <w:rPr>
          <w:szCs w:val="24"/>
        </w:rPr>
        <w:tab/>
        <w:t>4</w:t>
      </w:r>
      <w:r>
        <w:rPr>
          <w:szCs w:val="24"/>
        </w:rPr>
        <w:t>2</w:t>
      </w:r>
    </w:p>
    <w:p w14:paraId="5C4B0984" w14:textId="33CEA580" w:rsidR="00E37476" w:rsidRPr="00D91D72" w:rsidRDefault="00E37476" w:rsidP="00E37476">
      <w:pPr>
        <w:pStyle w:val="APAAbstract"/>
        <w:tabs>
          <w:tab w:val="left" w:leader="dot" w:pos="8640"/>
        </w:tabs>
        <w:ind w:firstLine="720"/>
        <w:rPr>
          <w:szCs w:val="24"/>
        </w:rPr>
      </w:pPr>
      <w:r w:rsidRPr="00D91D72">
        <w:rPr>
          <w:szCs w:val="24"/>
        </w:rPr>
        <w:t>Findings</w:t>
      </w:r>
      <w:r w:rsidRPr="00D91D72">
        <w:rPr>
          <w:szCs w:val="24"/>
        </w:rPr>
        <w:tab/>
        <w:t>4</w:t>
      </w:r>
      <w:r w:rsidR="005137E0">
        <w:rPr>
          <w:szCs w:val="24"/>
        </w:rPr>
        <w:t>3</w:t>
      </w:r>
    </w:p>
    <w:p w14:paraId="45B8E66B" w14:textId="27C4E36F" w:rsidR="00E37476" w:rsidRPr="00D91D72" w:rsidRDefault="00E37476" w:rsidP="00E37476">
      <w:pPr>
        <w:pStyle w:val="APAAbstract"/>
        <w:tabs>
          <w:tab w:val="left" w:leader="dot" w:pos="8640"/>
        </w:tabs>
        <w:ind w:firstLine="1440"/>
        <w:rPr>
          <w:szCs w:val="24"/>
        </w:rPr>
      </w:pPr>
      <w:r w:rsidRPr="00D91D72">
        <w:rPr>
          <w:szCs w:val="24"/>
        </w:rPr>
        <w:t>Table 1: Patients Seen Without Vitamin D Order in Over a Year………</w:t>
      </w:r>
      <w:r w:rsidR="0031057E" w:rsidRPr="00D91D72">
        <w:rPr>
          <w:szCs w:val="24"/>
        </w:rPr>
        <w:t>….</w:t>
      </w:r>
      <w:r w:rsidRPr="00D91D72">
        <w:rPr>
          <w:szCs w:val="24"/>
        </w:rPr>
        <w:t>4</w:t>
      </w:r>
      <w:r>
        <w:rPr>
          <w:szCs w:val="24"/>
        </w:rPr>
        <w:t>3</w:t>
      </w:r>
    </w:p>
    <w:p w14:paraId="616C6C10" w14:textId="473BF8D2" w:rsidR="00E37476" w:rsidRPr="00D91D72" w:rsidRDefault="00E37476" w:rsidP="00E37476">
      <w:pPr>
        <w:pStyle w:val="APAAbstract"/>
        <w:tabs>
          <w:tab w:val="left" w:leader="dot" w:pos="8640"/>
        </w:tabs>
        <w:ind w:firstLine="1440"/>
        <w:rPr>
          <w:szCs w:val="24"/>
        </w:rPr>
      </w:pPr>
      <w:r w:rsidRPr="00D91D72">
        <w:rPr>
          <w:szCs w:val="24"/>
        </w:rPr>
        <w:t>Table 2: Providers Adherence to the Protocol</w:t>
      </w:r>
      <w:r w:rsidRPr="00D91D72">
        <w:rPr>
          <w:szCs w:val="24"/>
        </w:rPr>
        <w:tab/>
        <w:t>4</w:t>
      </w:r>
      <w:r>
        <w:rPr>
          <w:szCs w:val="24"/>
        </w:rPr>
        <w:t>4</w:t>
      </w:r>
    </w:p>
    <w:p w14:paraId="177A8FCF" w14:textId="4BBE9790" w:rsidR="00E37476" w:rsidRPr="00D91D72" w:rsidRDefault="00E37476" w:rsidP="00E37476">
      <w:pPr>
        <w:pStyle w:val="APAAbstract"/>
        <w:tabs>
          <w:tab w:val="left" w:leader="dot" w:pos="8640"/>
        </w:tabs>
        <w:ind w:firstLine="720"/>
        <w:rPr>
          <w:szCs w:val="24"/>
        </w:rPr>
      </w:pPr>
      <w:r w:rsidRPr="00D91D72">
        <w:rPr>
          <w:szCs w:val="24"/>
        </w:rPr>
        <w:t>Summary</w:t>
      </w:r>
      <w:r w:rsidRPr="00D91D72">
        <w:rPr>
          <w:szCs w:val="24"/>
        </w:rPr>
        <w:tab/>
        <w:t>4</w:t>
      </w:r>
      <w:r>
        <w:rPr>
          <w:szCs w:val="24"/>
        </w:rPr>
        <w:t>4</w:t>
      </w:r>
    </w:p>
    <w:p w14:paraId="53EBC48D" w14:textId="6BA33C58" w:rsidR="00E37476" w:rsidRPr="00D91D72" w:rsidRDefault="00E37476" w:rsidP="00E37476">
      <w:pPr>
        <w:pStyle w:val="APAAbstract"/>
        <w:tabs>
          <w:tab w:val="left" w:leader="dot" w:pos="8640"/>
        </w:tabs>
        <w:rPr>
          <w:szCs w:val="24"/>
        </w:rPr>
      </w:pPr>
      <w:r w:rsidRPr="00D91D72">
        <w:rPr>
          <w:szCs w:val="24"/>
        </w:rPr>
        <w:t>Chapter Seven:  Implications for Nursing Practice</w:t>
      </w:r>
      <w:r w:rsidRPr="00D91D72">
        <w:rPr>
          <w:szCs w:val="24"/>
        </w:rPr>
        <w:tab/>
        <w:t>4</w:t>
      </w:r>
      <w:r>
        <w:rPr>
          <w:szCs w:val="24"/>
        </w:rPr>
        <w:t>5</w:t>
      </w:r>
    </w:p>
    <w:p w14:paraId="16E03296" w14:textId="1F07EE5C" w:rsidR="00E37476" w:rsidRPr="00D91D72" w:rsidRDefault="00E37476" w:rsidP="00E37476">
      <w:pPr>
        <w:pStyle w:val="APAAbstract"/>
        <w:tabs>
          <w:tab w:val="left" w:leader="dot" w:pos="8640"/>
        </w:tabs>
        <w:ind w:firstLine="720"/>
        <w:rPr>
          <w:szCs w:val="24"/>
        </w:rPr>
      </w:pPr>
      <w:r w:rsidRPr="00D91D72">
        <w:rPr>
          <w:szCs w:val="24"/>
        </w:rPr>
        <w:t>Practice Implications</w:t>
      </w:r>
      <w:r w:rsidRPr="00D91D72">
        <w:rPr>
          <w:szCs w:val="24"/>
        </w:rPr>
        <w:tab/>
        <w:t>4</w:t>
      </w:r>
      <w:r>
        <w:rPr>
          <w:szCs w:val="24"/>
        </w:rPr>
        <w:t>5</w:t>
      </w:r>
    </w:p>
    <w:p w14:paraId="32016468" w14:textId="2F11919A" w:rsidR="00E37476" w:rsidRPr="00D91D72" w:rsidRDefault="00E37476" w:rsidP="00E37476">
      <w:pPr>
        <w:pStyle w:val="APAAbstract"/>
        <w:tabs>
          <w:tab w:val="left" w:leader="dot" w:pos="8640"/>
        </w:tabs>
        <w:ind w:firstLine="1440"/>
        <w:rPr>
          <w:szCs w:val="24"/>
        </w:rPr>
      </w:pPr>
      <w:r w:rsidRPr="00D91D72">
        <w:rPr>
          <w:szCs w:val="24"/>
        </w:rPr>
        <w:t>Essential I: Scientific underpinnings for practice</w:t>
      </w:r>
      <w:r w:rsidRPr="00D91D72">
        <w:rPr>
          <w:szCs w:val="24"/>
        </w:rPr>
        <w:tab/>
        <w:t>4</w:t>
      </w:r>
      <w:r>
        <w:rPr>
          <w:szCs w:val="24"/>
        </w:rPr>
        <w:t>5</w:t>
      </w:r>
    </w:p>
    <w:p w14:paraId="12856072" w14:textId="22CFBD49" w:rsidR="00E37476" w:rsidRPr="00D91D72" w:rsidRDefault="00E37476" w:rsidP="005137E0">
      <w:pPr>
        <w:pStyle w:val="APAAbstract"/>
        <w:tabs>
          <w:tab w:val="left" w:leader="dot" w:pos="8640"/>
        </w:tabs>
        <w:ind w:left="1440"/>
        <w:contextualSpacing/>
        <w:rPr>
          <w:szCs w:val="24"/>
        </w:rPr>
      </w:pPr>
      <w:r w:rsidRPr="00D91D72">
        <w:rPr>
          <w:szCs w:val="24"/>
        </w:rPr>
        <w:lastRenderedPageBreak/>
        <w:t>Essential II: Organization and systems leadership for quality</w:t>
      </w:r>
      <w:r w:rsidR="005137E0">
        <w:rPr>
          <w:szCs w:val="24"/>
        </w:rPr>
        <w:t xml:space="preserve"> </w:t>
      </w:r>
      <w:r w:rsidRPr="00D91D72">
        <w:rPr>
          <w:szCs w:val="24"/>
        </w:rPr>
        <w:t xml:space="preserve">improvement and </w:t>
      </w:r>
      <w:r w:rsidR="005137E0">
        <w:rPr>
          <w:szCs w:val="24"/>
        </w:rPr>
        <w:t>systems thinking…………………………………………………………….</w:t>
      </w:r>
      <w:r w:rsidRPr="00D91D72">
        <w:rPr>
          <w:szCs w:val="24"/>
        </w:rPr>
        <w:t>4</w:t>
      </w:r>
      <w:r w:rsidR="005137E0">
        <w:rPr>
          <w:szCs w:val="24"/>
        </w:rPr>
        <w:t>6</w:t>
      </w:r>
    </w:p>
    <w:p w14:paraId="21D1B52E" w14:textId="375FB448" w:rsidR="00E37476" w:rsidRPr="00D91D72" w:rsidRDefault="00E37476" w:rsidP="00E37476">
      <w:pPr>
        <w:pStyle w:val="APAAbstract"/>
        <w:tabs>
          <w:tab w:val="left" w:leader="dot" w:pos="8640"/>
        </w:tabs>
        <w:ind w:firstLine="1440"/>
        <w:contextualSpacing/>
        <w:rPr>
          <w:szCs w:val="24"/>
        </w:rPr>
      </w:pPr>
      <w:r w:rsidRPr="00D91D72">
        <w:rPr>
          <w:szCs w:val="24"/>
        </w:rPr>
        <w:t>Essential III: Clinical scholarship and analytical methods for EBP</w:t>
      </w:r>
      <w:r w:rsidRPr="00D91D72">
        <w:rPr>
          <w:szCs w:val="24"/>
        </w:rPr>
        <w:tab/>
        <w:t>4</w:t>
      </w:r>
      <w:r>
        <w:rPr>
          <w:szCs w:val="24"/>
        </w:rPr>
        <w:t>7</w:t>
      </w:r>
    </w:p>
    <w:p w14:paraId="05206F4B" w14:textId="77777777" w:rsidR="00E37476" w:rsidRPr="00D91D72" w:rsidRDefault="00E37476" w:rsidP="00E37476">
      <w:pPr>
        <w:pStyle w:val="APAAbstract"/>
        <w:tabs>
          <w:tab w:val="left" w:leader="dot" w:pos="8640"/>
        </w:tabs>
        <w:ind w:firstLine="1440"/>
        <w:rPr>
          <w:szCs w:val="24"/>
        </w:rPr>
      </w:pPr>
      <w:r w:rsidRPr="00D91D72">
        <w:rPr>
          <w:szCs w:val="24"/>
        </w:rPr>
        <w:t>Essential IV: Information systems/technology and patient care</w:t>
      </w:r>
    </w:p>
    <w:p w14:paraId="485A51F5" w14:textId="60FE360D" w:rsidR="00E37476" w:rsidRPr="00D91D72" w:rsidRDefault="00E37476" w:rsidP="00E37476">
      <w:pPr>
        <w:pStyle w:val="APAAbstract"/>
        <w:tabs>
          <w:tab w:val="left" w:leader="dot" w:pos="8640"/>
        </w:tabs>
        <w:ind w:firstLine="1440"/>
        <w:rPr>
          <w:szCs w:val="24"/>
        </w:rPr>
      </w:pPr>
      <w:proofErr w:type="gramStart"/>
      <w:r w:rsidRPr="00D91D72">
        <w:rPr>
          <w:szCs w:val="24"/>
        </w:rPr>
        <w:t>technology</w:t>
      </w:r>
      <w:proofErr w:type="gramEnd"/>
      <w:r w:rsidRPr="00D91D72">
        <w:rPr>
          <w:szCs w:val="24"/>
        </w:rPr>
        <w:t xml:space="preserve"> for the improvement and transformation of healthcare</w:t>
      </w:r>
      <w:r w:rsidRPr="00D91D72">
        <w:rPr>
          <w:szCs w:val="24"/>
        </w:rPr>
        <w:tab/>
        <w:t>4</w:t>
      </w:r>
      <w:r>
        <w:rPr>
          <w:szCs w:val="24"/>
        </w:rPr>
        <w:t>7</w:t>
      </w:r>
    </w:p>
    <w:p w14:paraId="4C07094E" w14:textId="2E8DE28E" w:rsidR="00E37476" w:rsidRPr="00D91D72" w:rsidRDefault="00E37476" w:rsidP="00E37476">
      <w:pPr>
        <w:pStyle w:val="APAAbstract"/>
        <w:tabs>
          <w:tab w:val="left" w:leader="dot" w:pos="8640"/>
        </w:tabs>
        <w:ind w:firstLine="1440"/>
        <w:rPr>
          <w:szCs w:val="24"/>
        </w:rPr>
      </w:pPr>
      <w:r w:rsidRPr="00D91D72">
        <w:rPr>
          <w:szCs w:val="24"/>
        </w:rPr>
        <w:t>Essential V: Healthcare policy for advocacy in healthcare</w:t>
      </w:r>
      <w:r w:rsidRPr="00D91D72">
        <w:rPr>
          <w:szCs w:val="24"/>
        </w:rPr>
        <w:tab/>
        <w:t>4</w:t>
      </w:r>
      <w:r w:rsidR="005137E0">
        <w:rPr>
          <w:szCs w:val="24"/>
        </w:rPr>
        <w:t>8</w:t>
      </w:r>
    </w:p>
    <w:p w14:paraId="44FCE55B" w14:textId="77777777" w:rsidR="00E37476" w:rsidRPr="00D91D72" w:rsidRDefault="00E37476" w:rsidP="00E37476">
      <w:pPr>
        <w:pStyle w:val="APAAbstract"/>
        <w:tabs>
          <w:tab w:val="left" w:leader="dot" w:pos="8640"/>
        </w:tabs>
        <w:ind w:firstLine="1440"/>
        <w:rPr>
          <w:szCs w:val="24"/>
        </w:rPr>
      </w:pPr>
      <w:r w:rsidRPr="00D91D72">
        <w:rPr>
          <w:szCs w:val="24"/>
        </w:rPr>
        <w:t xml:space="preserve">Essential VI: </w:t>
      </w:r>
      <w:proofErr w:type="spellStart"/>
      <w:r w:rsidRPr="00D91D72">
        <w:rPr>
          <w:szCs w:val="24"/>
        </w:rPr>
        <w:t>Interprofessional</w:t>
      </w:r>
      <w:proofErr w:type="spellEnd"/>
      <w:r w:rsidRPr="00D91D72">
        <w:rPr>
          <w:szCs w:val="24"/>
        </w:rPr>
        <w:t xml:space="preserve"> collaboration for improving patient</w:t>
      </w:r>
    </w:p>
    <w:p w14:paraId="34F79CBD" w14:textId="6CD40AB3" w:rsidR="00E37476" w:rsidRPr="00D91D72" w:rsidRDefault="00E37476" w:rsidP="00E37476">
      <w:pPr>
        <w:pStyle w:val="APAAbstract"/>
        <w:tabs>
          <w:tab w:val="left" w:leader="dot" w:pos="8640"/>
        </w:tabs>
        <w:ind w:firstLine="1440"/>
        <w:rPr>
          <w:szCs w:val="24"/>
        </w:rPr>
      </w:pPr>
      <w:proofErr w:type="gramStart"/>
      <w:r w:rsidRPr="00D91D72">
        <w:rPr>
          <w:szCs w:val="24"/>
        </w:rPr>
        <w:t>and</w:t>
      </w:r>
      <w:proofErr w:type="gramEnd"/>
      <w:r w:rsidRPr="00D91D72">
        <w:rPr>
          <w:szCs w:val="24"/>
        </w:rPr>
        <w:t xml:space="preserve"> population health outcomes</w:t>
      </w:r>
      <w:r w:rsidRPr="00D91D72">
        <w:rPr>
          <w:szCs w:val="24"/>
        </w:rPr>
        <w:tab/>
        <w:t>4</w:t>
      </w:r>
      <w:r>
        <w:rPr>
          <w:szCs w:val="24"/>
        </w:rPr>
        <w:t>9</w:t>
      </w:r>
    </w:p>
    <w:p w14:paraId="1A44DFD8" w14:textId="77777777" w:rsidR="00E37476" w:rsidRPr="00D91D72" w:rsidRDefault="00E37476" w:rsidP="00E37476">
      <w:pPr>
        <w:pStyle w:val="APAAbstract"/>
        <w:tabs>
          <w:tab w:val="left" w:leader="dot" w:pos="8640"/>
        </w:tabs>
        <w:ind w:firstLine="1440"/>
        <w:rPr>
          <w:szCs w:val="24"/>
        </w:rPr>
      </w:pPr>
      <w:r w:rsidRPr="00D91D72">
        <w:rPr>
          <w:szCs w:val="24"/>
        </w:rPr>
        <w:t>Essential VII: Clinical prevention and population health for</w:t>
      </w:r>
    </w:p>
    <w:p w14:paraId="5F4C2B7F" w14:textId="5663E2AE" w:rsidR="00E37476" w:rsidRPr="00D91D72" w:rsidRDefault="00E37476" w:rsidP="00E37476">
      <w:pPr>
        <w:pStyle w:val="APAAbstract"/>
        <w:tabs>
          <w:tab w:val="left" w:leader="dot" w:pos="8640"/>
        </w:tabs>
        <w:ind w:firstLine="1440"/>
        <w:rPr>
          <w:szCs w:val="24"/>
        </w:rPr>
      </w:pPr>
      <w:proofErr w:type="gramStart"/>
      <w:r w:rsidRPr="00D91D72">
        <w:rPr>
          <w:szCs w:val="24"/>
        </w:rPr>
        <w:t>improving</w:t>
      </w:r>
      <w:proofErr w:type="gramEnd"/>
      <w:r w:rsidRPr="00D91D72">
        <w:rPr>
          <w:szCs w:val="24"/>
        </w:rPr>
        <w:t xml:space="preserve"> the nation’s health</w:t>
      </w:r>
      <w:r w:rsidRPr="00D91D72">
        <w:rPr>
          <w:szCs w:val="24"/>
        </w:rPr>
        <w:tab/>
        <w:t>4</w:t>
      </w:r>
      <w:r>
        <w:rPr>
          <w:szCs w:val="24"/>
        </w:rPr>
        <w:t>9</w:t>
      </w:r>
    </w:p>
    <w:p w14:paraId="082D92AA" w14:textId="1BDCC1B9" w:rsidR="00E37476" w:rsidRPr="00D91D72" w:rsidRDefault="00E37476" w:rsidP="00E37476">
      <w:pPr>
        <w:pStyle w:val="APAAbstract"/>
        <w:tabs>
          <w:tab w:val="left" w:leader="dot" w:pos="8640"/>
        </w:tabs>
        <w:ind w:firstLine="1440"/>
        <w:rPr>
          <w:szCs w:val="24"/>
        </w:rPr>
      </w:pPr>
      <w:r w:rsidRPr="00D91D72">
        <w:rPr>
          <w:szCs w:val="24"/>
        </w:rPr>
        <w:t>Essential VIII: Advanced nursing practice</w:t>
      </w:r>
      <w:r w:rsidRPr="00D91D72">
        <w:rPr>
          <w:szCs w:val="24"/>
        </w:rPr>
        <w:tab/>
      </w:r>
      <w:r>
        <w:rPr>
          <w:szCs w:val="24"/>
        </w:rPr>
        <w:t>50</w:t>
      </w:r>
    </w:p>
    <w:p w14:paraId="576029F8" w14:textId="3994CBF1" w:rsidR="00E37476" w:rsidRPr="00D91D72" w:rsidRDefault="00E37476" w:rsidP="00E37476">
      <w:pPr>
        <w:pStyle w:val="APAAbstract"/>
        <w:tabs>
          <w:tab w:val="left" w:leader="dot" w:pos="8640"/>
        </w:tabs>
        <w:ind w:firstLine="720"/>
        <w:rPr>
          <w:szCs w:val="24"/>
        </w:rPr>
      </w:pPr>
      <w:r w:rsidRPr="00644CFD">
        <w:rPr>
          <w:szCs w:val="24"/>
        </w:rPr>
        <w:t>Summary</w:t>
      </w:r>
      <w:r w:rsidRPr="00644CFD">
        <w:rPr>
          <w:szCs w:val="24"/>
        </w:rPr>
        <w:tab/>
      </w:r>
      <w:r w:rsidR="00644CFD">
        <w:rPr>
          <w:szCs w:val="24"/>
        </w:rPr>
        <w:t>51</w:t>
      </w:r>
    </w:p>
    <w:p w14:paraId="1F37015D" w14:textId="7261B980" w:rsidR="00E37476" w:rsidRPr="00D91D72" w:rsidRDefault="00E37476" w:rsidP="00E37476">
      <w:pPr>
        <w:pStyle w:val="APAAbstract"/>
        <w:tabs>
          <w:tab w:val="left" w:leader="dot" w:pos="8640"/>
        </w:tabs>
        <w:rPr>
          <w:szCs w:val="24"/>
        </w:rPr>
      </w:pPr>
      <w:r w:rsidRPr="00D91D72">
        <w:rPr>
          <w:szCs w:val="24"/>
        </w:rPr>
        <w:t>Chapter Eight:  Final Conclusions</w:t>
      </w:r>
      <w:r w:rsidRPr="00D91D72">
        <w:rPr>
          <w:szCs w:val="24"/>
        </w:rPr>
        <w:tab/>
      </w:r>
      <w:r>
        <w:rPr>
          <w:szCs w:val="24"/>
        </w:rPr>
        <w:t>5</w:t>
      </w:r>
      <w:r w:rsidR="005137E0">
        <w:rPr>
          <w:szCs w:val="24"/>
        </w:rPr>
        <w:t>2</w:t>
      </w:r>
    </w:p>
    <w:p w14:paraId="1C3C0057" w14:textId="361BB7A9" w:rsidR="00E37476" w:rsidRPr="00D91D72" w:rsidRDefault="00E37476" w:rsidP="00E37476">
      <w:pPr>
        <w:pStyle w:val="APAAbstract"/>
        <w:tabs>
          <w:tab w:val="left" w:leader="dot" w:pos="8640"/>
        </w:tabs>
        <w:ind w:firstLine="720"/>
        <w:rPr>
          <w:szCs w:val="24"/>
        </w:rPr>
      </w:pPr>
      <w:r w:rsidRPr="00D91D72">
        <w:rPr>
          <w:szCs w:val="24"/>
        </w:rPr>
        <w:t>Significance of Findings</w:t>
      </w:r>
      <w:r w:rsidRPr="00D91D72">
        <w:rPr>
          <w:szCs w:val="24"/>
        </w:rPr>
        <w:tab/>
      </w:r>
      <w:r w:rsidR="005137E0">
        <w:rPr>
          <w:szCs w:val="24"/>
        </w:rPr>
        <w:t>52</w:t>
      </w:r>
    </w:p>
    <w:p w14:paraId="44E5BBE2" w14:textId="1D157C42" w:rsidR="00E37476" w:rsidRPr="00D91D72" w:rsidRDefault="00E37476" w:rsidP="00E37476">
      <w:pPr>
        <w:pStyle w:val="APAAbstract"/>
        <w:tabs>
          <w:tab w:val="left" w:leader="dot" w:pos="8640"/>
        </w:tabs>
        <w:ind w:firstLine="720"/>
        <w:rPr>
          <w:szCs w:val="24"/>
        </w:rPr>
      </w:pPr>
      <w:r w:rsidRPr="00D91D72">
        <w:rPr>
          <w:szCs w:val="24"/>
        </w:rPr>
        <w:t>Project Strengths and Limitations</w:t>
      </w:r>
      <w:r w:rsidRPr="00D91D72">
        <w:rPr>
          <w:szCs w:val="24"/>
        </w:rPr>
        <w:tab/>
        <w:t>5</w:t>
      </w:r>
      <w:r w:rsidR="005137E0">
        <w:rPr>
          <w:szCs w:val="24"/>
        </w:rPr>
        <w:t>3</w:t>
      </w:r>
    </w:p>
    <w:p w14:paraId="3C65A25F" w14:textId="02F0CD46" w:rsidR="00E37476" w:rsidRPr="00D91D72" w:rsidRDefault="00E37476" w:rsidP="00E37476">
      <w:pPr>
        <w:pStyle w:val="APAAbstract"/>
        <w:tabs>
          <w:tab w:val="left" w:leader="dot" w:pos="8640"/>
        </w:tabs>
        <w:ind w:firstLine="720"/>
        <w:rPr>
          <w:szCs w:val="24"/>
        </w:rPr>
      </w:pPr>
      <w:r w:rsidRPr="00D91D72">
        <w:rPr>
          <w:szCs w:val="24"/>
        </w:rPr>
        <w:t>Project Benefits</w:t>
      </w:r>
      <w:r w:rsidRPr="00D91D72">
        <w:rPr>
          <w:szCs w:val="24"/>
        </w:rPr>
        <w:tab/>
        <w:t>5</w:t>
      </w:r>
      <w:r w:rsidR="005137E0">
        <w:rPr>
          <w:szCs w:val="24"/>
        </w:rPr>
        <w:t>4</w:t>
      </w:r>
    </w:p>
    <w:p w14:paraId="2212E51D" w14:textId="6D511903" w:rsidR="00E37476" w:rsidRPr="00D91D72" w:rsidRDefault="00E37476" w:rsidP="00E37476">
      <w:pPr>
        <w:pStyle w:val="APAAbstract"/>
        <w:tabs>
          <w:tab w:val="left" w:leader="dot" w:pos="8640"/>
        </w:tabs>
        <w:ind w:firstLine="720"/>
        <w:rPr>
          <w:szCs w:val="24"/>
        </w:rPr>
      </w:pPr>
      <w:r w:rsidRPr="00D91D72">
        <w:rPr>
          <w:szCs w:val="24"/>
        </w:rPr>
        <w:t>Recommendations for Practice</w:t>
      </w:r>
      <w:r w:rsidRPr="00D91D72">
        <w:rPr>
          <w:szCs w:val="24"/>
        </w:rPr>
        <w:tab/>
        <w:t>5</w:t>
      </w:r>
      <w:r w:rsidR="005137E0">
        <w:rPr>
          <w:szCs w:val="24"/>
        </w:rPr>
        <w:t>5</w:t>
      </w:r>
    </w:p>
    <w:p w14:paraId="49EC51C4" w14:textId="490BF88B" w:rsidR="00E37476" w:rsidRPr="00D91D72" w:rsidRDefault="00E37476" w:rsidP="00E37476">
      <w:pPr>
        <w:pStyle w:val="APAAbstract"/>
        <w:tabs>
          <w:tab w:val="left" w:leader="dot" w:pos="8640"/>
        </w:tabs>
        <w:ind w:firstLine="720"/>
        <w:rPr>
          <w:szCs w:val="24"/>
        </w:rPr>
      </w:pPr>
      <w:r w:rsidRPr="00D91D72">
        <w:rPr>
          <w:szCs w:val="24"/>
        </w:rPr>
        <w:t>Final Summary</w:t>
      </w:r>
      <w:r w:rsidRPr="00D91D72">
        <w:rPr>
          <w:szCs w:val="24"/>
        </w:rPr>
        <w:tab/>
        <w:t>5</w:t>
      </w:r>
      <w:r w:rsidR="005137E0">
        <w:rPr>
          <w:szCs w:val="24"/>
        </w:rPr>
        <w:t>5</w:t>
      </w:r>
    </w:p>
    <w:p w14:paraId="0A09A9F1" w14:textId="314B2486" w:rsidR="00E37476" w:rsidRPr="00D91D72" w:rsidRDefault="00E37476" w:rsidP="00E37476">
      <w:pPr>
        <w:pStyle w:val="APAAbstract"/>
        <w:tabs>
          <w:tab w:val="left" w:leader="dot" w:pos="8640"/>
        </w:tabs>
        <w:rPr>
          <w:szCs w:val="24"/>
        </w:rPr>
      </w:pPr>
      <w:r w:rsidRPr="00D91D72">
        <w:rPr>
          <w:szCs w:val="24"/>
        </w:rPr>
        <w:t>References…………………………………………………………………………….……</w:t>
      </w:r>
      <w:r w:rsidRPr="00D91D72">
        <w:rPr>
          <w:szCs w:val="24"/>
        </w:rPr>
        <w:tab/>
        <w:t>5</w:t>
      </w:r>
      <w:r w:rsidR="005137E0">
        <w:rPr>
          <w:szCs w:val="24"/>
        </w:rPr>
        <w:t>7</w:t>
      </w:r>
    </w:p>
    <w:p w14:paraId="2FC93EF2" w14:textId="6188CACD" w:rsidR="00E37476" w:rsidRPr="00D91D72" w:rsidRDefault="00E37476" w:rsidP="00E37476">
      <w:pPr>
        <w:tabs>
          <w:tab w:val="left" w:leader="dot" w:pos="8640"/>
        </w:tabs>
        <w:spacing w:line="480" w:lineRule="auto"/>
      </w:pPr>
      <w:r w:rsidRPr="00D91D72">
        <w:t>Appendix A: EDSS Scale………….......</w:t>
      </w:r>
      <w:r w:rsidRPr="00D91D72">
        <w:tab/>
        <w:t>6</w:t>
      </w:r>
      <w:r w:rsidR="005137E0">
        <w:t>5</w:t>
      </w:r>
    </w:p>
    <w:p w14:paraId="56808CD3" w14:textId="38DC75D7" w:rsidR="00E37476" w:rsidRPr="00D91D72" w:rsidRDefault="00E37476" w:rsidP="00E37476">
      <w:pPr>
        <w:tabs>
          <w:tab w:val="left" w:leader="dot" w:pos="8640"/>
        </w:tabs>
        <w:spacing w:line="480" w:lineRule="auto"/>
      </w:pPr>
      <w:r w:rsidRPr="00D91D72">
        <w:t>Appendix B: Literature Review Selection Flowchart………………………………………</w:t>
      </w:r>
      <w:r w:rsidRPr="00D91D72">
        <w:tab/>
        <w:t>6</w:t>
      </w:r>
      <w:r w:rsidR="005137E0">
        <w:t>6</w:t>
      </w:r>
    </w:p>
    <w:p w14:paraId="1CA75C5C" w14:textId="5B10FC4B" w:rsidR="00E37476" w:rsidRPr="00D91D72" w:rsidRDefault="00E37476" w:rsidP="00E37476">
      <w:pPr>
        <w:spacing w:line="480" w:lineRule="auto"/>
      </w:pPr>
      <w:r w:rsidRPr="00D91D72">
        <w:t>Appendix C: Literature Matrix…………………………………………………………...... 6</w:t>
      </w:r>
      <w:r w:rsidR="005137E0">
        <w:t>7</w:t>
      </w:r>
    </w:p>
    <w:p w14:paraId="5B8F09DD" w14:textId="196A9D51" w:rsidR="00E37476" w:rsidRPr="00D91D72" w:rsidRDefault="00E37476" w:rsidP="00E37476">
      <w:pPr>
        <w:spacing w:line="480" w:lineRule="auto"/>
      </w:pPr>
      <w:r w:rsidRPr="00D91D72">
        <w:t xml:space="preserve">Appendix D: Evidence-based Practice </w:t>
      </w:r>
      <w:proofErr w:type="gramStart"/>
      <w:r w:rsidRPr="00D91D72">
        <w:t>Model.…………………………………………......</w:t>
      </w:r>
      <w:proofErr w:type="gramEnd"/>
      <w:r w:rsidRPr="00D91D72">
        <w:t xml:space="preserve"> </w:t>
      </w:r>
      <w:r>
        <w:t>1</w:t>
      </w:r>
      <w:r w:rsidR="005137E0">
        <w:t>03</w:t>
      </w:r>
    </w:p>
    <w:p w14:paraId="197A5853" w14:textId="70A8B1D0" w:rsidR="00E37476" w:rsidRPr="00D91D72" w:rsidRDefault="00E37476" w:rsidP="00E37476">
      <w:pPr>
        <w:spacing w:line="480" w:lineRule="auto"/>
      </w:pPr>
      <w:r w:rsidRPr="00D91D72">
        <w:lastRenderedPageBreak/>
        <w:t xml:space="preserve">Appendix E: </w:t>
      </w:r>
      <w:r w:rsidRPr="00D91D72">
        <w:rPr>
          <w:color w:val="1F1C1D"/>
        </w:rPr>
        <w:t xml:space="preserve">John </w:t>
      </w:r>
      <w:proofErr w:type="spellStart"/>
      <w:r w:rsidRPr="00D91D72">
        <w:rPr>
          <w:color w:val="1F1C1D"/>
        </w:rPr>
        <w:t>Hopkin's</w:t>
      </w:r>
      <w:proofErr w:type="spellEnd"/>
      <w:r w:rsidRPr="00D91D72">
        <w:rPr>
          <w:color w:val="1F1C1D"/>
        </w:rPr>
        <w:t xml:space="preserve"> EBP model action plan tool…………………………………...10</w:t>
      </w:r>
      <w:r w:rsidR="005137E0">
        <w:rPr>
          <w:color w:val="1F1C1D"/>
        </w:rPr>
        <w:t>4</w:t>
      </w:r>
    </w:p>
    <w:p w14:paraId="059B375B" w14:textId="12F1F468" w:rsidR="00E37476" w:rsidRPr="00D91D72" w:rsidRDefault="00E37476" w:rsidP="00E37476">
      <w:pPr>
        <w:pStyle w:val="APAReference"/>
        <w:ind w:left="0" w:firstLine="0"/>
        <w:rPr>
          <w:szCs w:val="24"/>
        </w:rPr>
      </w:pPr>
      <w:r w:rsidRPr="00D91D72">
        <w:rPr>
          <w:szCs w:val="24"/>
        </w:rPr>
        <w:t>Appendix F: Vitamin D Protocol...………………………………………………………….10</w:t>
      </w:r>
      <w:r w:rsidR="005137E0">
        <w:rPr>
          <w:szCs w:val="24"/>
        </w:rPr>
        <w:t>6</w:t>
      </w:r>
    </w:p>
    <w:p w14:paraId="2EA75150" w14:textId="35D3DD31" w:rsidR="00E37476" w:rsidRPr="00D91D72" w:rsidRDefault="00E37476" w:rsidP="00E37476">
      <w:pPr>
        <w:pStyle w:val="APAReference"/>
        <w:ind w:left="0" w:firstLine="0"/>
        <w:rPr>
          <w:szCs w:val="24"/>
        </w:rPr>
      </w:pPr>
      <w:r w:rsidRPr="00D91D72">
        <w:rPr>
          <w:szCs w:val="24"/>
        </w:rPr>
        <w:t>Appendix G: Provider &amp; Staff Educational Materials &amp; Patient Education Resources</w:t>
      </w:r>
      <w:r w:rsidRPr="00D91D72">
        <w:rPr>
          <w:color w:val="000000" w:themeColor="text1"/>
          <w:szCs w:val="24"/>
        </w:rPr>
        <w:t>…….10</w:t>
      </w:r>
      <w:r w:rsidR="005137E0">
        <w:rPr>
          <w:color w:val="000000" w:themeColor="text1"/>
          <w:szCs w:val="24"/>
        </w:rPr>
        <w:t>7</w:t>
      </w:r>
    </w:p>
    <w:p w14:paraId="63E726D4" w14:textId="7E4EB942" w:rsidR="00E37476" w:rsidRPr="00D91D72" w:rsidRDefault="00E37476" w:rsidP="00E37476">
      <w:pPr>
        <w:pStyle w:val="APAReference"/>
        <w:ind w:left="0" w:firstLine="0"/>
        <w:rPr>
          <w:szCs w:val="24"/>
        </w:rPr>
      </w:pPr>
      <w:r w:rsidRPr="00D91D72">
        <w:rPr>
          <w:szCs w:val="24"/>
        </w:rPr>
        <w:t>Appendix H: SWOT Analysis……………………………………………………………....1</w:t>
      </w:r>
      <w:r w:rsidR="005137E0">
        <w:rPr>
          <w:szCs w:val="24"/>
        </w:rPr>
        <w:t>13</w:t>
      </w:r>
    </w:p>
    <w:p w14:paraId="0D2AEAAC" w14:textId="2B025BA1" w:rsidR="00E37476" w:rsidRPr="00D91D72" w:rsidRDefault="00B03AF3" w:rsidP="00E37476">
      <w:pPr>
        <w:pStyle w:val="APAReference"/>
        <w:ind w:left="0" w:firstLine="0"/>
        <w:rPr>
          <w:color w:val="000000" w:themeColor="text1"/>
          <w:szCs w:val="24"/>
        </w:rPr>
      </w:pPr>
      <w:r>
        <w:rPr>
          <w:szCs w:val="24"/>
        </w:rPr>
        <w:t>Appendix I</w:t>
      </w:r>
      <w:r w:rsidR="00E37476" w:rsidRPr="00D91D72">
        <w:rPr>
          <w:szCs w:val="24"/>
        </w:rPr>
        <w:t>: Data Collection Tool…………………………………………………….</w:t>
      </w:r>
      <w:r w:rsidR="00E37476" w:rsidRPr="00D91D72">
        <w:rPr>
          <w:color w:val="000000" w:themeColor="text1"/>
          <w:szCs w:val="24"/>
        </w:rPr>
        <w:t>…….11</w:t>
      </w:r>
      <w:r w:rsidR="005137E0">
        <w:rPr>
          <w:color w:val="000000" w:themeColor="text1"/>
          <w:szCs w:val="24"/>
        </w:rPr>
        <w:t>5</w:t>
      </w:r>
    </w:p>
    <w:p w14:paraId="42797870" w14:textId="42754318" w:rsidR="00E37476" w:rsidRPr="00D91D72" w:rsidRDefault="00B03AF3" w:rsidP="00E37476">
      <w:pPr>
        <w:pStyle w:val="APAReference"/>
        <w:ind w:left="0" w:firstLine="0"/>
        <w:rPr>
          <w:color w:val="000000" w:themeColor="text1"/>
          <w:szCs w:val="24"/>
        </w:rPr>
      </w:pPr>
      <w:r>
        <w:rPr>
          <w:color w:val="000000" w:themeColor="text1"/>
          <w:szCs w:val="24"/>
        </w:rPr>
        <w:t>Appendix J</w:t>
      </w:r>
      <w:r w:rsidR="00E37476" w:rsidRPr="00D91D72">
        <w:rPr>
          <w:color w:val="000000" w:themeColor="text1"/>
          <w:szCs w:val="24"/>
        </w:rPr>
        <w:t xml:space="preserve">: </w:t>
      </w:r>
      <w:r w:rsidR="00E37476" w:rsidRPr="00D91D72">
        <w:rPr>
          <w:szCs w:val="24"/>
        </w:rPr>
        <w:t>Quality Improvement/Program Evaluat</w:t>
      </w:r>
      <w:r w:rsidR="005137E0">
        <w:rPr>
          <w:szCs w:val="24"/>
        </w:rPr>
        <w:t>ion Self-Certification Tool…………..</w:t>
      </w:r>
      <w:r w:rsidR="00E37476" w:rsidRPr="00D91D72">
        <w:rPr>
          <w:szCs w:val="24"/>
        </w:rPr>
        <w:t>11</w:t>
      </w:r>
      <w:r w:rsidR="005137E0">
        <w:rPr>
          <w:szCs w:val="24"/>
        </w:rPr>
        <w:t>6</w:t>
      </w:r>
    </w:p>
    <w:p w14:paraId="490E441E" w14:textId="73CE1FCC" w:rsidR="00E37476" w:rsidRPr="00D91D72" w:rsidRDefault="00B03AF3" w:rsidP="00E37476">
      <w:pPr>
        <w:spacing w:line="480" w:lineRule="auto"/>
      </w:pPr>
      <w:r>
        <w:t>Appendix K</w:t>
      </w:r>
      <w:r w:rsidR="00E37476" w:rsidRPr="00D91D72">
        <w:t>:  Provider Protocol Compliance</w:t>
      </w:r>
      <w:r w:rsidR="005137E0">
        <w:t>…………………………………………...….120</w:t>
      </w:r>
    </w:p>
    <w:p w14:paraId="7854C8D0" w14:textId="67A8DBDB" w:rsidR="00F4322E" w:rsidRDefault="00F4322E">
      <w:pPr>
        <w:rPr>
          <w:rFonts w:eastAsia="Times"/>
          <w:color w:val="000000" w:themeColor="text1"/>
        </w:rPr>
      </w:pPr>
    </w:p>
    <w:p w14:paraId="3415F9B9" w14:textId="77777777" w:rsidR="002A087B" w:rsidRDefault="002A087B" w:rsidP="002A087B">
      <w:pPr>
        <w:pStyle w:val="paragraph"/>
        <w:spacing w:before="0" w:beforeAutospacing="0" w:after="0" w:afterAutospacing="0" w:line="480" w:lineRule="auto"/>
        <w:textAlignment w:val="baseline"/>
        <w:rPr>
          <w:rFonts w:ascii="Segoe UI" w:hAnsi="Segoe UI" w:cs="Segoe UI"/>
          <w:sz w:val="18"/>
          <w:szCs w:val="18"/>
        </w:rPr>
      </w:pPr>
    </w:p>
    <w:p w14:paraId="5855C8CF" w14:textId="77777777" w:rsidR="00F4322E" w:rsidRDefault="00F4322E" w:rsidP="00F4322E">
      <w:pPr>
        <w:pStyle w:val="paragraph"/>
        <w:spacing w:before="0" w:beforeAutospacing="0" w:after="0" w:afterAutospacing="0" w:line="480" w:lineRule="auto"/>
        <w:ind w:firstLine="720"/>
        <w:textAlignment w:val="baseline"/>
        <w:rPr>
          <w:color w:val="000000" w:themeColor="text1"/>
        </w:rPr>
      </w:pPr>
    </w:p>
    <w:p w14:paraId="4A5DEB3E" w14:textId="77777777" w:rsidR="00DE2152" w:rsidRDefault="00DE2152" w:rsidP="00DE2152">
      <w:pPr>
        <w:pStyle w:val="paragraph"/>
        <w:spacing w:before="0" w:beforeAutospacing="0" w:after="0" w:afterAutospacing="0" w:line="480" w:lineRule="auto"/>
        <w:textAlignment w:val="baseline"/>
        <w:rPr>
          <w:rFonts w:ascii="Segoe UI" w:hAnsi="Segoe UI" w:cs="Segoe UI"/>
          <w:sz w:val="18"/>
          <w:szCs w:val="18"/>
        </w:rPr>
      </w:pPr>
      <w:r>
        <w:rPr>
          <w:rStyle w:val="eop"/>
          <w:rFonts w:ascii="Calibri" w:hAnsi="Calibri" w:cs="Calibri"/>
        </w:rPr>
        <w:t> </w:t>
      </w:r>
    </w:p>
    <w:p w14:paraId="4E65ABFB" w14:textId="20799332" w:rsidR="001155CE" w:rsidRDefault="00DE2152" w:rsidP="00F4322E">
      <w:pPr>
        <w:pStyle w:val="paragraph"/>
        <w:spacing w:before="0" w:beforeAutospacing="0" w:after="0" w:afterAutospacing="0"/>
        <w:textAlignment w:val="baseline"/>
        <w:rPr>
          <w:rStyle w:val="eop"/>
        </w:rPr>
      </w:pPr>
      <w:r>
        <w:rPr>
          <w:rStyle w:val="eop"/>
        </w:rPr>
        <w:t> </w:t>
      </w:r>
    </w:p>
    <w:p w14:paraId="7310AC0B" w14:textId="77777777" w:rsidR="00F4322E" w:rsidRPr="00F4322E" w:rsidRDefault="00F4322E" w:rsidP="00F4322E">
      <w:pPr>
        <w:pStyle w:val="paragraph"/>
        <w:spacing w:before="0" w:beforeAutospacing="0" w:after="0" w:afterAutospacing="0"/>
        <w:textAlignment w:val="baseline"/>
        <w:rPr>
          <w:rFonts w:ascii="Segoe UI" w:hAnsi="Segoe UI" w:cs="Segoe UI"/>
          <w:sz w:val="18"/>
          <w:szCs w:val="18"/>
        </w:rPr>
      </w:pPr>
    </w:p>
    <w:p w14:paraId="35AFC125" w14:textId="3402242A" w:rsidR="001155CE" w:rsidRDefault="001155CE"/>
    <w:p w14:paraId="5132304B" w14:textId="77777777" w:rsidR="00FB0A2E" w:rsidRPr="00D33CF1" w:rsidRDefault="00FB0A2E" w:rsidP="00383370"/>
    <w:p w14:paraId="16269B66" w14:textId="77777777" w:rsidR="00F4322E" w:rsidRDefault="00F4322E">
      <w:pPr>
        <w:rPr>
          <w:b/>
          <w:bCs/>
          <w:szCs w:val="20"/>
        </w:rPr>
      </w:pPr>
      <w:r>
        <w:rPr>
          <w:b/>
          <w:bCs/>
        </w:rPr>
        <w:br w:type="page"/>
      </w:r>
    </w:p>
    <w:p w14:paraId="07CAF95F" w14:textId="61A51BC1" w:rsidR="00FB0A2E" w:rsidRPr="00D33CF1" w:rsidRDefault="2597DD41" w:rsidP="2597DD41">
      <w:pPr>
        <w:pStyle w:val="APAAbstract"/>
        <w:tabs>
          <w:tab w:val="left" w:leader="dot" w:pos="8640"/>
        </w:tabs>
        <w:jc w:val="center"/>
        <w:rPr>
          <w:b/>
          <w:bCs/>
        </w:rPr>
      </w:pPr>
      <w:r w:rsidRPr="2597DD41">
        <w:rPr>
          <w:b/>
          <w:bCs/>
        </w:rPr>
        <w:lastRenderedPageBreak/>
        <w:t>Chapter One:  Overview of the Problem of Interest</w:t>
      </w:r>
    </w:p>
    <w:p w14:paraId="10CD67C3" w14:textId="77777777" w:rsidR="00824FCA" w:rsidRDefault="269AEE2E" w:rsidP="269AEE2E">
      <w:pPr>
        <w:pStyle w:val="APA"/>
        <w:ind w:firstLine="0"/>
        <w:rPr>
          <w:b/>
          <w:bCs/>
        </w:rPr>
      </w:pPr>
      <w:r w:rsidRPr="269AEE2E">
        <w:rPr>
          <w:b/>
          <w:bCs/>
        </w:rPr>
        <w:t xml:space="preserve">Background Information </w:t>
      </w:r>
    </w:p>
    <w:p w14:paraId="33126ACC" w14:textId="3AC2F227" w:rsidR="001F4C4B" w:rsidRPr="001F4C4B" w:rsidRDefault="001F4C4B" w:rsidP="001F4C4B">
      <w:pPr>
        <w:spacing w:line="480" w:lineRule="auto"/>
        <w:ind w:firstLine="720"/>
      </w:pPr>
      <w:r w:rsidRPr="0009709C">
        <w:rPr>
          <w:shd w:val="clear" w:color="auto" w:fill="FFFFFF"/>
        </w:rPr>
        <w:t>Vitamin D deficiency is a global health problem</w:t>
      </w:r>
      <w:r w:rsidRPr="0009709C">
        <w:t xml:space="preserve"> with an estimated </w:t>
      </w:r>
      <w:r w:rsidR="00035771">
        <w:t xml:space="preserve">one </w:t>
      </w:r>
      <w:r w:rsidRPr="0009709C">
        <w:t xml:space="preserve">billion people worldwide affected by vitamin D deficiency or insufficiency (Sahota, 2014). </w:t>
      </w:r>
      <w:r w:rsidRPr="0009709C">
        <w:rPr>
          <w:shd w:val="clear" w:color="auto" w:fill="FFFFFF"/>
        </w:rPr>
        <w:t xml:space="preserve">More than half of the population has </w:t>
      </w:r>
      <w:proofErr w:type="spellStart"/>
      <w:r w:rsidRPr="0009709C">
        <w:rPr>
          <w:shd w:val="clear" w:color="auto" w:fill="FFFFFF"/>
        </w:rPr>
        <w:t>hypovitaminosis</w:t>
      </w:r>
      <w:proofErr w:type="spellEnd"/>
      <w:r w:rsidRPr="0009709C">
        <w:rPr>
          <w:shd w:val="clear" w:color="auto" w:fill="FFFFFF"/>
        </w:rPr>
        <w:t xml:space="preserve"> D with levels below 30 ng/mL </w:t>
      </w:r>
      <w:r w:rsidRPr="3A05F469">
        <w:t>(</w:t>
      </w:r>
      <w:proofErr w:type="spellStart"/>
      <w:r w:rsidRPr="0009709C">
        <w:t>Wimalawansa</w:t>
      </w:r>
      <w:proofErr w:type="spellEnd"/>
      <w:r w:rsidRPr="3A05F469">
        <w:t xml:space="preserve">, </w:t>
      </w:r>
      <w:proofErr w:type="spellStart"/>
      <w:r w:rsidRPr="0009709C">
        <w:t>Razzaque</w:t>
      </w:r>
      <w:proofErr w:type="spellEnd"/>
      <w:r w:rsidRPr="0009709C">
        <w:t>, &amp; Al-</w:t>
      </w:r>
      <w:proofErr w:type="spellStart"/>
      <w:r w:rsidRPr="0009709C">
        <w:t>Daghri</w:t>
      </w:r>
      <w:proofErr w:type="spellEnd"/>
      <w:r w:rsidRPr="0009709C">
        <w:t>, 2017)</w:t>
      </w:r>
      <w:r w:rsidRPr="0009709C">
        <w:rPr>
          <w:shd w:val="clear" w:color="auto" w:fill="FFFFFF"/>
        </w:rPr>
        <w:t xml:space="preserve">.  According to </w:t>
      </w:r>
      <w:r w:rsidRPr="0009709C">
        <w:t xml:space="preserve">Nair &amp; </w:t>
      </w:r>
      <w:proofErr w:type="spellStart"/>
      <w:r w:rsidRPr="0009709C">
        <w:t>Maseeh</w:t>
      </w:r>
      <w:proofErr w:type="spellEnd"/>
      <w:r w:rsidRPr="0009709C">
        <w:t>, (2012), “</w:t>
      </w:r>
      <w:r w:rsidRPr="0009709C">
        <w:rPr>
          <w:shd w:val="clear" w:color="auto" w:fill="FFFFFF"/>
        </w:rPr>
        <w:t xml:space="preserve">high prevalence of vitamin D insufficiency is a particularly important public health issue because </w:t>
      </w:r>
      <w:proofErr w:type="spellStart"/>
      <w:r w:rsidRPr="0009709C">
        <w:rPr>
          <w:shd w:val="clear" w:color="auto" w:fill="FFFFFF"/>
        </w:rPr>
        <w:t>hypovitaminosis</w:t>
      </w:r>
      <w:proofErr w:type="spellEnd"/>
      <w:r w:rsidRPr="0009709C">
        <w:rPr>
          <w:shd w:val="clear" w:color="auto" w:fill="FFFFFF"/>
        </w:rPr>
        <w:t xml:space="preserve"> D is an independent risk factor for total mortality in the general population” (p. 118). </w:t>
      </w:r>
      <w:r w:rsidRPr="3A05F469">
        <w:t xml:space="preserve"> </w:t>
      </w:r>
      <w:r w:rsidRPr="0009709C">
        <w:rPr>
          <w:shd w:val="clear" w:color="auto" w:fill="FFFFFF"/>
        </w:rPr>
        <w:t>Evidence has also demonstrated a potential function of vitamin D against cancer, heart disease, autoimmune diseases, influenza, type-2 diabetes, depression, fractures, and falls (</w:t>
      </w:r>
      <w:r w:rsidRPr="0009709C">
        <w:t xml:space="preserve">Nair &amp; </w:t>
      </w:r>
      <w:proofErr w:type="spellStart"/>
      <w:r w:rsidRPr="0009709C">
        <w:t>Maseeh</w:t>
      </w:r>
      <w:proofErr w:type="spellEnd"/>
      <w:r w:rsidRPr="0009709C">
        <w:t xml:space="preserve">, 2012). </w:t>
      </w:r>
    </w:p>
    <w:p w14:paraId="2AE6E30B" w14:textId="17A3277F" w:rsidR="002A0181" w:rsidRDefault="00824FCA" w:rsidP="269AEE2E">
      <w:pPr>
        <w:pStyle w:val="APA"/>
        <w:ind w:firstLine="0"/>
        <w:rPr>
          <w:b/>
          <w:bCs/>
        </w:rPr>
      </w:pPr>
      <w:r w:rsidRPr="269AEE2E">
        <w:rPr>
          <w:b/>
          <w:bCs/>
        </w:rPr>
        <w:t>Significance of Clinical Problem</w:t>
      </w:r>
      <w:r w:rsidR="0089760D" w:rsidRPr="269AEE2E">
        <w:rPr>
          <w:b/>
          <w:bCs/>
        </w:rPr>
        <w:t xml:space="preserve"> </w:t>
      </w:r>
      <w:r w:rsidR="002A0181">
        <w:rPr>
          <w:b/>
        </w:rPr>
        <w:tab/>
      </w:r>
    </w:p>
    <w:p w14:paraId="4D986157" w14:textId="1C3F3C0C" w:rsidR="004F47CC" w:rsidRPr="00AB5F23" w:rsidRDefault="001F4C4B" w:rsidP="270DDC39">
      <w:pPr>
        <w:spacing w:line="480" w:lineRule="auto"/>
        <w:ind w:firstLine="720"/>
        <w:rPr>
          <w:rFonts w:eastAsia="Arial"/>
        </w:rPr>
      </w:pPr>
      <w:r w:rsidRPr="0009709C">
        <w:t>M</w:t>
      </w:r>
      <w:r w:rsidR="00DC65D3">
        <w:t xml:space="preserve">ultiple Sclerosis </w:t>
      </w:r>
      <w:r w:rsidR="00035771">
        <w:t xml:space="preserve">(MS) </w:t>
      </w:r>
      <w:r w:rsidR="00DC65D3">
        <w:t>i</w:t>
      </w:r>
      <w:r w:rsidRPr="0009709C">
        <w:t xml:space="preserve">s among the most common causes of neurological disability in young adults according to the </w:t>
      </w:r>
      <w:r w:rsidRPr="0009709C">
        <w:rPr>
          <w:shd w:val="clear" w:color="auto" w:fill="FFFFFF"/>
        </w:rPr>
        <w:t xml:space="preserve">National Institutes </w:t>
      </w:r>
      <w:r w:rsidR="00C90914">
        <w:rPr>
          <w:shd w:val="clear" w:color="auto" w:fill="FFFFFF"/>
        </w:rPr>
        <w:t xml:space="preserve">of </w:t>
      </w:r>
      <w:r w:rsidRPr="0009709C">
        <w:rPr>
          <w:shd w:val="clear" w:color="auto" w:fill="FFFFFF"/>
        </w:rPr>
        <w:t>Health (2010). </w:t>
      </w:r>
      <w:r w:rsidR="00765E31">
        <w:rPr>
          <w:shd w:val="clear" w:color="auto" w:fill="FFFFFF"/>
        </w:rPr>
        <w:t xml:space="preserve"> An estimated 2.5 million people have M</w:t>
      </w:r>
      <w:r w:rsidR="269AEE2E">
        <w:rPr>
          <w:shd w:val="clear" w:color="auto" w:fill="FFFFFF"/>
        </w:rPr>
        <w:t xml:space="preserve">ultiple </w:t>
      </w:r>
      <w:r w:rsidR="00765E31">
        <w:rPr>
          <w:shd w:val="clear" w:color="auto" w:fill="FFFFFF"/>
        </w:rPr>
        <w:t>S</w:t>
      </w:r>
      <w:r w:rsidR="269AEE2E">
        <w:rPr>
          <w:shd w:val="clear" w:color="auto" w:fill="FFFFFF"/>
        </w:rPr>
        <w:t>clerosis (MS)</w:t>
      </w:r>
      <w:r w:rsidR="00765E31">
        <w:rPr>
          <w:shd w:val="clear" w:color="auto" w:fill="FFFFFF"/>
        </w:rPr>
        <w:t xml:space="preserve"> worldwide with nearly </w:t>
      </w:r>
      <w:r w:rsidR="00035771">
        <w:rPr>
          <w:shd w:val="clear" w:color="auto" w:fill="FFFFFF"/>
        </w:rPr>
        <w:t>one</w:t>
      </w:r>
      <w:r w:rsidR="00765E31">
        <w:rPr>
          <w:shd w:val="clear" w:color="auto" w:fill="FFFFFF"/>
        </w:rPr>
        <w:t xml:space="preserve"> million living with MS in the US (National MS Society, </w:t>
      </w:r>
      <w:proofErr w:type="spellStart"/>
      <w:r w:rsidR="00765E31">
        <w:rPr>
          <w:shd w:val="clear" w:color="auto" w:fill="FFFFFF"/>
        </w:rPr>
        <w:t>n.d.</w:t>
      </w:r>
      <w:proofErr w:type="spellEnd"/>
      <w:r w:rsidR="00765E31">
        <w:rPr>
          <w:shd w:val="clear" w:color="auto" w:fill="FFFFFF"/>
        </w:rPr>
        <w:t xml:space="preserve">).  </w:t>
      </w:r>
      <w:r w:rsidR="00B854CD" w:rsidRPr="0042067E">
        <w:rPr>
          <w:shd w:val="clear" w:color="auto" w:fill="FFFFFF"/>
        </w:rPr>
        <w:t xml:space="preserve">According to </w:t>
      </w:r>
      <w:proofErr w:type="spellStart"/>
      <w:r w:rsidR="00B854CD" w:rsidRPr="0042067E">
        <w:rPr>
          <w:shd w:val="clear" w:color="auto" w:fill="FFFFFF"/>
        </w:rPr>
        <w:t>Alharbi</w:t>
      </w:r>
      <w:proofErr w:type="spellEnd"/>
      <w:r w:rsidR="00B854CD" w:rsidRPr="0042067E">
        <w:rPr>
          <w:shd w:val="clear" w:color="auto" w:fill="FFFFFF"/>
        </w:rPr>
        <w:t>,</w:t>
      </w:r>
      <w:r w:rsidR="00DC65D3" w:rsidRPr="0042067E">
        <w:rPr>
          <w:shd w:val="clear" w:color="auto" w:fill="FFFFFF"/>
        </w:rPr>
        <w:t xml:space="preserve"> </w:t>
      </w:r>
      <w:r w:rsidR="00B854CD" w:rsidRPr="0042067E">
        <w:rPr>
          <w:shd w:val="clear" w:color="auto" w:fill="FFFFFF"/>
        </w:rPr>
        <w:t>(2015)</w:t>
      </w:r>
      <w:r w:rsidR="00DC65D3" w:rsidRPr="0042067E">
        <w:rPr>
          <w:shd w:val="clear" w:color="auto" w:fill="FFFFFF"/>
        </w:rPr>
        <w:t xml:space="preserve"> </w:t>
      </w:r>
      <w:r w:rsidR="00EE41CC">
        <w:rPr>
          <w:shd w:val="clear" w:color="auto" w:fill="FFFFFF"/>
        </w:rPr>
        <w:t xml:space="preserve">several studies have demonstrated </w:t>
      </w:r>
      <w:r w:rsidR="00BE530C" w:rsidRPr="00933448">
        <w:rPr>
          <w:shd w:val="clear" w:color="auto" w:fill="FFFFFF"/>
        </w:rPr>
        <w:t>v</w:t>
      </w:r>
      <w:r w:rsidRPr="00933448">
        <w:rPr>
          <w:shd w:val="clear" w:color="auto" w:fill="FFFFFF"/>
        </w:rPr>
        <w:t>itamin D levels</w:t>
      </w:r>
      <w:r w:rsidRPr="0042067E">
        <w:rPr>
          <w:shd w:val="clear" w:color="auto" w:fill="FFFFFF"/>
        </w:rPr>
        <w:t xml:space="preserve"> are lower in MS patients compared to control</w:t>
      </w:r>
      <w:r w:rsidR="00B854CD" w:rsidRPr="0042067E">
        <w:rPr>
          <w:shd w:val="clear" w:color="auto" w:fill="FFFFFF"/>
        </w:rPr>
        <w:t xml:space="preserve"> patients</w:t>
      </w:r>
      <w:r w:rsidR="00DC65D3" w:rsidRPr="006B10D4">
        <w:rPr>
          <w:shd w:val="clear" w:color="auto" w:fill="FFFFFF"/>
        </w:rPr>
        <w:t xml:space="preserve">.  </w:t>
      </w:r>
      <w:r w:rsidR="00830A2B" w:rsidRPr="006B10D4">
        <w:rPr>
          <w:shd w:val="clear" w:color="auto" w:fill="FFFFFF"/>
        </w:rPr>
        <w:t xml:space="preserve">For example, </w:t>
      </w:r>
      <w:r w:rsidR="00830A2B" w:rsidRPr="006B10D4">
        <w:rPr>
          <w:color w:val="000000"/>
          <w:shd w:val="clear" w:color="auto" w:fill="FFFFFF"/>
        </w:rPr>
        <w:t>the mean serum levels</w:t>
      </w:r>
      <w:r w:rsidR="006B10D4" w:rsidRPr="006B10D4">
        <w:rPr>
          <w:color w:val="000000"/>
          <w:shd w:val="clear" w:color="auto" w:fill="FFFFFF"/>
        </w:rPr>
        <w:t xml:space="preserve"> of 25-hydroxy </w:t>
      </w:r>
      <w:r w:rsidR="005F6CFC">
        <w:rPr>
          <w:color w:val="000000"/>
          <w:shd w:val="clear" w:color="auto" w:fill="FFFFFF"/>
        </w:rPr>
        <w:t>v</w:t>
      </w:r>
      <w:r w:rsidR="006B10D4" w:rsidRPr="006B10D4">
        <w:rPr>
          <w:color w:val="000000"/>
          <w:shd w:val="clear" w:color="auto" w:fill="FFFFFF"/>
        </w:rPr>
        <w:t xml:space="preserve">itamin D in </w:t>
      </w:r>
      <w:r w:rsidR="006B10D4" w:rsidRPr="006B10D4">
        <w:rPr>
          <w:color w:val="000000"/>
        </w:rPr>
        <w:t xml:space="preserve">new diagnosed patients with multiple sclerosis versus their healthy relatives </w:t>
      </w:r>
      <w:r w:rsidR="00830A2B" w:rsidRPr="006B10D4">
        <w:rPr>
          <w:color w:val="000000"/>
          <w:shd w:val="clear" w:color="auto" w:fill="FFFFFF"/>
        </w:rPr>
        <w:t>were 11.31 and 17.9 ng/ml, respectively (P=0.003)</w:t>
      </w:r>
      <w:r w:rsidR="006B10D4" w:rsidRPr="006B10D4">
        <w:rPr>
          <w:color w:val="000000"/>
          <w:shd w:val="clear" w:color="auto" w:fill="FFFFFF"/>
        </w:rPr>
        <w:t xml:space="preserve"> in a study by </w:t>
      </w:r>
      <w:proofErr w:type="spellStart"/>
      <w:r w:rsidR="006B10D4" w:rsidRPr="006B10D4">
        <w:rPr>
          <w:color w:val="000000"/>
        </w:rPr>
        <w:t>Mazdeh</w:t>
      </w:r>
      <w:proofErr w:type="spellEnd"/>
      <w:r w:rsidR="006B10D4" w:rsidRPr="006B10D4">
        <w:rPr>
          <w:color w:val="000000"/>
        </w:rPr>
        <w:t xml:space="preserve"> et al</w:t>
      </w:r>
      <w:r w:rsidR="4345FD2A" w:rsidRPr="006B10D4">
        <w:rPr>
          <w:color w:val="000000"/>
        </w:rPr>
        <w:t>.</w:t>
      </w:r>
      <w:r w:rsidR="006B10D4" w:rsidRPr="006B10D4">
        <w:rPr>
          <w:color w:val="000000"/>
        </w:rPr>
        <w:t xml:space="preserve"> (2013).</w:t>
      </w:r>
      <w:r w:rsidR="006B10D4">
        <w:rPr>
          <w:color w:val="000000"/>
        </w:rPr>
        <w:t xml:space="preserve">  </w:t>
      </w:r>
      <w:r w:rsidRPr="0042067E">
        <w:rPr>
          <w:shd w:val="clear" w:color="auto" w:fill="FFFFFF"/>
        </w:rPr>
        <w:t xml:space="preserve">Vitamin D deficiency </w:t>
      </w:r>
      <w:r w:rsidR="00B854CD" w:rsidRPr="0042067E">
        <w:rPr>
          <w:shd w:val="clear" w:color="auto" w:fill="FFFFFF"/>
        </w:rPr>
        <w:t xml:space="preserve">has </w:t>
      </w:r>
      <w:r w:rsidR="0042067E" w:rsidRPr="0042067E">
        <w:rPr>
          <w:shd w:val="clear" w:color="auto" w:fill="FFFFFF"/>
        </w:rPr>
        <w:t>been identified</w:t>
      </w:r>
      <w:r w:rsidRPr="0042067E">
        <w:rPr>
          <w:shd w:val="clear" w:color="auto" w:fill="FFFFFF"/>
        </w:rPr>
        <w:t xml:space="preserve"> as a predictor of developing clinically definite MS for patients with clinically isolated syndrome while higher </w:t>
      </w:r>
      <w:r w:rsidR="005F6CFC">
        <w:rPr>
          <w:shd w:val="clear" w:color="auto" w:fill="FFFFFF"/>
        </w:rPr>
        <w:t>v</w:t>
      </w:r>
      <w:r w:rsidRPr="0042067E">
        <w:rPr>
          <w:shd w:val="clear" w:color="auto" w:fill="FFFFFF"/>
        </w:rPr>
        <w:t>itamin D levels have been correlated with lower relapse rate in MS patients (</w:t>
      </w:r>
      <w:proofErr w:type="spellStart"/>
      <w:r w:rsidRPr="0042067E">
        <w:rPr>
          <w:shd w:val="clear" w:color="auto" w:fill="FFFFFF"/>
        </w:rPr>
        <w:t>Alharbi</w:t>
      </w:r>
      <w:proofErr w:type="spellEnd"/>
      <w:r w:rsidRPr="0042067E">
        <w:rPr>
          <w:shd w:val="clear" w:color="auto" w:fill="FFFFFF"/>
        </w:rPr>
        <w:t>, 2015)</w:t>
      </w:r>
      <w:r w:rsidRPr="270DDC39">
        <w:t xml:space="preserve">. </w:t>
      </w:r>
      <w:r w:rsidRPr="0009709C">
        <w:rPr>
          <w:spacing w:val="3"/>
          <w:shd w:val="clear" w:color="auto" w:fill="FFFFFF"/>
        </w:rPr>
        <w:t xml:space="preserve"> </w:t>
      </w:r>
      <w:r w:rsidRPr="0009709C">
        <w:t xml:space="preserve">Conversely low levels of </w:t>
      </w:r>
      <w:r w:rsidR="005F6CFC">
        <w:t>v</w:t>
      </w:r>
      <w:r w:rsidRPr="0009709C">
        <w:t xml:space="preserve">itamin D have been linked with high levels of disability as well as </w:t>
      </w:r>
      <w:r w:rsidRPr="0009709C">
        <w:rPr>
          <w:spacing w:val="3"/>
          <w:shd w:val="clear" w:color="auto" w:fill="FFFFFF"/>
        </w:rPr>
        <w:t xml:space="preserve">cognitive impairment in MS </w:t>
      </w:r>
      <w:r w:rsidRPr="00AB5F23">
        <w:rPr>
          <w:spacing w:val="3"/>
          <w:shd w:val="clear" w:color="auto" w:fill="FFFFFF"/>
        </w:rPr>
        <w:t>(</w:t>
      </w:r>
      <w:proofErr w:type="spellStart"/>
      <w:r w:rsidR="005F5068" w:rsidRPr="00AB5F23">
        <w:rPr>
          <w:color w:val="000000"/>
        </w:rPr>
        <w:t>Thouvenot</w:t>
      </w:r>
      <w:proofErr w:type="spellEnd"/>
      <w:r w:rsidR="005F5068" w:rsidRPr="00AB5F23">
        <w:rPr>
          <w:color w:val="000000"/>
        </w:rPr>
        <w:t xml:space="preserve">, </w:t>
      </w:r>
      <w:proofErr w:type="spellStart"/>
      <w:r w:rsidR="005F5068" w:rsidRPr="00AB5F23">
        <w:rPr>
          <w:color w:val="000000"/>
        </w:rPr>
        <w:t>Orsini</w:t>
      </w:r>
      <w:proofErr w:type="spellEnd"/>
      <w:r w:rsidR="005F5068" w:rsidRPr="00AB5F23">
        <w:rPr>
          <w:color w:val="000000"/>
        </w:rPr>
        <w:t xml:space="preserve">, </w:t>
      </w:r>
      <w:proofErr w:type="spellStart"/>
      <w:r w:rsidR="005F5068" w:rsidRPr="00AB5F23">
        <w:rPr>
          <w:color w:val="000000"/>
        </w:rPr>
        <w:t>Daures</w:t>
      </w:r>
      <w:proofErr w:type="spellEnd"/>
      <w:r w:rsidR="005F5068" w:rsidRPr="00AB5F23">
        <w:rPr>
          <w:color w:val="000000"/>
        </w:rPr>
        <w:t xml:space="preserve">, &amp; </w:t>
      </w:r>
      <w:proofErr w:type="spellStart"/>
      <w:r w:rsidR="005F5068" w:rsidRPr="00AB5F23">
        <w:rPr>
          <w:color w:val="000000"/>
        </w:rPr>
        <w:t>Camu</w:t>
      </w:r>
      <w:proofErr w:type="spellEnd"/>
      <w:r w:rsidR="005F5068" w:rsidRPr="00AB5F23">
        <w:rPr>
          <w:color w:val="000000"/>
        </w:rPr>
        <w:t>, 2015</w:t>
      </w:r>
      <w:r w:rsidRPr="00AB5F23">
        <w:rPr>
          <w:spacing w:val="3"/>
          <w:shd w:val="clear" w:color="auto" w:fill="FFFFFF"/>
        </w:rPr>
        <w:t xml:space="preserve">; </w:t>
      </w:r>
      <w:proofErr w:type="spellStart"/>
      <w:r w:rsidR="009557FF" w:rsidRPr="00AB5F23">
        <w:rPr>
          <w:spacing w:val="3"/>
          <w:shd w:val="clear" w:color="auto" w:fill="FFFFFF"/>
        </w:rPr>
        <w:t>A</w:t>
      </w:r>
      <w:r w:rsidR="00B51EDA" w:rsidRPr="00AB5F23">
        <w:rPr>
          <w:spacing w:val="3"/>
          <w:shd w:val="clear" w:color="auto" w:fill="FFFFFF"/>
        </w:rPr>
        <w:t>sc</w:t>
      </w:r>
      <w:r w:rsidR="009557FF" w:rsidRPr="00AB5F23">
        <w:rPr>
          <w:spacing w:val="3"/>
          <w:shd w:val="clear" w:color="auto" w:fill="FFFFFF"/>
        </w:rPr>
        <w:t>herio</w:t>
      </w:r>
      <w:proofErr w:type="spellEnd"/>
      <w:r w:rsidR="009557FF" w:rsidRPr="00AB5F23">
        <w:rPr>
          <w:spacing w:val="3"/>
          <w:shd w:val="clear" w:color="auto" w:fill="FFFFFF"/>
        </w:rPr>
        <w:t xml:space="preserve"> et al., 2014; </w:t>
      </w:r>
      <w:proofErr w:type="spellStart"/>
      <w:r w:rsidRPr="00AB5F23">
        <w:rPr>
          <w:spacing w:val="3"/>
          <w:shd w:val="clear" w:color="auto" w:fill="FFFFFF"/>
        </w:rPr>
        <w:t>Darwish</w:t>
      </w:r>
      <w:proofErr w:type="spellEnd"/>
      <w:r w:rsidRPr="00AB5F23">
        <w:rPr>
          <w:spacing w:val="3"/>
          <w:shd w:val="clear" w:color="auto" w:fill="FFFFFF"/>
        </w:rPr>
        <w:t xml:space="preserve"> et al., 2017).</w:t>
      </w:r>
      <w:r w:rsidR="009557FF" w:rsidRPr="00AB5F23">
        <w:rPr>
          <w:spacing w:val="3"/>
          <w:shd w:val="clear" w:color="auto" w:fill="FFFFFF"/>
        </w:rPr>
        <w:t xml:space="preserve"> </w:t>
      </w:r>
      <w:r w:rsidR="005E3E5E" w:rsidRPr="00AB5F23">
        <w:rPr>
          <w:spacing w:val="3"/>
          <w:shd w:val="clear" w:color="auto" w:fill="FFFFFF"/>
        </w:rPr>
        <w:t xml:space="preserve"> </w:t>
      </w:r>
      <w:proofErr w:type="spellStart"/>
      <w:r w:rsidR="001444F5" w:rsidRPr="00AB5F23">
        <w:rPr>
          <w:color w:val="000000"/>
        </w:rPr>
        <w:lastRenderedPageBreak/>
        <w:t>Thouvenot</w:t>
      </w:r>
      <w:proofErr w:type="spellEnd"/>
      <w:r w:rsidR="005F5068" w:rsidRPr="00AB5F23">
        <w:rPr>
          <w:color w:val="000000"/>
        </w:rPr>
        <w:t xml:space="preserve"> et al.</w:t>
      </w:r>
      <w:r w:rsidR="001444F5" w:rsidRPr="00AB5F23">
        <w:rPr>
          <w:color w:val="000000"/>
        </w:rPr>
        <w:t xml:space="preserve"> (2015) </w:t>
      </w:r>
      <w:r w:rsidR="001444F5" w:rsidRPr="00AB5F23">
        <w:rPr>
          <w:color w:val="000000"/>
          <w:shd w:val="clear" w:color="auto" w:fill="FFFFFF"/>
        </w:rPr>
        <w:t xml:space="preserve">identified </w:t>
      </w:r>
      <w:r w:rsidR="269AEE2E" w:rsidRPr="00AB5F23">
        <w:rPr>
          <w:color w:val="000000"/>
          <w:shd w:val="clear" w:color="auto" w:fill="FFFFFF"/>
        </w:rPr>
        <w:t>Expanded Disability Status Scores (</w:t>
      </w:r>
      <w:r w:rsidR="00066816" w:rsidRPr="00AB5F23">
        <w:rPr>
          <w:color w:val="000000"/>
          <w:shd w:val="clear" w:color="auto" w:fill="FFFFFF"/>
        </w:rPr>
        <w:t>EDSS</w:t>
      </w:r>
      <w:r w:rsidR="269AEE2E" w:rsidRPr="00AB5F23">
        <w:rPr>
          <w:color w:val="000000"/>
          <w:shd w:val="clear" w:color="auto" w:fill="FFFFFF"/>
        </w:rPr>
        <w:t xml:space="preserve">), a </w:t>
      </w:r>
      <w:r w:rsidR="2F12C45C" w:rsidRPr="00AB5F23">
        <w:rPr>
          <w:color w:val="000000"/>
          <w:shd w:val="clear" w:color="auto" w:fill="FFFFFF"/>
        </w:rPr>
        <w:t>system</w:t>
      </w:r>
      <w:r w:rsidR="269AEE2E" w:rsidRPr="00AB5F23">
        <w:rPr>
          <w:color w:val="000000"/>
          <w:shd w:val="clear" w:color="auto" w:fill="FFFFFF"/>
        </w:rPr>
        <w:t xml:space="preserve"> of quantifying disability in MS patients and monitoring changes in the level of disability overtime, </w:t>
      </w:r>
      <w:r w:rsidR="00066816" w:rsidRPr="00AB5F23">
        <w:rPr>
          <w:color w:val="000000"/>
          <w:shd w:val="clear" w:color="auto" w:fill="FFFFFF"/>
        </w:rPr>
        <w:t xml:space="preserve">were correlated with plasma </w:t>
      </w:r>
      <w:r w:rsidR="005F6CFC" w:rsidRPr="00AB5F23">
        <w:rPr>
          <w:color w:val="000000"/>
          <w:shd w:val="clear" w:color="auto" w:fill="FFFFFF"/>
        </w:rPr>
        <w:t>v</w:t>
      </w:r>
      <w:r w:rsidR="00066816" w:rsidRPr="00AB5F23">
        <w:rPr>
          <w:color w:val="000000"/>
          <w:shd w:val="clear" w:color="auto" w:fill="FFFFFF"/>
        </w:rPr>
        <w:t>itamin D levels</w:t>
      </w:r>
      <w:r w:rsidR="001444F5" w:rsidRPr="00AB5F23">
        <w:rPr>
          <w:color w:val="000000"/>
          <w:shd w:val="clear" w:color="auto" w:fill="FFFFFF"/>
        </w:rPr>
        <w:t xml:space="preserve"> and p</w:t>
      </w:r>
      <w:r w:rsidR="00066816" w:rsidRPr="00AB5F23">
        <w:rPr>
          <w:color w:val="000000"/>
          <w:shd w:val="clear" w:color="auto" w:fill="FFFFFF"/>
        </w:rPr>
        <w:t xml:space="preserve">atients with </w:t>
      </w:r>
      <w:r w:rsidR="005F6CFC" w:rsidRPr="00AB5F23">
        <w:rPr>
          <w:color w:val="000000"/>
          <w:shd w:val="clear" w:color="auto" w:fill="FFFFFF"/>
        </w:rPr>
        <w:t>v</w:t>
      </w:r>
      <w:r w:rsidR="00066816" w:rsidRPr="00AB5F23">
        <w:rPr>
          <w:color w:val="000000"/>
          <w:shd w:val="clear" w:color="auto" w:fill="FFFFFF"/>
        </w:rPr>
        <w:t>itamin D levels &gt;50-nmol/L were 2.78 times more likely to have an EDSS &lt;4 (</w:t>
      </w:r>
      <w:r w:rsidR="00066816" w:rsidRPr="00AB5F23">
        <w:rPr>
          <w:rStyle w:val="Emphasis"/>
          <w:color w:val="000000"/>
          <w:shd w:val="clear" w:color="auto" w:fill="FFFFFF"/>
        </w:rPr>
        <w:t>p</w:t>
      </w:r>
      <w:r w:rsidR="00066816" w:rsidRPr="00AB5F23">
        <w:rPr>
          <w:color w:val="000000"/>
          <w:shd w:val="clear" w:color="auto" w:fill="FFFFFF"/>
        </w:rPr>
        <w:t>=0.0011).</w:t>
      </w:r>
      <w:r w:rsidR="269AEE2E" w:rsidRPr="00AB5F23">
        <w:rPr>
          <w:color w:val="000000"/>
          <w:shd w:val="clear" w:color="auto" w:fill="FFFFFF"/>
        </w:rPr>
        <w:t xml:space="preserve">  </w:t>
      </w:r>
      <w:r w:rsidR="269AEE2E" w:rsidRPr="00AB5F23">
        <w:t xml:space="preserve">The EDSS scale was developed by John </w:t>
      </w:r>
      <w:proofErr w:type="spellStart"/>
      <w:r w:rsidR="269AEE2E" w:rsidRPr="00AB5F23">
        <w:t>Kurtzke</w:t>
      </w:r>
      <w:proofErr w:type="spellEnd"/>
      <w:r w:rsidR="269AEE2E" w:rsidRPr="00AB5F23">
        <w:t>, a neurologist, in 1983</w:t>
      </w:r>
      <w:r w:rsidR="2F12C45C" w:rsidRPr="00AB5F23">
        <w:t>.  Patients are given scores,</w:t>
      </w:r>
      <w:r w:rsidR="269AEE2E" w:rsidRPr="00AB5F23">
        <w:t xml:space="preserve"> rang</w:t>
      </w:r>
      <w:r w:rsidR="2F12C45C" w:rsidRPr="00AB5F23">
        <w:t>ing</w:t>
      </w:r>
      <w:r w:rsidR="269AEE2E" w:rsidRPr="00AB5F23">
        <w:t xml:space="preserve"> from 0 to 10 by 0.5 unit increments</w:t>
      </w:r>
      <w:r w:rsidR="2F12C45C" w:rsidRPr="270DDC39">
        <w:t>,</w:t>
      </w:r>
      <w:r w:rsidR="269AEE2E" w:rsidRPr="00AB5F23">
        <w:t xml:space="preserve"> based on examination by a neurologist with higher scores representing higher levels of disability (See Ap</w:t>
      </w:r>
      <w:r w:rsidR="0F9C91B5" w:rsidRPr="00AB5F23">
        <w:t>pendic</w:t>
      </w:r>
      <w:r w:rsidR="269AEE2E" w:rsidRPr="00AB5F23">
        <w:t xml:space="preserve">es </w:t>
      </w:r>
      <w:r w:rsidR="2F12C45C" w:rsidRPr="00AB5F23">
        <w:t>A</w:t>
      </w:r>
      <w:r w:rsidR="269AEE2E" w:rsidRPr="270DDC39">
        <w:t xml:space="preserve">).  </w:t>
      </w:r>
      <w:proofErr w:type="spellStart"/>
      <w:r w:rsidR="009557FF" w:rsidRPr="00AB5F23">
        <w:rPr>
          <w:spacing w:val="3"/>
          <w:shd w:val="clear" w:color="auto" w:fill="FFFFFF"/>
        </w:rPr>
        <w:t>As</w:t>
      </w:r>
      <w:r w:rsidR="623C589A" w:rsidRPr="00AB5F23">
        <w:rPr>
          <w:spacing w:val="3"/>
          <w:shd w:val="clear" w:color="auto" w:fill="FFFFFF"/>
        </w:rPr>
        <w:t>c</w:t>
      </w:r>
      <w:r w:rsidR="009557FF" w:rsidRPr="00AB5F23">
        <w:rPr>
          <w:spacing w:val="3"/>
          <w:shd w:val="clear" w:color="auto" w:fill="FFFFFF"/>
        </w:rPr>
        <w:t>herio</w:t>
      </w:r>
      <w:proofErr w:type="spellEnd"/>
      <w:r w:rsidR="009557FF" w:rsidRPr="00AB5F23">
        <w:rPr>
          <w:spacing w:val="3"/>
          <w:shd w:val="clear" w:color="auto" w:fill="FFFFFF"/>
        </w:rPr>
        <w:t xml:space="preserve"> et al. (2014) discovered that le</w:t>
      </w:r>
      <w:r w:rsidR="009557FF" w:rsidRPr="00AB5F23">
        <w:rPr>
          <w:color w:val="000000"/>
          <w:shd w:val="clear" w:color="auto" w:fill="FFFFFF"/>
        </w:rPr>
        <w:t xml:space="preserve">vels ≥50 </w:t>
      </w:r>
      <w:proofErr w:type="spellStart"/>
      <w:r w:rsidR="009557FF" w:rsidRPr="00AB5F23">
        <w:rPr>
          <w:color w:val="000000"/>
          <w:shd w:val="clear" w:color="auto" w:fill="FFFFFF"/>
        </w:rPr>
        <w:t>nmol</w:t>
      </w:r>
      <w:proofErr w:type="spellEnd"/>
      <w:r w:rsidR="009557FF" w:rsidRPr="00AB5F23">
        <w:rPr>
          <w:color w:val="000000"/>
          <w:shd w:val="clear" w:color="auto" w:fill="FFFFFF"/>
        </w:rPr>
        <w:t>/L at follow-periods of up to 12 months predicted lower EDSS scores (</w:t>
      </w:r>
      <w:r w:rsidR="009557FF" w:rsidRPr="270DDC39">
        <w:rPr>
          <w:rStyle w:val="Emphasis"/>
          <w:i w:val="0"/>
          <w:iCs w:val="0"/>
          <w:color w:val="000000"/>
          <w:shd w:val="clear" w:color="auto" w:fill="FFFFFF"/>
        </w:rPr>
        <w:t>p</w:t>
      </w:r>
      <w:r w:rsidR="009557FF" w:rsidRPr="00AB5F23">
        <w:rPr>
          <w:color w:val="000000"/>
          <w:shd w:val="clear" w:color="auto" w:fill="FFFFFF"/>
        </w:rPr>
        <w:t>=0.004) during the following 4 years.</w:t>
      </w:r>
      <w:r w:rsidRPr="00AB5F23">
        <w:rPr>
          <w:spacing w:val="3"/>
          <w:shd w:val="clear" w:color="auto" w:fill="FFFFFF"/>
        </w:rPr>
        <w:t xml:space="preserve"> </w:t>
      </w:r>
      <w:r w:rsidR="00BB67F8" w:rsidRPr="00AB5F23">
        <w:rPr>
          <w:spacing w:val="3"/>
          <w:shd w:val="clear" w:color="auto" w:fill="FFFFFF"/>
        </w:rPr>
        <w:t xml:space="preserve"> </w:t>
      </w:r>
      <w:proofErr w:type="spellStart"/>
      <w:r w:rsidR="00BB67F8" w:rsidRPr="00AB5F23">
        <w:rPr>
          <w:color w:val="000000"/>
        </w:rPr>
        <w:t>Darwish</w:t>
      </w:r>
      <w:proofErr w:type="spellEnd"/>
      <w:r w:rsidR="00BB67F8" w:rsidRPr="00AB5F23">
        <w:rPr>
          <w:color w:val="000000"/>
        </w:rPr>
        <w:t xml:space="preserve"> et al. (2017) found </w:t>
      </w:r>
      <w:r w:rsidR="003D31DF" w:rsidRPr="00AB5F23">
        <w:rPr>
          <w:color w:val="000000"/>
        </w:rPr>
        <w:t xml:space="preserve">in a study </w:t>
      </w:r>
      <w:r w:rsidR="003F705C" w:rsidRPr="00AB5F23">
        <w:rPr>
          <w:color w:val="000000"/>
        </w:rPr>
        <w:t>of 88</w:t>
      </w:r>
      <w:r w:rsidR="0085260A" w:rsidRPr="00AB5F23">
        <w:rPr>
          <w:color w:val="000000"/>
        </w:rPr>
        <w:t xml:space="preserve"> </w:t>
      </w:r>
      <w:r w:rsidR="00BB67F8" w:rsidRPr="00AB5F23">
        <w:rPr>
          <w:color w:val="000000"/>
        </w:rPr>
        <w:t>participants</w:t>
      </w:r>
      <w:r w:rsidR="003D31DF" w:rsidRPr="00AB5F23">
        <w:rPr>
          <w:color w:val="000000"/>
        </w:rPr>
        <w:t xml:space="preserve">, </w:t>
      </w:r>
      <w:r w:rsidR="00BB67F8" w:rsidRPr="00AB5F23">
        <w:rPr>
          <w:color w:val="000000"/>
        </w:rPr>
        <w:t>47 (53.4%) were 25 (OH) D</w:t>
      </w:r>
      <w:r w:rsidR="6858A76D" w:rsidRPr="00AB5F23">
        <w:rPr>
          <w:color w:val="000000"/>
        </w:rPr>
        <w:t xml:space="preserve">, a laboratory test for </w:t>
      </w:r>
      <w:r w:rsidR="005F6CFC" w:rsidRPr="00AB5F23">
        <w:rPr>
          <w:color w:val="000000"/>
        </w:rPr>
        <w:t>v</w:t>
      </w:r>
      <w:r w:rsidR="6858A76D" w:rsidRPr="00AB5F23">
        <w:rPr>
          <w:color w:val="000000"/>
        </w:rPr>
        <w:t>itamin D</w:t>
      </w:r>
      <w:r w:rsidR="00BB67F8" w:rsidRPr="00AB5F23">
        <w:rPr>
          <w:color w:val="000000"/>
        </w:rPr>
        <w:t xml:space="preserve"> sufficient</w:t>
      </w:r>
      <w:r w:rsidR="00932ABC" w:rsidRPr="00AB5F23">
        <w:rPr>
          <w:color w:val="000000"/>
        </w:rPr>
        <w:t>,</w:t>
      </w:r>
      <w:r w:rsidR="00BB67F8" w:rsidRPr="00AB5F23">
        <w:rPr>
          <w:color w:val="000000"/>
        </w:rPr>
        <w:t xml:space="preserve"> and 41 (46.6%) were 25 (OH) D deficient at baseline, with mean 25 (OH)</w:t>
      </w:r>
      <w:r w:rsidR="00383370" w:rsidRPr="00AB5F23">
        <w:rPr>
          <w:color w:val="000000"/>
        </w:rPr>
        <w:t xml:space="preserve"> </w:t>
      </w:r>
      <w:r w:rsidR="00BB67F8" w:rsidRPr="00AB5F23">
        <w:rPr>
          <w:color w:val="000000"/>
        </w:rPr>
        <w:t>D serum levels of 15.8</w:t>
      </w:r>
      <w:r w:rsidR="00BB67F8" w:rsidRPr="00AB5F23">
        <w:rPr>
          <w:rFonts w:eastAsia="Calibri"/>
          <w:color w:val="000000"/>
        </w:rPr>
        <w:t> </w:t>
      </w:r>
      <w:r w:rsidR="00BB67F8" w:rsidRPr="00AB5F23">
        <w:rPr>
          <w:color w:val="000000"/>
        </w:rPr>
        <w:t>±</w:t>
      </w:r>
      <w:r w:rsidR="00BB67F8" w:rsidRPr="00AB5F23">
        <w:rPr>
          <w:rFonts w:eastAsia="Calibri"/>
          <w:color w:val="000000"/>
        </w:rPr>
        <w:t> </w:t>
      </w:r>
      <w:r w:rsidR="00BB67F8" w:rsidRPr="00AB5F23">
        <w:rPr>
          <w:color w:val="000000"/>
        </w:rPr>
        <w:t>6.5</w:t>
      </w:r>
      <w:r w:rsidR="00BB67F8" w:rsidRPr="00AB5F23">
        <w:rPr>
          <w:rFonts w:eastAsia="Calibri"/>
          <w:color w:val="000000"/>
        </w:rPr>
        <w:t> </w:t>
      </w:r>
      <w:r w:rsidR="00BB67F8" w:rsidRPr="00AB5F23">
        <w:rPr>
          <w:color w:val="000000"/>
        </w:rPr>
        <w:t>ng/ml in the deficient group and 59.6</w:t>
      </w:r>
      <w:r w:rsidR="00BB67F8" w:rsidRPr="00AB5F23">
        <w:rPr>
          <w:rFonts w:eastAsia="Calibri"/>
          <w:color w:val="000000"/>
        </w:rPr>
        <w:t> </w:t>
      </w:r>
      <w:r w:rsidR="00BB67F8" w:rsidRPr="00AB5F23">
        <w:rPr>
          <w:color w:val="000000"/>
        </w:rPr>
        <w:t>±</w:t>
      </w:r>
      <w:r w:rsidR="00BB67F8" w:rsidRPr="00AB5F23">
        <w:rPr>
          <w:rFonts w:eastAsia="Calibri"/>
          <w:color w:val="000000"/>
        </w:rPr>
        <w:t> </w:t>
      </w:r>
      <w:r w:rsidR="00BB67F8" w:rsidRPr="00AB5F23">
        <w:rPr>
          <w:color w:val="000000"/>
        </w:rPr>
        <w:t>24.5</w:t>
      </w:r>
      <w:r w:rsidR="00BB67F8" w:rsidRPr="00AB5F23">
        <w:rPr>
          <w:rFonts w:eastAsia="Calibri"/>
          <w:color w:val="000000"/>
        </w:rPr>
        <w:t> </w:t>
      </w:r>
      <w:r w:rsidR="00BB67F8" w:rsidRPr="00AB5F23">
        <w:rPr>
          <w:color w:val="000000"/>
        </w:rPr>
        <w:t>ng/ml in the sufficient group</w:t>
      </w:r>
      <w:r w:rsidR="00BA24C9">
        <w:rPr>
          <w:color w:val="000000"/>
        </w:rPr>
        <w:t xml:space="preserve">. </w:t>
      </w:r>
      <w:r w:rsidR="00BB67F8" w:rsidRPr="00AB5F23">
        <w:rPr>
          <w:color w:val="000000"/>
        </w:rPr>
        <w:t>The 25 (OH) D levels increased to</w:t>
      </w:r>
      <w:r w:rsidR="007325CC" w:rsidRPr="00AB5F23">
        <w:rPr>
          <w:color w:val="000000"/>
        </w:rPr>
        <w:t xml:space="preserve"> </w:t>
      </w:r>
      <w:r w:rsidR="00BB67F8" w:rsidRPr="00AB5F23">
        <w:rPr>
          <w:color w:val="000000"/>
        </w:rPr>
        <w:t>49.0</w:t>
      </w:r>
      <w:r w:rsidR="00BB67F8" w:rsidRPr="00AB5F23">
        <w:rPr>
          <w:rFonts w:eastAsia="Calibri"/>
          <w:color w:val="000000"/>
        </w:rPr>
        <w:t> </w:t>
      </w:r>
      <w:r w:rsidR="00BB67F8" w:rsidRPr="00AB5F23">
        <w:rPr>
          <w:color w:val="000000"/>
        </w:rPr>
        <w:t>±</w:t>
      </w:r>
      <w:r w:rsidR="00BB67F8" w:rsidRPr="00AB5F23">
        <w:rPr>
          <w:rFonts w:eastAsia="Calibri"/>
          <w:color w:val="000000"/>
        </w:rPr>
        <w:t> </w:t>
      </w:r>
      <w:r w:rsidR="00BB67F8" w:rsidRPr="00AB5F23">
        <w:rPr>
          <w:color w:val="000000"/>
        </w:rPr>
        <w:t>14.6</w:t>
      </w:r>
      <w:r w:rsidR="00BB67F8" w:rsidRPr="00AB5F23">
        <w:rPr>
          <w:rFonts w:eastAsia="Calibri"/>
          <w:color w:val="000000"/>
        </w:rPr>
        <w:t> </w:t>
      </w:r>
      <w:r w:rsidR="00BB67F8" w:rsidRPr="00AB5F23">
        <w:rPr>
          <w:color w:val="000000"/>
        </w:rPr>
        <w:t>ng/ml (p</w:t>
      </w:r>
      <w:r w:rsidR="00BB67F8" w:rsidRPr="00AB5F23">
        <w:rPr>
          <w:rFonts w:eastAsia="Calibri"/>
          <w:color w:val="000000"/>
        </w:rPr>
        <w:t> </w:t>
      </w:r>
      <w:r w:rsidR="00BB67F8" w:rsidRPr="00AB5F23">
        <w:rPr>
          <w:color w:val="000000"/>
        </w:rPr>
        <w:t>&lt;</w:t>
      </w:r>
      <w:r w:rsidR="00BB67F8" w:rsidRPr="00AB5F23">
        <w:rPr>
          <w:rFonts w:eastAsia="Calibri"/>
          <w:color w:val="000000"/>
        </w:rPr>
        <w:t> </w:t>
      </w:r>
      <w:r w:rsidR="00BB67F8" w:rsidRPr="00AB5F23">
        <w:rPr>
          <w:color w:val="000000"/>
        </w:rPr>
        <w:t>0.001 compared to baseline) and cognitive performance improved significantly on the Brief Visuospatial Memory Test delayed recall (p</w:t>
      </w:r>
      <w:r w:rsidR="00BB67F8" w:rsidRPr="00AB5F23">
        <w:rPr>
          <w:rFonts w:eastAsia="Calibri"/>
          <w:color w:val="000000"/>
        </w:rPr>
        <w:t> </w:t>
      </w:r>
      <w:r w:rsidR="00BB67F8" w:rsidRPr="00AB5F23">
        <w:rPr>
          <w:color w:val="000000"/>
        </w:rPr>
        <w:t>=</w:t>
      </w:r>
      <w:r w:rsidR="00BB67F8" w:rsidRPr="00AB5F23">
        <w:rPr>
          <w:rFonts w:eastAsia="Calibri"/>
          <w:color w:val="000000"/>
        </w:rPr>
        <w:t> </w:t>
      </w:r>
      <w:r w:rsidR="00BB67F8" w:rsidRPr="00AB5F23">
        <w:rPr>
          <w:color w:val="000000"/>
        </w:rPr>
        <w:t>0.02) and the Montreal Cognitive Assessment (p</w:t>
      </w:r>
      <w:r w:rsidR="00BB67F8" w:rsidRPr="00AB5F23">
        <w:rPr>
          <w:rFonts w:eastAsia="Calibri"/>
          <w:color w:val="000000"/>
        </w:rPr>
        <w:t> </w:t>
      </w:r>
      <w:r w:rsidR="00BB67F8" w:rsidRPr="00AB5F23">
        <w:rPr>
          <w:color w:val="000000"/>
        </w:rPr>
        <w:t>=</w:t>
      </w:r>
      <w:r w:rsidR="00BB67F8" w:rsidRPr="00AB5F23">
        <w:rPr>
          <w:rFonts w:eastAsia="Calibri"/>
          <w:color w:val="000000"/>
        </w:rPr>
        <w:t> </w:t>
      </w:r>
      <w:r w:rsidR="00BB67F8" w:rsidRPr="00AB5F23">
        <w:rPr>
          <w:color w:val="000000"/>
        </w:rPr>
        <w:t xml:space="preserve">0.006) in the deficient group after three months of high dose </w:t>
      </w:r>
      <w:r w:rsidR="005F6CFC" w:rsidRPr="00AB5F23">
        <w:rPr>
          <w:color w:val="000000"/>
        </w:rPr>
        <w:t>v</w:t>
      </w:r>
      <w:r w:rsidR="00BB67F8" w:rsidRPr="00AB5F23">
        <w:rPr>
          <w:color w:val="000000"/>
        </w:rPr>
        <w:t>itamin D supplementation.</w:t>
      </w:r>
      <w:r w:rsidR="009557FF" w:rsidRPr="00AB5F23">
        <w:rPr>
          <w:color w:val="000000"/>
        </w:rPr>
        <w:t xml:space="preserve">  </w:t>
      </w:r>
      <w:r w:rsidRPr="00AB5F23">
        <w:rPr>
          <w:shd w:val="clear" w:color="auto" w:fill="FFFFFF"/>
        </w:rPr>
        <w:t xml:space="preserve">Due to factors such as immobility, avoidance of the sun, IV steroids, and use of anti-epileptic medications, the risk for osteoporosis and prevalence for </w:t>
      </w:r>
      <w:r w:rsidR="005F6CFC" w:rsidRPr="00AB5F23">
        <w:rPr>
          <w:shd w:val="clear" w:color="auto" w:fill="FFFFFF"/>
        </w:rPr>
        <w:t>v</w:t>
      </w:r>
      <w:r w:rsidRPr="00AB5F23">
        <w:rPr>
          <w:shd w:val="clear" w:color="auto" w:fill="FFFFFF"/>
        </w:rPr>
        <w:t>itamin D deficiency is increased in MS patients</w:t>
      </w:r>
      <w:r w:rsidR="2F12C45C" w:rsidRPr="00AB5F23">
        <w:rPr>
          <w:shd w:val="clear" w:color="auto" w:fill="FFFFFF"/>
        </w:rPr>
        <w:t xml:space="preserve">.  Given the increased risk for </w:t>
      </w:r>
      <w:r w:rsidR="005F6CFC" w:rsidRPr="00AB5F23">
        <w:rPr>
          <w:shd w:val="clear" w:color="auto" w:fill="FFFFFF"/>
        </w:rPr>
        <w:t>v</w:t>
      </w:r>
      <w:r w:rsidR="2F12C45C" w:rsidRPr="00AB5F23">
        <w:rPr>
          <w:shd w:val="clear" w:color="auto" w:fill="FFFFFF"/>
        </w:rPr>
        <w:t>itamin D deficiency in this population,</w:t>
      </w:r>
      <w:r w:rsidRPr="00AB5F23">
        <w:rPr>
          <w:shd w:val="clear" w:color="auto" w:fill="FFFFFF"/>
        </w:rPr>
        <w:t xml:space="preserve"> </w:t>
      </w:r>
      <w:r w:rsidR="005F6CFC" w:rsidRPr="00AB5F23">
        <w:rPr>
          <w:shd w:val="clear" w:color="auto" w:fill="FFFFFF"/>
        </w:rPr>
        <w:t>v</w:t>
      </w:r>
      <w:r w:rsidRPr="00AB5F23">
        <w:rPr>
          <w:shd w:val="clear" w:color="auto" w:fill="FFFFFF"/>
        </w:rPr>
        <w:t>itamin D levels should b</w:t>
      </w:r>
      <w:r w:rsidR="623C589A" w:rsidRPr="00AB5F23">
        <w:rPr>
          <w:shd w:val="clear" w:color="auto" w:fill="FFFFFF"/>
        </w:rPr>
        <w:t xml:space="preserve">e </w:t>
      </w:r>
      <w:r w:rsidR="2F12C45C" w:rsidRPr="00AB5F23">
        <w:rPr>
          <w:shd w:val="clear" w:color="auto" w:fill="FFFFFF"/>
        </w:rPr>
        <w:t>routinely evaluat</w:t>
      </w:r>
      <w:r w:rsidR="623C589A" w:rsidRPr="00AB5F23">
        <w:rPr>
          <w:shd w:val="clear" w:color="auto" w:fill="FFFFFF"/>
        </w:rPr>
        <w:t>ed</w:t>
      </w:r>
      <w:r w:rsidRPr="00AB5F23">
        <w:rPr>
          <w:shd w:val="clear" w:color="auto" w:fill="FFFFFF"/>
        </w:rPr>
        <w:t xml:space="preserve"> </w:t>
      </w:r>
      <w:r w:rsidR="2F12C45C" w:rsidRPr="00AB5F23">
        <w:rPr>
          <w:shd w:val="clear" w:color="auto" w:fill="FFFFFF"/>
        </w:rPr>
        <w:t>for treatment of deficiency</w:t>
      </w:r>
      <w:r w:rsidRPr="00AB5F23">
        <w:rPr>
          <w:shd w:val="clear" w:color="auto" w:fill="FFFFFF"/>
        </w:rPr>
        <w:t xml:space="preserve"> (</w:t>
      </w:r>
      <w:proofErr w:type="spellStart"/>
      <w:r w:rsidRPr="00AB5F23">
        <w:rPr>
          <w:shd w:val="clear" w:color="auto" w:fill="FFFFFF"/>
        </w:rPr>
        <w:t>Alharbi</w:t>
      </w:r>
      <w:proofErr w:type="spellEnd"/>
      <w:r w:rsidRPr="00AB5F23">
        <w:rPr>
          <w:shd w:val="clear" w:color="auto" w:fill="FFFFFF"/>
        </w:rPr>
        <w:t xml:space="preserve">, 2015). </w:t>
      </w:r>
      <w:r w:rsidR="00377F62" w:rsidRPr="00AB5F23">
        <w:rPr>
          <w:shd w:val="clear" w:color="auto" w:fill="FFFFFF"/>
        </w:rPr>
        <w:t xml:space="preserve"> </w:t>
      </w:r>
    </w:p>
    <w:p w14:paraId="4A85F21E" w14:textId="6705ADDC" w:rsidR="004F47CC" w:rsidRPr="00AB5F23" w:rsidRDefault="00377F62" w:rsidP="693C9F63">
      <w:pPr>
        <w:spacing w:line="480" w:lineRule="auto"/>
        <w:ind w:firstLine="720"/>
      </w:pPr>
      <w:r w:rsidRPr="00AB5F23">
        <w:rPr>
          <w:shd w:val="clear" w:color="auto" w:fill="FFFFFF"/>
        </w:rPr>
        <w:t xml:space="preserve">There are various dosages of over the counter </w:t>
      </w:r>
      <w:r w:rsidR="005F6CFC" w:rsidRPr="00AB5F23">
        <w:rPr>
          <w:shd w:val="clear" w:color="auto" w:fill="FFFFFF"/>
        </w:rPr>
        <w:t>v</w:t>
      </w:r>
      <w:r w:rsidRPr="00AB5F23">
        <w:rPr>
          <w:shd w:val="clear" w:color="auto" w:fill="FFFFFF"/>
        </w:rPr>
        <w:t xml:space="preserve">itamin D supplements ranging from </w:t>
      </w:r>
      <w:r w:rsidR="00780734" w:rsidRPr="00AB5F23">
        <w:rPr>
          <w:shd w:val="clear" w:color="auto" w:fill="FFFFFF"/>
        </w:rPr>
        <w:t>400 to 10,000 IU.</w:t>
      </w:r>
      <w:r w:rsidR="001F4C4B" w:rsidRPr="00AB5F23">
        <w:rPr>
          <w:shd w:val="clear" w:color="auto" w:fill="FFFFFF"/>
        </w:rPr>
        <w:t xml:space="preserve"> High dose of vitamin D3</w:t>
      </w:r>
      <w:r w:rsidRPr="00AB5F23">
        <w:rPr>
          <w:shd w:val="clear" w:color="auto" w:fill="FFFFFF"/>
        </w:rPr>
        <w:t>, such as 10,400 IU daily,</w:t>
      </w:r>
      <w:r w:rsidR="001F4C4B" w:rsidRPr="00AB5F23">
        <w:rPr>
          <w:shd w:val="clear" w:color="auto" w:fill="FFFFFF"/>
        </w:rPr>
        <w:t xml:space="preserve"> is safe for MS patients (</w:t>
      </w:r>
      <w:proofErr w:type="spellStart"/>
      <w:r w:rsidR="00C64EBB" w:rsidRPr="00AB5F23">
        <w:t>Sotirchos</w:t>
      </w:r>
      <w:proofErr w:type="spellEnd"/>
      <w:r w:rsidR="00C64EBB" w:rsidRPr="00AB5F23">
        <w:t xml:space="preserve"> et al.</w:t>
      </w:r>
      <w:r w:rsidR="001F4C4B" w:rsidRPr="00AB5F23">
        <w:rPr>
          <w:shd w:val="clear" w:color="auto" w:fill="FFFFFF"/>
        </w:rPr>
        <w:t xml:space="preserve">, 2016).    </w:t>
      </w:r>
      <w:r w:rsidR="007C740E" w:rsidRPr="003F688C">
        <w:rPr>
          <w:shd w:val="clear" w:color="auto" w:fill="FFFFFF"/>
        </w:rPr>
        <w:t xml:space="preserve">Vitamin D sufficiency </w:t>
      </w:r>
      <w:r w:rsidR="006A077B" w:rsidRPr="003F688C">
        <w:rPr>
          <w:shd w:val="clear" w:color="auto" w:fill="FFFFFF"/>
        </w:rPr>
        <w:t>recommendations</w:t>
      </w:r>
      <w:r w:rsidR="007C740E" w:rsidRPr="003F688C">
        <w:rPr>
          <w:shd w:val="clear" w:color="auto" w:fill="FFFFFF"/>
        </w:rPr>
        <w:t xml:space="preserve"> for MS patients range from ≥ 50nmol/L (20 ng/ml) to </w:t>
      </w:r>
      <w:r w:rsidR="007C740E" w:rsidRPr="003F688C">
        <w:t xml:space="preserve">75 </w:t>
      </w:r>
      <w:proofErr w:type="spellStart"/>
      <w:r w:rsidR="007C740E" w:rsidRPr="003F688C">
        <w:t>nmol</w:t>
      </w:r>
      <w:proofErr w:type="spellEnd"/>
      <w:r w:rsidR="007C740E" w:rsidRPr="003F688C">
        <w:t xml:space="preserve">/l (30 ng/ml) to 125 </w:t>
      </w:r>
      <w:proofErr w:type="spellStart"/>
      <w:r w:rsidR="007C740E" w:rsidRPr="003F688C">
        <w:t>nmol</w:t>
      </w:r>
      <w:proofErr w:type="spellEnd"/>
      <w:r w:rsidR="007C740E" w:rsidRPr="003F688C">
        <w:t>/l (50 ng/ml)</w:t>
      </w:r>
      <w:r w:rsidR="004521C4">
        <w:t xml:space="preserve"> </w:t>
      </w:r>
      <w:r w:rsidR="004F47CC" w:rsidRPr="003F688C">
        <w:t>(</w:t>
      </w:r>
      <w:proofErr w:type="spellStart"/>
      <w:r w:rsidR="004F47CC" w:rsidRPr="003F688C">
        <w:t>Alharbi</w:t>
      </w:r>
      <w:proofErr w:type="spellEnd"/>
      <w:r w:rsidR="004F47CC" w:rsidRPr="003F688C">
        <w:t>, 2015)</w:t>
      </w:r>
      <w:r w:rsidR="001F4C4B" w:rsidRPr="3A05F469">
        <w:t>.</w:t>
      </w:r>
      <w:r w:rsidR="006A077B" w:rsidRPr="3A05F469">
        <w:t xml:space="preserve">  </w:t>
      </w:r>
      <w:r w:rsidR="003F688C">
        <w:t xml:space="preserve">Vitamin </w:t>
      </w:r>
      <w:r w:rsidR="003F688C">
        <w:lastRenderedPageBreak/>
        <w:t xml:space="preserve">D levels are measured in </w:t>
      </w:r>
      <w:proofErr w:type="spellStart"/>
      <w:r w:rsidR="003F688C">
        <w:t>n</w:t>
      </w:r>
      <w:r w:rsidR="0016129A" w:rsidRPr="003F688C">
        <w:t>mol</w:t>
      </w:r>
      <w:proofErr w:type="spellEnd"/>
      <w:r w:rsidR="0016129A" w:rsidRPr="003F688C">
        <w:t xml:space="preserve">/L </w:t>
      </w:r>
      <w:r w:rsidR="003F688C">
        <w:t xml:space="preserve">or </w:t>
      </w:r>
      <w:r w:rsidR="0016129A" w:rsidRPr="003F688C">
        <w:t>ng/mL</w:t>
      </w:r>
      <w:r w:rsidR="006A077B" w:rsidRPr="3A05F469">
        <w:t>;</w:t>
      </w:r>
      <w:r w:rsidR="003F688C" w:rsidRPr="3A05F469">
        <w:t xml:space="preserve"> </w:t>
      </w:r>
      <w:r w:rsidR="006A077B" w:rsidRPr="003F688C">
        <w:t>these can be converted to one another</w:t>
      </w:r>
      <w:r w:rsidR="0016129A" w:rsidRPr="003F688C">
        <w:t xml:space="preserve"> by multiplying each </w:t>
      </w:r>
      <w:proofErr w:type="spellStart"/>
      <w:r w:rsidR="0016129A" w:rsidRPr="003F688C">
        <w:t>nmol</w:t>
      </w:r>
      <w:proofErr w:type="spellEnd"/>
      <w:r w:rsidR="0016129A" w:rsidRPr="003F688C">
        <w:t>/L by 2.5</w:t>
      </w:r>
      <w:r w:rsidR="006A077B" w:rsidRPr="003F688C">
        <w:t xml:space="preserve"> or dividing each ng/mL by 2.5 </w:t>
      </w:r>
      <w:r w:rsidR="2F12C45C" w:rsidRPr="003F688C">
        <w:t>(Vitamin D Council, 2016).</w:t>
      </w:r>
      <w:r w:rsidR="2F12C45C" w:rsidRPr="3A05F469">
        <w:t xml:space="preserve">   </w:t>
      </w:r>
    </w:p>
    <w:p w14:paraId="79BE45C6" w14:textId="6D0288FF" w:rsidR="004F47CC" w:rsidRPr="00AB5F23" w:rsidRDefault="001F4C4B" w:rsidP="270DDC39">
      <w:pPr>
        <w:spacing w:line="480" w:lineRule="auto"/>
        <w:ind w:firstLine="720"/>
        <w:rPr>
          <w:rFonts w:ascii="Arial" w:eastAsia="Arial" w:hAnsi="Arial" w:cs="Arial"/>
          <w:color w:val="000000" w:themeColor="text1"/>
        </w:rPr>
      </w:pPr>
      <w:r w:rsidRPr="00AB5F23">
        <w:rPr>
          <w:shd w:val="clear" w:color="auto" w:fill="FFFFFF"/>
        </w:rPr>
        <w:t xml:space="preserve"> </w:t>
      </w:r>
      <w:r w:rsidR="2597DD41" w:rsidRPr="00AB5F23">
        <w:rPr>
          <w:shd w:val="clear" w:color="auto" w:fill="FFFFFF"/>
        </w:rPr>
        <w:t>T</w:t>
      </w:r>
      <w:r w:rsidRPr="00AB5F23">
        <w:rPr>
          <w:shd w:val="clear" w:color="auto" w:fill="FFFFFF"/>
        </w:rPr>
        <w:t>here is no protocol at the clinic for routine vitamin D screening or supplementation for MS</w:t>
      </w:r>
      <w:r w:rsidR="00A71324" w:rsidRPr="00AB5F23">
        <w:rPr>
          <w:shd w:val="clear" w:color="auto" w:fill="FFFFFF"/>
        </w:rPr>
        <w:t xml:space="preserve"> patients.  </w:t>
      </w:r>
      <w:r w:rsidR="00E06B4F" w:rsidRPr="00AB5F23">
        <w:t xml:space="preserve">A protocol for routine screening and supplementation addresses outcomes associated with the Triple Aim, with a goal for improvement in patient quality, health, and cost.  </w:t>
      </w:r>
      <w:r w:rsidR="00671828" w:rsidRPr="00AB5F23">
        <w:t xml:space="preserve">  With MS disease progression and disability</w:t>
      </w:r>
      <w:r w:rsidR="00C60D91" w:rsidRPr="270DDC39">
        <w:t>,</w:t>
      </w:r>
      <w:r w:rsidR="00AE57D5" w:rsidRPr="00AB5F23">
        <w:t xml:space="preserve"> health related quality of life diminishes and health care resource utilization </w:t>
      </w:r>
      <w:r w:rsidR="00C60D91" w:rsidRPr="00AB5F23">
        <w:t xml:space="preserve">and </w:t>
      </w:r>
      <w:r w:rsidR="00AE57D5" w:rsidRPr="00AB5F23">
        <w:t>cost increase</w:t>
      </w:r>
      <w:r w:rsidR="0062064A" w:rsidRPr="00AB5F23">
        <w:t>s</w:t>
      </w:r>
      <w:r w:rsidR="00AE57D5" w:rsidRPr="270DDC39">
        <w:t xml:space="preserve"> </w:t>
      </w:r>
      <w:r w:rsidR="00AE57D5" w:rsidRPr="00933448">
        <w:t>(</w:t>
      </w:r>
      <w:r w:rsidR="0062064A" w:rsidRPr="00933448">
        <w:rPr>
          <w:color w:val="000000" w:themeColor="text1"/>
        </w:rPr>
        <w:t>Jones, Pike, Marshall,</w:t>
      </w:r>
      <w:r w:rsidR="00086B5D" w:rsidRPr="00933448">
        <w:rPr>
          <w:color w:val="000000" w:themeColor="text1"/>
        </w:rPr>
        <w:t xml:space="preserve"> &amp; Ye</w:t>
      </w:r>
      <w:r w:rsidR="00086B5D" w:rsidRPr="00933448">
        <w:t xml:space="preserve">, 2016). </w:t>
      </w:r>
      <w:r w:rsidR="0062064A" w:rsidRPr="00933448">
        <w:t xml:space="preserve"> </w:t>
      </w:r>
      <w:r w:rsidR="00691633" w:rsidRPr="00933448">
        <w:rPr>
          <w:shd w:val="clear" w:color="auto" w:fill="FFFFFF"/>
        </w:rPr>
        <w:t>MS p</w:t>
      </w:r>
      <w:r w:rsidR="00A702FF" w:rsidRPr="00A37891">
        <w:rPr>
          <w:rStyle w:val="highlight"/>
          <w:color w:val="000000" w:themeColor="text1"/>
        </w:rPr>
        <w:t>atients</w:t>
      </w:r>
      <w:r w:rsidR="00A702FF" w:rsidRPr="004B2DA2">
        <w:rPr>
          <w:shd w:val="clear" w:color="auto" w:fill="FFFFFF"/>
        </w:rPr>
        <w:t> with higher </w:t>
      </w:r>
      <w:r w:rsidR="00A702FF" w:rsidRPr="008B569A">
        <w:rPr>
          <w:rStyle w:val="highlight"/>
          <w:shd w:val="clear" w:color="auto" w:fill="FFFFFF"/>
        </w:rPr>
        <w:t>disability</w:t>
      </w:r>
      <w:r w:rsidR="00A702FF" w:rsidRPr="008B569A">
        <w:rPr>
          <w:shd w:val="clear" w:color="auto" w:fill="FFFFFF"/>
        </w:rPr>
        <w:t xml:space="preserve"> scores, </w:t>
      </w:r>
      <w:r w:rsidR="00A702FF" w:rsidRPr="00933448">
        <w:rPr>
          <w:shd w:val="clear" w:color="auto" w:fill="FFFFFF"/>
        </w:rPr>
        <w:t xml:space="preserve">such as EDSS scores of more than 3, and </w:t>
      </w:r>
      <w:r w:rsidR="00691633" w:rsidRPr="00933448">
        <w:rPr>
          <w:shd w:val="clear" w:color="auto" w:fill="FFFFFF"/>
        </w:rPr>
        <w:t>active</w:t>
      </w:r>
      <w:r w:rsidR="00A702FF" w:rsidRPr="00933448">
        <w:rPr>
          <w:shd w:val="clear" w:color="auto" w:fill="FFFFFF"/>
        </w:rPr>
        <w:t xml:space="preserve"> relapse</w:t>
      </w:r>
      <w:r w:rsidR="00691633" w:rsidRPr="00933448">
        <w:rPr>
          <w:shd w:val="clear" w:color="auto" w:fill="FFFFFF"/>
        </w:rPr>
        <w:t xml:space="preserve"> have been correlated with</w:t>
      </w:r>
      <w:r w:rsidR="00A702FF" w:rsidRPr="00A37891">
        <w:rPr>
          <w:shd w:val="clear" w:color="auto" w:fill="FFFFFF"/>
        </w:rPr>
        <w:t xml:space="preserve"> </w:t>
      </w:r>
      <w:r w:rsidR="00691633" w:rsidRPr="004B2DA2">
        <w:t xml:space="preserve">significant </w:t>
      </w:r>
      <w:r w:rsidR="00691633" w:rsidRPr="008B569A">
        <w:rPr>
          <w:rStyle w:val="highlight"/>
          <w:shd w:val="clear" w:color="auto" w:fill="FFFFFF"/>
        </w:rPr>
        <w:t>health</w:t>
      </w:r>
      <w:r w:rsidR="00691633" w:rsidRPr="008B569A">
        <w:rPr>
          <w:shd w:val="clear" w:color="auto" w:fill="FFFFFF"/>
        </w:rPr>
        <w:t> </w:t>
      </w:r>
      <w:r w:rsidR="00691633" w:rsidRPr="008B569A">
        <w:rPr>
          <w:rStyle w:val="highlight"/>
          <w:shd w:val="clear" w:color="auto" w:fill="FFFFFF"/>
        </w:rPr>
        <w:t>resource</w:t>
      </w:r>
      <w:r w:rsidR="00691633" w:rsidRPr="008B569A">
        <w:rPr>
          <w:shd w:val="clear" w:color="auto" w:fill="FFFFFF"/>
        </w:rPr>
        <w:t> </w:t>
      </w:r>
      <w:r w:rsidR="00691633" w:rsidRPr="008B569A">
        <w:rPr>
          <w:rStyle w:val="highlight"/>
          <w:shd w:val="clear" w:color="auto" w:fill="FFFFFF"/>
        </w:rPr>
        <w:t xml:space="preserve">utilization and </w:t>
      </w:r>
      <w:r w:rsidR="00691633" w:rsidRPr="008B569A">
        <w:t>poor health related quality of life</w:t>
      </w:r>
      <w:r w:rsidR="00691633" w:rsidRPr="008B569A">
        <w:rPr>
          <w:rStyle w:val="highlight"/>
          <w:shd w:val="clear" w:color="auto" w:fill="FFFFFF"/>
        </w:rPr>
        <w:t xml:space="preserve"> </w:t>
      </w:r>
      <w:r w:rsidR="00F52F79" w:rsidRPr="008B569A">
        <w:rPr>
          <w:shd w:val="clear" w:color="auto" w:fill="FFFFFF"/>
        </w:rPr>
        <w:t>(</w:t>
      </w:r>
      <w:r w:rsidR="00F52F79" w:rsidRPr="00933448">
        <w:rPr>
          <w:shd w:val="clear" w:color="auto" w:fill="FFFFFF"/>
        </w:rPr>
        <w:t>E</w:t>
      </w:r>
      <w:r w:rsidR="00AB5F23" w:rsidRPr="00933448">
        <w:rPr>
          <w:shd w:val="clear" w:color="auto" w:fill="FFFFFF"/>
        </w:rPr>
        <w:t xml:space="preserve">. </w:t>
      </w:r>
      <w:r w:rsidR="00F52F79" w:rsidRPr="00933448">
        <w:rPr>
          <w:shd w:val="clear" w:color="auto" w:fill="FFFFFF"/>
        </w:rPr>
        <w:t>Jones</w:t>
      </w:r>
      <w:r w:rsidR="007D3E0F" w:rsidRPr="00933448">
        <w:rPr>
          <w:shd w:val="clear" w:color="auto" w:fill="FFFFFF"/>
        </w:rPr>
        <w:t xml:space="preserve"> </w:t>
      </w:r>
      <w:r w:rsidR="00691633" w:rsidRPr="00933448">
        <w:rPr>
          <w:shd w:val="clear" w:color="auto" w:fill="FFFFFF"/>
        </w:rPr>
        <w:t>et al., 2016)</w:t>
      </w:r>
      <w:r w:rsidR="00A702FF" w:rsidRPr="00933448">
        <w:rPr>
          <w:shd w:val="clear" w:color="auto" w:fill="FFFFFF"/>
        </w:rPr>
        <w:t>.</w:t>
      </w:r>
      <w:r w:rsidR="00691633" w:rsidRPr="00933448">
        <w:rPr>
          <w:shd w:val="clear" w:color="auto" w:fill="FFFFFF"/>
        </w:rPr>
        <w:t xml:space="preserve">  In fact, Jones et al. reported the </w:t>
      </w:r>
      <w:r w:rsidR="00691633" w:rsidRPr="00933448">
        <w:rPr>
          <w:color w:val="000000"/>
          <w:shd w:val="clear" w:color="auto" w:fill="FFFFFF"/>
        </w:rPr>
        <w:t>total</w:t>
      </w:r>
      <w:r w:rsidR="00691633" w:rsidRPr="00AB5F23">
        <w:rPr>
          <w:color w:val="000000"/>
          <w:shd w:val="clear" w:color="auto" w:fill="FFFFFF"/>
        </w:rPr>
        <w:t xml:space="preserve"> costs of care for a patient with</w:t>
      </w:r>
      <w:r w:rsidR="00691633" w:rsidRPr="00AB5F23">
        <w:t xml:space="preserve"> an EDSS score &gt;5 was $67,116 versus</w:t>
      </w:r>
      <w:r w:rsidR="00691633" w:rsidRPr="00AB5F23">
        <w:rPr>
          <w:color w:val="000000"/>
          <w:shd w:val="clear" w:color="auto" w:fill="FFFFFF"/>
        </w:rPr>
        <w:t xml:space="preserve"> $51,825 for EDSS scores &lt;3 during the 12-month period</w:t>
      </w:r>
      <w:r w:rsidR="00691633" w:rsidRPr="00AB5F23">
        <w:rPr>
          <w:shd w:val="clear" w:color="auto" w:fill="FFFFFF"/>
        </w:rPr>
        <w:t xml:space="preserve">. </w:t>
      </w:r>
      <w:r w:rsidR="2F12C45C" w:rsidRPr="270DDC39">
        <w:t xml:space="preserve"> </w:t>
      </w:r>
      <w:r w:rsidR="00691633" w:rsidRPr="00AB5F23">
        <w:t xml:space="preserve">Thus, </w:t>
      </w:r>
      <w:r w:rsidR="00691633" w:rsidRPr="00AB5F23">
        <w:rPr>
          <w:shd w:val="clear" w:color="auto" w:fill="FFFFFF"/>
        </w:rPr>
        <w:t>s</w:t>
      </w:r>
      <w:r w:rsidR="00C90914" w:rsidRPr="00AB5F23">
        <w:rPr>
          <w:shd w:val="clear" w:color="auto" w:fill="FFFFFF"/>
        </w:rPr>
        <w:t>l</w:t>
      </w:r>
      <w:r w:rsidR="00A702FF" w:rsidRPr="00AB5F23">
        <w:t xml:space="preserve">owing down progression and delaying disability through methods such as ensuring adequate </w:t>
      </w:r>
      <w:r w:rsidR="005F6CFC" w:rsidRPr="00AB5F23">
        <w:t>v</w:t>
      </w:r>
      <w:r w:rsidR="00A702FF" w:rsidRPr="00AB5F23">
        <w:t>itamin</w:t>
      </w:r>
      <w:r w:rsidR="00B50AA8" w:rsidRPr="00AB5F23">
        <w:t xml:space="preserve"> D levels is necessary for optimal patient quality, health and costs.  </w:t>
      </w:r>
    </w:p>
    <w:p w14:paraId="4704ACE7" w14:textId="77777777" w:rsidR="00824FCA" w:rsidRDefault="269AEE2E" w:rsidP="269AEE2E">
      <w:pPr>
        <w:pStyle w:val="APA"/>
        <w:ind w:firstLine="0"/>
        <w:rPr>
          <w:rFonts w:asciiTheme="minorHAnsi" w:eastAsiaTheme="minorEastAsia" w:hAnsiTheme="minorHAnsi" w:cstheme="minorBidi"/>
        </w:rPr>
      </w:pPr>
      <w:r w:rsidRPr="269AEE2E">
        <w:rPr>
          <w:b/>
          <w:bCs/>
        </w:rPr>
        <w:t>Question Guiding Inquiry (PICO)</w:t>
      </w:r>
      <w:r w:rsidRPr="269AEE2E">
        <w:rPr>
          <w:rFonts w:asciiTheme="minorHAnsi" w:eastAsiaTheme="minorEastAsia" w:hAnsiTheme="minorHAnsi" w:cstheme="minorBidi"/>
        </w:rPr>
        <w:t xml:space="preserve"> </w:t>
      </w:r>
    </w:p>
    <w:p w14:paraId="1969EAC5" w14:textId="4C2F049B" w:rsidR="003679DD" w:rsidRDefault="00623F8D" w:rsidP="00272ADB">
      <w:pPr>
        <w:spacing w:line="480" w:lineRule="auto"/>
        <w:ind w:firstLine="720"/>
      </w:pPr>
      <w:r>
        <w:rPr>
          <w:color w:val="000000"/>
          <w:shd w:val="clear" w:color="auto" w:fill="FFFFFF"/>
        </w:rPr>
        <w:t>An evidence-based practice, literature review strategy was utilized to evaluate this care coordination issue.</w:t>
      </w:r>
      <w:r w:rsidR="00172422">
        <w:rPr>
          <w:color w:val="000000"/>
          <w:shd w:val="clear" w:color="auto" w:fill="FFFFFF"/>
        </w:rPr>
        <w:t xml:space="preserve">  The literature search was guided by the PICO framework.  </w:t>
      </w:r>
      <w:r w:rsidR="00272ADB">
        <w:rPr>
          <w:color w:val="000000"/>
          <w:shd w:val="clear" w:color="auto" w:fill="FFFFFF"/>
        </w:rPr>
        <w:t xml:space="preserve"> PICO stands for </w:t>
      </w:r>
      <w:r w:rsidR="00272ADB" w:rsidRPr="269AEE2E">
        <w:rPr>
          <w:b/>
          <w:bCs/>
          <w:color w:val="000000"/>
          <w:shd w:val="clear" w:color="auto" w:fill="FFFFFF"/>
        </w:rPr>
        <w:t>P</w:t>
      </w:r>
      <w:r w:rsidR="00272ADB">
        <w:rPr>
          <w:color w:val="000000"/>
          <w:shd w:val="clear" w:color="auto" w:fill="FFFFFF"/>
        </w:rPr>
        <w:t xml:space="preserve">opulation, </w:t>
      </w:r>
      <w:r w:rsidR="00272ADB" w:rsidRPr="269AEE2E">
        <w:rPr>
          <w:b/>
          <w:bCs/>
          <w:color w:val="000000"/>
          <w:shd w:val="clear" w:color="auto" w:fill="FFFFFF"/>
        </w:rPr>
        <w:t>I</w:t>
      </w:r>
      <w:r w:rsidR="00272ADB">
        <w:rPr>
          <w:color w:val="000000"/>
          <w:shd w:val="clear" w:color="auto" w:fill="FFFFFF"/>
        </w:rPr>
        <w:t xml:space="preserve">ntervention, </w:t>
      </w:r>
      <w:r w:rsidR="00272ADB" w:rsidRPr="269AEE2E">
        <w:rPr>
          <w:b/>
          <w:bCs/>
          <w:color w:val="000000"/>
          <w:shd w:val="clear" w:color="auto" w:fill="FFFFFF"/>
        </w:rPr>
        <w:t>C</w:t>
      </w:r>
      <w:r w:rsidR="00272ADB">
        <w:rPr>
          <w:color w:val="000000"/>
          <w:shd w:val="clear" w:color="auto" w:fill="FFFFFF"/>
        </w:rPr>
        <w:t xml:space="preserve">omparison, and </w:t>
      </w:r>
      <w:r w:rsidR="00272ADB" w:rsidRPr="269AEE2E">
        <w:rPr>
          <w:b/>
          <w:bCs/>
          <w:color w:val="000000"/>
          <w:shd w:val="clear" w:color="auto" w:fill="FFFFFF"/>
        </w:rPr>
        <w:t>O</w:t>
      </w:r>
      <w:r w:rsidR="00272ADB">
        <w:rPr>
          <w:color w:val="000000"/>
          <w:shd w:val="clear" w:color="auto" w:fill="FFFFFF"/>
        </w:rPr>
        <w:t xml:space="preserve">utcome. </w:t>
      </w:r>
      <w:r w:rsidRPr="270DDC39">
        <w:t xml:space="preserve"> </w:t>
      </w:r>
      <w:r w:rsidR="007E0F4D">
        <w:t xml:space="preserve">The PICO question for this DNP project was:  </w:t>
      </w:r>
      <w:r w:rsidR="003679DD">
        <w:t xml:space="preserve">For complex patients with Multiple Sclerosis receiving care at a </w:t>
      </w:r>
      <w:r w:rsidR="00F910DB">
        <w:t>MS Clinic</w:t>
      </w:r>
      <w:r w:rsidR="003679DD">
        <w:t xml:space="preserve"> in</w:t>
      </w:r>
      <w:r w:rsidR="00E60F35">
        <w:t xml:space="preserve"> a large metropolitan area</w:t>
      </w:r>
      <w:r w:rsidR="00B50AA8" w:rsidRPr="270DDC39">
        <w:t xml:space="preserve"> </w:t>
      </w:r>
      <w:r w:rsidR="003679DD">
        <w:t>[Population], does the</w:t>
      </w:r>
      <w:r w:rsidR="007B1DFE">
        <w:t xml:space="preserve"> development &amp;</w:t>
      </w:r>
      <w:r w:rsidR="003679DD">
        <w:t xml:space="preserve"> implementation of a </w:t>
      </w:r>
      <w:r w:rsidR="00F910DB">
        <w:t>protocol for routine vitamin D screening and supplementation</w:t>
      </w:r>
      <w:r w:rsidR="003679DD" w:rsidRPr="00D27321">
        <w:t xml:space="preserve"> developed from current literature</w:t>
      </w:r>
      <w:r w:rsidR="003679DD">
        <w:t xml:space="preserve"> [Intervention], compared with the absence of a </w:t>
      </w:r>
      <w:r w:rsidR="00F910DB">
        <w:t>protocol</w:t>
      </w:r>
      <w:r w:rsidR="003679DD">
        <w:t xml:space="preserve"> [Comparison] improve provider adherence to evidenced based practice and standardization of patient care coordination [Outcome]?</w:t>
      </w:r>
    </w:p>
    <w:p w14:paraId="526F5B6C" w14:textId="6CC1C9B6" w:rsidR="00325A3C" w:rsidRDefault="00325A3C" w:rsidP="2F12C45C">
      <w:pPr>
        <w:pStyle w:val="APA"/>
        <w:rPr>
          <w:highlight w:val="yellow"/>
        </w:rPr>
      </w:pPr>
      <w:r w:rsidRPr="2F12C45C">
        <w:rPr>
          <w:b/>
          <w:bCs/>
        </w:rPr>
        <w:lastRenderedPageBreak/>
        <w:t>Population</w:t>
      </w:r>
      <w:r w:rsidRPr="2F12C45C">
        <w:t>.</w:t>
      </w:r>
      <w:r w:rsidR="2F12C45C" w:rsidRPr="2F12C45C">
        <w:t xml:space="preserve">  The population consisted of patients receiving care at a MS clinic in a large metropolitan area.  The population included men and women from 18 to 70 years old with primarily Caucasian and African American ethnical backgrounds.  These patients had various payer types including commercial insurance and government funded insurance such as Tricare, Medicare, and Medicaid. </w:t>
      </w:r>
    </w:p>
    <w:p w14:paraId="3588FC29" w14:textId="5FFE9BDF" w:rsidR="00325A3C" w:rsidRDefault="00325A3C" w:rsidP="76F3BAF1">
      <w:pPr>
        <w:pStyle w:val="APA"/>
      </w:pPr>
      <w:r w:rsidRPr="2F12C45C">
        <w:rPr>
          <w:b/>
          <w:bCs/>
        </w:rPr>
        <w:t>Intervention</w:t>
      </w:r>
      <w:r w:rsidRPr="2E426847">
        <w:t xml:space="preserve">.  </w:t>
      </w:r>
      <w:r w:rsidR="2F12C45C">
        <w:t>The aim of this project was to develop a protocol to</w:t>
      </w:r>
      <w:r w:rsidR="2E426847">
        <w:t xml:space="preserve"> promote evidence-based practice related to </w:t>
      </w:r>
      <w:r w:rsidR="005F6CFC">
        <w:t>v</w:t>
      </w:r>
      <w:r w:rsidR="2F12C45C">
        <w:t>itamin D screening and supplementation in MS patients at a MS clinic, for application during each office visit encounter</w:t>
      </w:r>
      <w:r w:rsidR="2F12C45C" w:rsidRPr="2E426847">
        <w:t xml:space="preserve">. </w:t>
      </w:r>
      <w:r w:rsidR="2F12C45C" w:rsidRPr="2F12C45C">
        <w:t xml:space="preserve">The intervention involved the development and implementation of a protocol for routine </w:t>
      </w:r>
      <w:r w:rsidR="005F6CFC">
        <w:t>v</w:t>
      </w:r>
      <w:r w:rsidR="2F12C45C" w:rsidRPr="2F12C45C">
        <w:t xml:space="preserve">itamin D supplementation guided by current literature.  </w:t>
      </w:r>
      <w:r w:rsidR="2F12C45C" w:rsidRPr="2E426847">
        <w:t xml:space="preserve"> </w:t>
      </w:r>
      <w:r w:rsidR="2F12C45C" w:rsidRPr="2F12C45C">
        <w:t xml:space="preserve"> This protocol was created for utilization </w:t>
      </w:r>
      <w:r w:rsidR="00344133">
        <w:t>by</w:t>
      </w:r>
      <w:r w:rsidR="2F12C45C" w:rsidRPr="2F12C45C">
        <w:t xml:space="preserve"> the MS center providers for a unified approach to </w:t>
      </w:r>
      <w:r w:rsidR="005F6CFC">
        <w:t>v</w:t>
      </w:r>
      <w:r w:rsidR="2F12C45C" w:rsidRPr="2F12C45C">
        <w:t>itamin D</w:t>
      </w:r>
      <w:r w:rsidR="2F12C45C" w:rsidRPr="2E426847">
        <w:t xml:space="preserve">.  </w:t>
      </w:r>
    </w:p>
    <w:p w14:paraId="18EB5E70" w14:textId="5913F9B5" w:rsidR="00325A3C" w:rsidRDefault="00325A3C" w:rsidP="76F3BAF1">
      <w:pPr>
        <w:pStyle w:val="APA"/>
        <w:rPr>
          <w:highlight w:val="yellow"/>
        </w:rPr>
      </w:pPr>
      <w:r w:rsidRPr="2F12C45C">
        <w:rPr>
          <w:b/>
          <w:bCs/>
        </w:rPr>
        <w:t>Comparison</w:t>
      </w:r>
      <w:r w:rsidRPr="2F12C45C">
        <w:t xml:space="preserve">. </w:t>
      </w:r>
      <w:r w:rsidR="2F12C45C" w:rsidRPr="2F12C45C">
        <w:t xml:space="preserve">Currently there is no unified approach or consensus between the providers on how </w:t>
      </w:r>
      <w:r w:rsidR="005F6CFC">
        <w:t>v</w:t>
      </w:r>
      <w:r w:rsidR="2F12C45C" w:rsidRPr="2F12C45C">
        <w:t>itamin D status should be addressed.   The project assessed the impact of a protocol in lieu of the current absence of protocol on provider adherence to evidence-based practice.</w:t>
      </w:r>
    </w:p>
    <w:p w14:paraId="0F603AAC" w14:textId="5DF490F5" w:rsidR="00325A3C" w:rsidRDefault="00325A3C" w:rsidP="76F3BAF1">
      <w:pPr>
        <w:pStyle w:val="APA"/>
        <w:rPr>
          <w:highlight w:val="yellow"/>
        </w:rPr>
      </w:pPr>
      <w:r w:rsidRPr="2F12C45C">
        <w:rPr>
          <w:b/>
          <w:bCs/>
        </w:rPr>
        <w:t>Outcome</w:t>
      </w:r>
      <w:r w:rsidRPr="2F12C45C">
        <w:t xml:space="preserve">.  </w:t>
      </w:r>
      <w:r w:rsidR="2F12C45C" w:rsidRPr="2F12C45C">
        <w:t xml:space="preserve"> </w:t>
      </w:r>
      <w:r w:rsidR="2F12C45C">
        <w:t xml:space="preserve">The goal was to achieve adherence to evidence-based practice and standardization of patient care coordination for reduction in undetected and untreated </w:t>
      </w:r>
      <w:r w:rsidR="005F6CFC">
        <w:t>v</w:t>
      </w:r>
      <w:r w:rsidR="2F12C45C">
        <w:t xml:space="preserve">itamin D deficiencies.  </w:t>
      </w:r>
      <w:r w:rsidR="007568B8">
        <w:t xml:space="preserve">Outcome measures to include the number of patients: </w:t>
      </w:r>
      <w:r w:rsidR="2F12C45C" w:rsidRPr="2F12C45C">
        <w:rPr>
          <w:szCs w:val="24"/>
        </w:rPr>
        <w:t xml:space="preserve"> meeting </w:t>
      </w:r>
      <w:r w:rsidR="007568B8">
        <w:rPr>
          <w:szCs w:val="24"/>
        </w:rPr>
        <w:t xml:space="preserve">eligibility </w:t>
      </w:r>
      <w:r w:rsidR="2F12C45C" w:rsidRPr="2F12C45C">
        <w:rPr>
          <w:szCs w:val="24"/>
        </w:rPr>
        <w:t xml:space="preserve">criteria for testing, </w:t>
      </w:r>
      <w:r w:rsidR="00C90914">
        <w:rPr>
          <w:szCs w:val="24"/>
        </w:rPr>
        <w:t>w</w:t>
      </w:r>
      <w:r w:rsidR="2F12C45C" w:rsidRPr="2F12C45C">
        <w:rPr>
          <w:szCs w:val="24"/>
        </w:rPr>
        <w:t>hom testing was ordered for, meeting criteria for supplementation, whom supplementation was recommended and ordered, and adherence to recommended supplementation dosing per protocol guidelines</w:t>
      </w:r>
      <w:r w:rsidR="007568B8">
        <w:t xml:space="preserve">.   </w:t>
      </w:r>
    </w:p>
    <w:p w14:paraId="79B78750" w14:textId="77777777" w:rsidR="00824FCA" w:rsidRDefault="269AEE2E" w:rsidP="269AEE2E">
      <w:pPr>
        <w:pStyle w:val="APA"/>
        <w:ind w:firstLine="0"/>
        <w:rPr>
          <w:rFonts w:asciiTheme="minorHAnsi" w:eastAsiaTheme="minorEastAsia" w:hAnsiTheme="minorHAnsi" w:cstheme="minorBidi"/>
        </w:rPr>
      </w:pPr>
      <w:r w:rsidRPr="269AEE2E">
        <w:rPr>
          <w:b/>
          <w:bCs/>
        </w:rPr>
        <w:t>Summary</w:t>
      </w:r>
    </w:p>
    <w:p w14:paraId="10CEF60F" w14:textId="2B157805" w:rsidR="00C13CD4" w:rsidRPr="00790F6D" w:rsidRDefault="00236A20" w:rsidP="00790F6D">
      <w:pPr>
        <w:spacing w:line="480" w:lineRule="auto"/>
        <w:ind w:firstLine="720"/>
      </w:pPr>
      <w:r w:rsidRPr="0009709C">
        <w:t>Up</w:t>
      </w:r>
      <w:r w:rsidR="00C90914">
        <w:t>on discussion with the l</w:t>
      </w:r>
      <w:r w:rsidRPr="0009709C">
        <w:t xml:space="preserve">ead physician within the Multiple Sclerosis clinic, it was </w:t>
      </w:r>
      <w:r w:rsidR="00A25B3D">
        <w:t xml:space="preserve">noted </w:t>
      </w:r>
      <w:r w:rsidR="00A25B3D" w:rsidRPr="0009709C">
        <w:t>that</w:t>
      </w:r>
      <w:r w:rsidRPr="0009709C">
        <w:t xml:space="preserve"> there </w:t>
      </w:r>
      <w:r w:rsidR="00271135">
        <w:t xml:space="preserve">was </w:t>
      </w:r>
      <w:r w:rsidRPr="0009709C">
        <w:t xml:space="preserve">no protocol or standardized approach to assessing </w:t>
      </w:r>
      <w:r w:rsidR="005F6CFC">
        <w:t>v</w:t>
      </w:r>
      <w:r w:rsidRPr="0009709C">
        <w:t xml:space="preserve">itamin D status or to </w:t>
      </w:r>
      <w:r w:rsidRPr="0009709C">
        <w:lastRenderedPageBreak/>
        <w:t xml:space="preserve">supplementation for </w:t>
      </w:r>
      <w:r w:rsidR="005F6CFC">
        <w:t>v</w:t>
      </w:r>
      <w:r w:rsidRPr="0009709C">
        <w:t>itamin D deficiency in the MS patients w</w:t>
      </w:r>
      <w:r w:rsidR="00271135">
        <w:t>ithin the clinic (P</w:t>
      </w:r>
      <w:r w:rsidRPr="0009709C">
        <w:t xml:space="preserve">ersonal communication, March 22, 2018).  The lack of routine </w:t>
      </w:r>
      <w:r w:rsidR="005F6CFC">
        <w:t>v</w:t>
      </w:r>
      <w:r w:rsidRPr="0009709C">
        <w:t>itamin D screening enables an opportunity for deficiencies to go undetected and untreated w</w:t>
      </w:r>
      <w:r w:rsidR="00FA4B34">
        <w:t>hich</w:t>
      </w:r>
      <w:r w:rsidRPr="0009709C">
        <w:t xml:space="preserve"> evidence clearly demonstrates can result in adverse outcomes in MS patients.  Establishing a protocol for routine screening and supplementation will aid in </w:t>
      </w:r>
      <w:r w:rsidR="2E426847" w:rsidRPr="0009709C">
        <w:t>promotion of evidenced based practice for the providers and aid in</w:t>
      </w:r>
      <w:r w:rsidR="2E426847" w:rsidRPr="693C9F63">
        <w:t xml:space="preserve"> </w:t>
      </w:r>
      <w:r w:rsidRPr="0009709C">
        <w:t xml:space="preserve">prevention of </w:t>
      </w:r>
      <w:r w:rsidR="2E426847" w:rsidRPr="0009709C">
        <w:t xml:space="preserve">undetected </w:t>
      </w:r>
      <w:r w:rsidR="005F6CFC">
        <w:t>v</w:t>
      </w:r>
      <w:r w:rsidRPr="0009709C">
        <w:t>itamin D deficiency in MS patients at the MS clinic.</w:t>
      </w:r>
      <w:r w:rsidR="00A25B3D">
        <w:t xml:space="preserve">  </w:t>
      </w:r>
      <w:r w:rsidRPr="0009709C">
        <w:t>The MS Clinic providers will implement a routine screening and supplementation protocol based on curren</w:t>
      </w:r>
      <w:r w:rsidR="00C90914">
        <w:t xml:space="preserve">t literature for prevention of </w:t>
      </w:r>
      <w:r w:rsidR="005F6CFC">
        <w:t>v</w:t>
      </w:r>
      <w:r w:rsidR="00C90914">
        <w:t>itamin D</w:t>
      </w:r>
      <w:r w:rsidRPr="0009709C">
        <w:t xml:space="preserve"> deficiency in MS patients.  </w:t>
      </w:r>
      <w:r w:rsidR="008344E4" w:rsidRPr="00F10869">
        <w:rPr>
          <w:rFonts w:eastAsiaTheme="minorEastAsia"/>
        </w:rPr>
        <w:t xml:space="preserve">After </w:t>
      </w:r>
      <w:r w:rsidR="00D700E7">
        <w:rPr>
          <w:rFonts w:eastAsiaTheme="minorEastAsia"/>
        </w:rPr>
        <w:t xml:space="preserve">identification </w:t>
      </w:r>
      <w:r w:rsidR="008344E4" w:rsidRPr="00F10869">
        <w:rPr>
          <w:rFonts w:eastAsiaTheme="minorEastAsia"/>
        </w:rPr>
        <w:t>of the clinical problem</w:t>
      </w:r>
      <w:r w:rsidRPr="00F10869">
        <w:rPr>
          <w:rFonts w:eastAsiaTheme="minorEastAsia"/>
        </w:rPr>
        <w:t>, appraisal</w:t>
      </w:r>
      <w:r w:rsidR="008344E4" w:rsidRPr="00F10869">
        <w:rPr>
          <w:rFonts w:eastAsiaTheme="minorEastAsia"/>
        </w:rPr>
        <w:t xml:space="preserve"> of evidence was needed to </w:t>
      </w:r>
      <w:r w:rsidR="008344E4" w:rsidRPr="00F10869">
        <w:t>determine an appropriate solution.</w:t>
      </w:r>
    </w:p>
    <w:p w14:paraId="6EC269CC" w14:textId="77777777" w:rsidR="00824FCA" w:rsidRPr="00933448" w:rsidRDefault="00824FCA" w:rsidP="270DDC39">
      <w:pPr>
        <w:pStyle w:val="APA"/>
        <w:ind w:firstLine="0"/>
        <w:jc w:val="center"/>
        <w:rPr>
          <w:b/>
          <w:bCs/>
        </w:rPr>
      </w:pPr>
      <w:r>
        <w:br w:type="page"/>
      </w:r>
      <w:r w:rsidR="01B5E863" w:rsidRPr="00933448">
        <w:rPr>
          <w:b/>
          <w:bCs/>
        </w:rPr>
        <w:lastRenderedPageBreak/>
        <w:t xml:space="preserve">Chapter Two:  Review of the Literature </w:t>
      </w:r>
    </w:p>
    <w:p w14:paraId="2B7DBB18" w14:textId="49277A42" w:rsidR="01B5E863" w:rsidRPr="00933448" w:rsidRDefault="01B5E863" w:rsidP="01B5E863">
      <w:pPr>
        <w:pStyle w:val="APA"/>
      </w:pPr>
      <w:r w:rsidRPr="00933448">
        <w:t>An extensive review of literature was conducted to identify evidence.  The evidence was evaluated to determine an appropriate solution for application and utilization in practice.  Potential limitations and impeding variables for application and utilization were established upon examination of the literature</w:t>
      </w:r>
      <w:r w:rsidR="00D726A7">
        <w:t xml:space="preserve"> and will be discussed in this chapter</w:t>
      </w:r>
      <w:r w:rsidR="006E62FD">
        <w:t>.</w:t>
      </w:r>
    </w:p>
    <w:p w14:paraId="3361BAD6" w14:textId="77777777" w:rsidR="00824FCA" w:rsidRPr="007D3E0F" w:rsidRDefault="01B5E863" w:rsidP="01B5E863">
      <w:pPr>
        <w:pStyle w:val="APA"/>
        <w:ind w:firstLine="0"/>
        <w:rPr>
          <w:b/>
          <w:bCs/>
        </w:rPr>
      </w:pPr>
      <w:r w:rsidRPr="01B5E863">
        <w:rPr>
          <w:b/>
          <w:bCs/>
        </w:rPr>
        <w:t xml:space="preserve">Methodology </w:t>
      </w:r>
      <w:r w:rsidRPr="01B5E863">
        <w:rPr>
          <w:rFonts w:asciiTheme="minorHAnsi" w:eastAsiaTheme="minorEastAsia" w:hAnsiTheme="minorHAnsi" w:cstheme="minorBidi"/>
        </w:rPr>
        <w:t xml:space="preserve"> </w:t>
      </w:r>
    </w:p>
    <w:p w14:paraId="7CCBDD78" w14:textId="3CADB11B" w:rsidR="009244EB" w:rsidRPr="007D3E0F" w:rsidRDefault="00824FCA" w:rsidP="2F12C45C">
      <w:pPr>
        <w:widowControl w:val="0"/>
        <w:autoSpaceDE w:val="0"/>
        <w:autoSpaceDN w:val="0"/>
        <w:adjustRightInd w:val="0"/>
        <w:spacing w:after="240" w:line="480" w:lineRule="auto"/>
        <w:ind w:firstLine="720"/>
        <w:rPr>
          <w:color w:val="000000" w:themeColor="text1"/>
        </w:rPr>
      </w:pPr>
      <w:r w:rsidRPr="007D3E0F">
        <w:rPr>
          <w:b/>
          <w:bCs/>
        </w:rPr>
        <w:t>Sampling strategies.</w:t>
      </w:r>
      <w:r w:rsidRPr="007D3E0F">
        <w:t xml:space="preserve">  </w:t>
      </w:r>
      <w:r w:rsidR="008344E4" w:rsidRPr="007D3E0F">
        <w:t xml:space="preserve"> A </w:t>
      </w:r>
      <w:r w:rsidR="00AC5C40" w:rsidRPr="007D3E0F">
        <w:t xml:space="preserve">comprehensive </w:t>
      </w:r>
      <w:r w:rsidR="00086B5D" w:rsidRPr="007D3E0F">
        <w:t>investigation</w:t>
      </w:r>
      <w:r w:rsidR="00AC5C40" w:rsidRPr="007D3E0F">
        <w:t xml:space="preserve"> for evidence was conducted.   The goal of the search was to identify the best evidence related to a)</w:t>
      </w:r>
      <w:r w:rsidR="003A55CE" w:rsidRPr="007D3E0F">
        <w:t xml:space="preserve"> </w:t>
      </w:r>
      <w:r w:rsidR="005F6CFC" w:rsidRPr="007D3E0F">
        <w:t>v</w:t>
      </w:r>
      <w:r w:rsidR="003A55CE" w:rsidRPr="007D3E0F">
        <w:t xml:space="preserve">itamin D deficiency, </w:t>
      </w:r>
      <w:r w:rsidR="00AC5C40" w:rsidRPr="007D3E0F">
        <w:t xml:space="preserve">b) </w:t>
      </w:r>
      <w:r w:rsidR="005F6CFC" w:rsidRPr="007D3E0F">
        <w:t>v</w:t>
      </w:r>
      <w:r w:rsidR="003A55CE" w:rsidRPr="007D3E0F">
        <w:t xml:space="preserve">itamin D deficiency in MS, and c) utilization of </w:t>
      </w:r>
      <w:r w:rsidR="0018486E" w:rsidRPr="007D3E0F">
        <w:t>Dobbins</w:t>
      </w:r>
      <w:r w:rsidR="0048336D" w:rsidRPr="007D3E0F">
        <w:t xml:space="preserve"> </w:t>
      </w:r>
      <w:r w:rsidR="0048336D" w:rsidRPr="007D3E0F">
        <w:rPr>
          <w:color w:val="1F1C1D"/>
        </w:rPr>
        <w:t>framework for the dissemination and utilization of research</w:t>
      </w:r>
      <w:r w:rsidR="003A55CE" w:rsidRPr="007D3E0F">
        <w:t xml:space="preserve">.  </w:t>
      </w:r>
      <w:r w:rsidR="00AC5C40" w:rsidRPr="007D3E0F">
        <w:t xml:space="preserve">The literature </w:t>
      </w:r>
      <w:r w:rsidR="008344E4" w:rsidRPr="007D3E0F">
        <w:t xml:space="preserve">search was carried out in various sources (PubMed, Google Scholar) and a </w:t>
      </w:r>
      <w:r w:rsidR="00AC5C40" w:rsidRPr="007D3E0F">
        <w:t xml:space="preserve">discussion of key points was held with the MS clinic’s MS subspecialist. </w:t>
      </w:r>
      <w:r w:rsidR="009244EB" w:rsidRPr="007D3E0F">
        <w:t xml:space="preserve"> Factsheets and government documents were also included.  </w:t>
      </w:r>
      <w:r w:rsidR="008344E4" w:rsidRPr="007D3E0F">
        <w:t xml:space="preserve"> </w:t>
      </w:r>
      <w:r w:rsidR="009244EB" w:rsidRPr="007D3E0F">
        <w:t xml:space="preserve">Search limits were designated to include </w:t>
      </w:r>
      <w:r w:rsidR="2F12C45C" w:rsidRPr="007D3E0F">
        <w:t xml:space="preserve">full text, </w:t>
      </w:r>
      <w:r w:rsidR="009244EB" w:rsidRPr="007D3E0F">
        <w:t>English published articles,</w:t>
      </w:r>
      <w:r w:rsidR="2F12C45C" w:rsidRPr="007D3E0F">
        <w:t xml:space="preserve"> </w:t>
      </w:r>
      <w:r w:rsidR="009244EB" w:rsidRPr="007D3E0F">
        <w:t>in p</w:t>
      </w:r>
      <w:r w:rsidR="003A55CE" w:rsidRPr="007D3E0F">
        <w:t>eer-reviewed journals after 20</w:t>
      </w:r>
      <w:r w:rsidR="0048336D" w:rsidRPr="007D3E0F">
        <w:t>08</w:t>
      </w:r>
      <w:r w:rsidR="009244EB" w:rsidRPr="007D3E0F">
        <w:t xml:space="preserve">.  </w:t>
      </w:r>
      <w:r w:rsidR="00FC2F42" w:rsidRPr="007D3E0F">
        <w:t xml:space="preserve">Search terms including </w:t>
      </w:r>
      <w:r w:rsidR="005F6CFC" w:rsidRPr="007D3E0F">
        <w:t>v</w:t>
      </w:r>
      <w:r w:rsidR="00C701AA" w:rsidRPr="007D3E0F">
        <w:t>i</w:t>
      </w:r>
      <w:r w:rsidR="003A55CE" w:rsidRPr="007D3E0F">
        <w:t xml:space="preserve">tamin </w:t>
      </w:r>
      <w:r w:rsidR="003F705C" w:rsidRPr="007D3E0F">
        <w:t>D</w:t>
      </w:r>
      <w:r w:rsidR="003A55CE" w:rsidRPr="007D3E0F">
        <w:t xml:space="preserve"> deficiency, </w:t>
      </w:r>
      <w:r w:rsidR="005F6CFC" w:rsidRPr="007D3E0F">
        <w:t>v</w:t>
      </w:r>
      <w:r w:rsidR="003A55CE" w:rsidRPr="007D3E0F">
        <w:t xml:space="preserve">itamin </w:t>
      </w:r>
      <w:r w:rsidR="003F705C" w:rsidRPr="007D3E0F">
        <w:t>D</w:t>
      </w:r>
      <w:r w:rsidR="003A55CE" w:rsidRPr="007D3E0F">
        <w:t xml:space="preserve"> deficiency and MS, and </w:t>
      </w:r>
      <w:r w:rsidR="2F12C45C" w:rsidRPr="007D3E0F">
        <w:t xml:space="preserve">cost of </w:t>
      </w:r>
      <w:r w:rsidR="005F6CFC" w:rsidRPr="007D3E0F">
        <w:t>v</w:t>
      </w:r>
      <w:r w:rsidR="2F12C45C" w:rsidRPr="007D3E0F">
        <w:t xml:space="preserve">itamin </w:t>
      </w:r>
      <w:r w:rsidR="003F705C" w:rsidRPr="007D3E0F">
        <w:t>D</w:t>
      </w:r>
      <w:r w:rsidR="2F12C45C" w:rsidRPr="007D3E0F">
        <w:t xml:space="preserve"> screening and supplementation </w:t>
      </w:r>
      <w:r w:rsidR="00FC2F42" w:rsidRPr="007D3E0F">
        <w:t xml:space="preserve">were utilized.  </w:t>
      </w:r>
      <w:r w:rsidR="00CA0869" w:rsidRPr="007D3E0F">
        <w:t>Studies that were excluded included those containing a non-English language</w:t>
      </w:r>
      <w:r w:rsidR="2F12C45C" w:rsidRPr="007D3E0F">
        <w:t>, redundancies, and those not directly related to clinical question (see Appendix B).</w:t>
      </w:r>
      <w:r w:rsidR="00234E48" w:rsidRPr="007D3E0F">
        <w:t xml:space="preserve"> </w:t>
      </w:r>
    </w:p>
    <w:p w14:paraId="37D49FBA" w14:textId="58B0B122" w:rsidR="00421CBE" w:rsidRPr="007D3E0F" w:rsidRDefault="00824FCA" w:rsidP="269AEE2E">
      <w:pPr>
        <w:pStyle w:val="APA"/>
        <w:ind w:firstLine="0"/>
        <w:rPr>
          <w:b/>
          <w:bCs/>
          <w:szCs w:val="24"/>
        </w:rPr>
      </w:pPr>
      <w:r w:rsidRPr="007D3E0F">
        <w:rPr>
          <w:b/>
          <w:bCs/>
          <w:szCs w:val="24"/>
        </w:rPr>
        <w:t>Literature Review Findings</w:t>
      </w:r>
      <w:r w:rsidR="00421CF2" w:rsidRPr="007D3E0F">
        <w:rPr>
          <w:b/>
          <w:bCs/>
          <w:szCs w:val="24"/>
        </w:rPr>
        <w:t xml:space="preserve"> </w:t>
      </w:r>
      <w:r w:rsidR="00421CBE" w:rsidRPr="007D3E0F">
        <w:rPr>
          <w:b/>
          <w:szCs w:val="24"/>
        </w:rPr>
        <w:tab/>
      </w:r>
    </w:p>
    <w:p w14:paraId="7AB2E437" w14:textId="3084B0BF" w:rsidR="00A82D0F" w:rsidRPr="00D15272" w:rsidRDefault="009F7F2E" w:rsidP="00D15272">
      <w:pPr>
        <w:pStyle w:val="APA"/>
      </w:pPr>
      <w:r w:rsidRPr="42F4B425">
        <w:rPr>
          <w:b/>
          <w:bCs/>
        </w:rPr>
        <w:t xml:space="preserve">Vitamin D </w:t>
      </w:r>
      <w:r w:rsidR="00B41A0C">
        <w:rPr>
          <w:b/>
          <w:bCs/>
        </w:rPr>
        <w:t>m</w:t>
      </w:r>
      <w:r w:rsidR="00FC3F7D" w:rsidRPr="42F4B425">
        <w:rPr>
          <w:b/>
          <w:bCs/>
        </w:rPr>
        <w:t>onitoring</w:t>
      </w:r>
      <w:r w:rsidRPr="42F4B425">
        <w:rPr>
          <w:b/>
          <w:bCs/>
        </w:rPr>
        <w:t>.</w:t>
      </w:r>
      <w:r w:rsidRPr="42F4B425">
        <w:t xml:space="preserve"> In chronic disease,</w:t>
      </w:r>
      <w:r w:rsidR="00EC353F" w:rsidRPr="42F4B425">
        <w:t xml:space="preserve"> such as </w:t>
      </w:r>
      <w:r w:rsidR="0061324D" w:rsidRPr="42F4B425">
        <w:t>MS, screening serves</w:t>
      </w:r>
      <w:r w:rsidR="00EC353F" w:rsidRPr="42F4B425">
        <w:t xml:space="preserve"> </w:t>
      </w:r>
      <w:r w:rsidRPr="42F4B425">
        <w:t>as a way to determine the need for improvement and method to improve disease related outcomes (Australian Government Department of Health, 2014).   Sahota</w:t>
      </w:r>
      <w:r w:rsidR="00D15272" w:rsidRPr="42F4B425">
        <w:t xml:space="preserve"> </w:t>
      </w:r>
      <w:r w:rsidRPr="42F4B425">
        <w:t xml:space="preserve">recognized the association between </w:t>
      </w:r>
      <w:r w:rsidR="005F6CFC" w:rsidRPr="42F4B425">
        <w:t>v</w:t>
      </w:r>
      <w:r w:rsidRPr="42F4B425">
        <w:t xml:space="preserve">itamin D deficiency and muscle weakness resulting in prolonged walking speed, extended sit-to-stand time, reduced </w:t>
      </w:r>
      <w:r w:rsidR="00AE57D5" w:rsidRPr="42F4B425">
        <w:t>quadriceps</w:t>
      </w:r>
      <w:r w:rsidRPr="42F4B425">
        <w:t xml:space="preserve"> strength and higher rate of falls; </w:t>
      </w:r>
      <w:r w:rsidR="00D83767" w:rsidRPr="42F4B425">
        <w:t>however, vitamin</w:t>
      </w:r>
      <w:r w:rsidR="007D3E0F" w:rsidRPr="42F4B425">
        <w:t xml:space="preserve"> </w:t>
      </w:r>
      <w:r w:rsidR="007D3E0F" w:rsidRPr="42F4B425">
        <w:lastRenderedPageBreak/>
        <w:t xml:space="preserve">D supplementation can reverse </w:t>
      </w:r>
      <w:r w:rsidRPr="42F4B425">
        <w:t xml:space="preserve">muscle weakness related to </w:t>
      </w:r>
      <w:r w:rsidR="005F6CFC" w:rsidRPr="42F4B425">
        <w:t>v</w:t>
      </w:r>
      <w:r w:rsidRPr="42F4B425">
        <w:t>itamin D deficiency</w:t>
      </w:r>
      <w:r w:rsidR="007D3E0F" w:rsidRPr="42F4B425">
        <w:t xml:space="preserve"> </w:t>
      </w:r>
      <w:r w:rsidRPr="42F4B425">
        <w:t>(</w:t>
      </w:r>
      <w:r w:rsidR="00F75CEC" w:rsidRPr="42F4B425">
        <w:t>2014</w:t>
      </w:r>
      <w:r w:rsidRPr="42F4B425">
        <w:t>)</w:t>
      </w:r>
      <w:r w:rsidRPr="42F4B425">
        <w:rPr>
          <w:shd w:val="clear" w:color="auto" w:fill="FFFFFF"/>
        </w:rPr>
        <w:t xml:space="preserve">.  </w:t>
      </w:r>
      <w:proofErr w:type="spellStart"/>
      <w:r w:rsidRPr="42F4B425">
        <w:rPr>
          <w:shd w:val="clear" w:color="auto" w:fill="FFFFFF"/>
        </w:rPr>
        <w:t>Mazumder</w:t>
      </w:r>
      <w:proofErr w:type="spellEnd"/>
      <w:r w:rsidR="00E8288C" w:rsidRPr="42F4B425">
        <w:rPr>
          <w:shd w:val="clear" w:color="auto" w:fill="FFFFFF"/>
        </w:rPr>
        <w:t xml:space="preserve">, </w:t>
      </w:r>
      <w:r w:rsidR="00E8288C" w:rsidRPr="42F4B425">
        <w:t xml:space="preserve">Murchison, </w:t>
      </w:r>
      <w:proofErr w:type="spellStart"/>
      <w:r w:rsidR="00E8288C" w:rsidRPr="42F4B425">
        <w:t>Bourdette</w:t>
      </w:r>
      <w:proofErr w:type="spellEnd"/>
      <w:r w:rsidR="00E8288C" w:rsidRPr="42F4B425">
        <w:t>, &amp; Cameron,</w:t>
      </w:r>
      <w:r w:rsidR="00260A92" w:rsidRPr="42F4B425">
        <w:t xml:space="preserve"> (2014)</w:t>
      </w:r>
      <w:r w:rsidRPr="42F4B425">
        <w:rPr>
          <w:shd w:val="clear" w:color="auto" w:fill="FFFFFF"/>
        </w:rPr>
        <w:t xml:space="preserve"> discovered people with MS have a high occurrence of falls which may be associated with injury or death and can negatively impact their quality of life.</w:t>
      </w:r>
      <w:r w:rsidRPr="42F4B425">
        <w:t xml:space="preserve">  </w:t>
      </w:r>
      <w:r w:rsidR="005F6CFC" w:rsidRPr="42F4B425">
        <w:t>V</w:t>
      </w:r>
      <w:r w:rsidRPr="42F4B425">
        <w:t>itamin D insufficiency and deficiency is common in MS patients</w:t>
      </w:r>
      <w:r w:rsidRPr="0009709C">
        <w:t xml:space="preserve"> and </w:t>
      </w:r>
      <w:r w:rsidR="005F6CFC">
        <w:t>v</w:t>
      </w:r>
      <w:r w:rsidRPr="0009709C">
        <w:t>itamin D concentrations are lower during times of relapse than during remissions (</w:t>
      </w:r>
      <w:proofErr w:type="spellStart"/>
      <w:r w:rsidRPr="0009709C">
        <w:t>Ascherio</w:t>
      </w:r>
      <w:proofErr w:type="spellEnd"/>
      <w:r w:rsidRPr="0009709C">
        <w:t xml:space="preserve"> et al., 2014). In fact, </w:t>
      </w:r>
      <w:proofErr w:type="spellStart"/>
      <w:r w:rsidRPr="0009709C">
        <w:t>Ascherio</w:t>
      </w:r>
      <w:proofErr w:type="spellEnd"/>
      <w:r w:rsidRPr="0009709C">
        <w:t xml:space="preserve"> et al., (2014) determined, “among people with early-stage multiple sclerosis (MS), those with higher blood levels of </w:t>
      </w:r>
      <w:r w:rsidR="005F6CFC">
        <w:t>v</w:t>
      </w:r>
      <w:r w:rsidRPr="0009709C">
        <w:t xml:space="preserve">itamin D had better outcomes during 5 years of follow-up. Identifying and correcting </w:t>
      </w:r>
      <w:r w:rsidR="005F6CFC">
        <w:t>v</w:t>
      </w:r>
      <w:r w:rsidRPr="0009709C">
        <w:t>itamin D insufficiency could aid in the early treatment of MS” (p.7</w:t>
      </w:r>
      <w:r w:rsidRPr="0009709C">
        <w:rPr>
          <w:shd w:val="clear" w:color="auto" w:fill="FFFFFF"/>
        </w:rPr>
        <w:t>).</w:t>
      </w:r>
      <w:r w:rsidR="00FC3F7D">
        <w:rPr>
          <w:shd w:val="clear" w:color="auto" w:fill="FFFFFF"/>
        </w:rPr>
        <w:t xml:space="preserve">  </w:t>
      </w:r>
      <w:r w:rsidR="00C701AA">
        <w:rPr>
          <w:shd w:val="clear" w:color="auto" w:fill="FFFFFF"/>
        </w:rPr>
        <w:t>V</w:t>
      </w:r>
      <w:r w:rsidRPr="0009709C">
        <w:rPr>
          <w:shd w:val="clear" w:color="auto" w:fill="FFFFFF"/>
        </w:rPr>
        <w:t>itamin D status is an imperative determinant of MS activity both early in the disease course and thereafter</w:t>
      </w:r>
      <w:r w:rsidR="00D15272">
        <w:rPr>
          <w:shd w:val="clear" w:color="auto" w:fill="FFFFFF"/>
        </w:rPr>
        <w:t>, as such it is</w:t>
      </w:r>
      <w:r w:rsidR="000C0844">
        <w:rPr>
          <w:shd w:val="clear" w:color="auto" w:fill="FFFFFF"/>
        </w:rPr>
        <w:t xml:space="preserve"> essential</w:t>
      </w:r>
      <w:r w:rsidR="00D15272">
        <w:rPr>
          <w:shd w:val="clear" w:color="auto" w:fill="FFFFFF"/>
        </w:rPr>
        <w:t xml:space="preserve"> to correct insufficient </w:t>
      </w:r>
      <w:r w:rsidR="005F6CFC">
        <w:rPr>
          <w:shd w:val="clear" w:color="auto" w:fill="FFFFFF"/>
        </w:rPr>
        <w:t>v</w:t>
      </w:r>
      <w:r w:rsidR="00D15272">
        <w:rPr>
          <w:shd w:val="clear" w:color="auto" w:fill="FFFFFF"/>
        </w:rPr>
        <w:t xml:space="preserve">itamin D levels </w:t>
      </w:r>
      <w:r w:rsidRPr="0009709C">
        <w:rPr>
          <w:shd w:val="clear" w:color="auto" w:fill="FFFFFF"/>
        </w:rPr>
        <w:t xml:space="preserve">(Fitzgerald et al., 2015). </w:t>
      </w:r>
    </w:p>
    <w:p w14:paraId="47812C87" w14:textId="22AFE308" w:rsidR="009F7F2E" w:rsidRPr="00C701AA" w:rsidRDefault="009F7F2E" w:rsidP="693C9F63">
      <w:pPr>
        <w:pStyle w:val="APA"/>
        <w:rPr>
          <w:szCs w:val="24"/>
        </w:rPr>
      </w:pPr>
      <w:r w:rsidRPr="42F4B425">
        <w:rPr>
          <w:shd w:val="clear" w:color="auto" w:fill="FFFFFF"/>
        </w:rPr>
        <w:t xml:space="preserve">Vitamin D testing is used to evaluate levels for sufficiency, determine the effects of supplementation, and to aid in guidance of recommended supplementation dosing.   </w:t>
      </w:r>
      <w:r w:rsidR="00260A92" w:rsidRPr="42F4B425">
        <w:rPr>
          <w:shd w:val="clear" w:color="auto" w:fill="FFFFFF"/>
        </w:rPr>
        <w:t xml:space="preserve">Given the possible varied response to oral </w:t>
      </w:r>
      <w:r w:rsidR="005F6CFC" w:rsidRPr="42F4B425">
        <w:rPr>
          <w:shd w:val="clear" w:color="auto" w:fill="FFFFFF"/>
        </w:rPr>
        <w:t>v</w:t>
      </w:r>
      <w:r w:rsidR="00260A92" w:rsidRPr="42F4B425">
        <w:rPr>
          <w:shd w:val="clear" w:color="auto" w:fill="FFFFFF"/>
        </w:rPr>
        <w:t>itamin D supplementation, r</w:t>
      </w:r>
      <w:r w:rsidRPr="42F4B425">
        <w:rPr>
          <w:shd w:val="clear" w:color="auto" w:fill="FFFFFF"/>
        </w:rPr>
        <w:t xml:space="preserve">outine re-evaluation of </w:t>
      </w:r>
      <w:r w:rsidR="005F6CFC" w:rsidRPr="42F4B425">
        <w:rPr>
          <w:shd w:val="clear" w:color="auto" w:fill="FFFFFF"/>
        </w:rPr>
        <w:t>v</w:t>
      </w:r>
      <w:r w:rsidR="00260A92" w:rsidRPr="42F4B425">
        <w:rPr>
          <w:shd w:val="clear" w:color="auto" w:fill="FFFFFF"/>
        </w:rPr>
        <w:t xml:space="preserve">itamin D </w:t>
      </w:r>
      <w:r w:rsidRPr="42F4B425">
        <w:rPr>
          <w:shd w:val="clear" w:color="auto" w:fill="FFFFFF"/>
        </w:rPr>
        <w:t>levels is</w:t>
      </w:r>
      <w:r w:rsidR="00260A92" w:rsidRPr="42F4B425">
        <w:rPr>
          <w:shd w:val="clear" w:color="auto" w:fill="FFFFFF"/>
        </w:rPr>
        <w:t xml:space="preserve"> necessary </w:t>
      </w:r>
      <w:r w:rsidRPr="42F4B425">
        <w:rPr>
          <w:shd w:val="clear" w:color="auto" w:fill="FFFFFF"/>
        </w:rPr>
        <w:t>(</w:t>
      </w:r>
      <w:r w:rsidRPr="42F4B425">
        <w:t xml:space="preserve">Cleveland Clinic., </w:t>
      </w:r>
      <w:proofErr w:type="spellStart"/>
      <w:r w:rsidRPr="42F4B425">
        <w:t>n.d</w:t>
      </w:r>
      <w:proofErr w:type="spellEnd"/>
      <w:r w:rsidRPr="42F4B425">
        <w:t>).   According to Cleveland Clinic (</w:t>
      </w:r>
      <w:proofErr w:type="spellStart"/>
      <w:r w:rsidRPr="42F4B425">
        <w:t>n.d.</w:t>
      </w:r>
      <w:proofErr w:type="spellEnd"/>
      <w:r w:rsidRPr="42F4B425">
        <w:t xml:space="preserve">), </w:t>
      </w:r>
      <w:r w:rsidR="005F6CFC" w:rsidRPr="42F4B425">
        <w:t>v</w:t>
      </w:r>
      <w:r w:rsidR="00421CBE" w:rsidRPr="42F4B425">
        <w:t xml:space="preserve">itamin D screening for all patients </w:t>
      </w:r>
      <w:r w:rsidRPr="42F4B425">
        <w:t>“the current recommendation is to order a serum 25- OH D (</w:t>
      </w:r>
      <w:proofErr w:type="spellStart"/>
      <w:r w:rsidRPr="42F4B425">
        <w:t>Vit</w:t>
      </w:r>
      <w:proofErr w:type="spellEnd"/>
      <w:r w:rsidRPr="42F4B425">
        <w:t xml:space="preserve"> D 25 </w:t>
      </w:r>
      <w:proofErr w:type="spellStart"/>
      <w:r w:rsidRPr="42F4B425">
        <w:t>hydroyx</w:t>
      </w:r>
      <w:proofErr w:type="spellEnd"/>
      <w:r w:rsidRPr="42F4B425">
        <w:t xml:space="preserve">) level, due to its longer </w:t>
      </w:r>
      <w:r w:rsidR="00B01607" w:rsidRPr="42F4B425">
        <w:t>half-life</w:t>
      </w:r>
      <w:r w:rsidRPr="42F4B425">
        <w:t xml:space="preserve"> and being unaffected by parathyroid levels</w:t>
      </w:r>
      <w:r w:rsidR="00421CBE" w:rsidRPr="42F4B425">
        <w:t>”</w:t>
      </w:r>
      <w:r w:rsidRPr="42F4B425">
        <w:t xml:space="preserve"> (p. 2).</w:t>
      </w:r>
      <w:r w:rsidRPr="42F4B425">
        <w:rPr>
          <w:shd w:val="clear" w:color="auto" w:fill="FFFFFF"/>
        </w:rPr>
        <w:t xml:space="preserve"> </w:t>
      </w:r>
      <w:r w:rsidR="002D68CC" w:rsidRPr="42F4B425">
        <w:rPr>
          <w:shd w:val="clear" w:color="auto" w:fill="FFFFFF"/>
        </w:rPr>
        <w:t xml:space="preserve">The Institute of Medicine defines </w:t>
      </w:r>
      <w:r w:rsidR="005F6CFC" w:rsidRPr="42F4B425">
        <w:rPr>
          <w:shd w:val="clear" w:color="auto" w:fill="FFFFFF"/>
        </w:rPr>
        <w:t>v</w:t>
      </w:r>
      <w:r w:rsidR="002D68CC" w:rsidRPr="42F4B425">
        <w:rPr>
          <w:shd w:val="clear" w:color="auto" w:fill="FFFFFF"/>
        </w:rPr>
        <w:t>itamin D sufficiency as a level ≥ 50nmol/L (</w:t>
      </w:r>
      <w:proofErr w:type="spellStart"/>
      <w:r w:rsidR="002D68CC" w:rsidRPr="42F4B425">
        <w:t>Alharbi</w:t>
      </w:r>
      <w:proofErr w:type="spellEnd"/>
      <w:r w:rsidR="002D68CC" w:rsidRPr="42F4B425">
        <w:t xml:space="preserve">, 2015).  </w:t>
      </w:r>
      <w:r w:rsidR="2F12C45C" w:rsidRPr="42F4B425">
        <w:t xml:space="preserve">Vitamin D levels can be defined in units of </w:t>
      </w:r>
      <w:proofErr w:type="spellStart"/>
      <w:r w:rsidR="2F12C45C" w:rsidRPr="42F4B425">
        <w:t>nmol</w:t>
      </w:r>
      <w:proofErr w:type="spellEnd"/>
      <w:r w:rsidR="2F12C45C" w:rsidRPr="42F4B425">
        <w:t xml:space="preserve">/L or ng/ml with a conversion of 2.5 ng/ml equaling one </w:t>
      </w:r>
      <w:proofErr w:type="spellStart"/>
      <w:r w:rsidR="2F12C45C" w:rsidRPr="42F4B425">
        <w:t>nmol</w:t>
      </w:r>
      <w:proofErr w:type="spellEnd"/>
      <w:r w:rsidR="2F12C45C" w:rsidRPr="42F4B425">
        <w:t>/L (V</w:t>
      </w:r>
      <w:r w:rsidR="00ED03C3" w:rsidRPr="42F4B425">
        <w:t>itamin D Counci</w:t>
      </w:r>
      <w:r w:rsidR="2F12C45C" w:rsidRPr="42F4B425">
        <w:t xml:space="preserve">l, 2016).   The Vitamin D Council, (2016) recommends maintaining serum levels of 50 ng/ml (equivalent to 125 </w:t>
      </w:r>
      <w:proofErr w:type="spellStart"/>
      <w:r w:rsidR="2F12C45C" w:rsidRPr="42F4B425">
        <w:t>nmol</w:t>
      </w:r>
      <w:proofErr w:type="spellEnd"/>
      <w:r w:rsidR="2F12C45C" w:rsidRPr="42F4B425">
        <w:t xml:space="preserve">/L) with levels &gt; 100 ng/ml (&gt;250 </w:t>
      </w:r>
      <w:proofErr w:type="spellStart"/>
      <w:r w:rsidR="2F12C45C" w:rsidRPr="42F4B425">
        <w:t>nmol</w:t>
      </w:r>
      <w:proofErr w:type="spellEnd"/>
      <w:r w:rsidR="2F12C45C" w:rsidRPr="42F4B425">
        <w:t xml:space="preserve">/l) being undesirable and levels &gt; 150 ng/ml (&gt;375 </w:t>
      </w:r>
      <w:proofErr w:type="spellStart"/>
      <w:r w:rsidR="2F12C45C" w:rsidRPr="42F4B425">
        <w:t>nmol</w:t>
      </w:r>
      <w:proofErr w:type="spellEnd"/>
      <w:r w:rsidR="2F12C45C" w:rsidRPr="42F4B425">
        <w:t>/l) as toxic.</w:t>
      </w:r>
    </w:p>
    <w:p w14:paraId="61C7C724" w14:textId="748BD84B" w:rsidR="00F76315" w:rsidRPr="00A71324" w:rsidRDefault="00FC3F7D" w:rsidP="769046C7">
      <w:pPr>
        <w:spacing w:line="480" w:lineRule="auto"/>
      </w:pPr>
      <w:r w:rsidRPr="00A71324">
        <w:rPr>
          <w:shd w:val="clear" w:color="auto" w:fill="FFFFFF"/>
        </w:rPr>
        <w:lastRenderedPageBreak/>
        <w:tab/>
      </w:r>
      <w:r w:rsidRPr="269AEE2E">
        <w:rPr>
          <w:b/>
          <w:bCs/>
          <w:shd w:val="clear" w:color="auto" w:fill="FFFFFF"/>
        </w:rPr>
        <w:t xml:space="preserve">Vitamin D </w:t>
      </w:r>
      <w:r w:rsidR="00335A90">
        <w:rPr>
          <w:b/>
          <w:bCs/>
          <w:shd w:val="clear" w:color="auto" w:fill="FFFFFF"/>
        </w:rPr>
        <w:t>s</w:t>
      </w:r>
      <w:r w:rsidRPr="269AEE2E">
        <w:rPr>
          <w:b/>
          <w:bCs/>
          <w:shd w:val="clear" w:color="auto" w:fill="FFFFFF"/>
        </w:rPr>
        <w:t>upplementation.</w:t>
      </w:r>
      <w:r w:rsidRPr="00C048F0">
        <w:rPr>
          <w:shd w:val="clear" w:color="auto" w:fill="FFFFFF"/>
        </w:rPr>
        <w:t xml:space="preserve"> </w:t>
      </w:r>
      <w:r w:rsidR="769046C7" w:rsidRPr="00240FE1">
        <w:rPr>
          <w:shd w:val="clear" w:color="auto" w:fill="FFFFFF"/>
        </w:rPr>
        <w:t xml:space="preserve"> </w:t>
      </w:r>
      <w:r w:rsidR="006E3507" w:rsidRPr="00240FE1">
        <w:t xml:space="preserve">Early </w:t>
      </w:r>
      <w:r w:rsidR="005F6CFC">
        <w:t>v</w:t>
      </w:r>
      <w:r w:rsidR="006E3507" w:rsidRPr="00240FE1">
        <w:t xml:space="preserve">itamin D supplementation is recommended for patients with clinically isolated syndrome, </w:t>
      </w:r>
      <w:r w:rsidR="006E3507" w:rsidRPr="00240FE1">
        <w:rPr>
          <w:color w:val="000000" w:themeColor="text1"/>
          <w:shd w:val="clear" w:color="auto" w:fill="FFFFFF"/>
        </w:rPr>
        <w:t xml:space="preserve">which is characterized as a single episode of demyelination in the central nervous </w:t>
      </w:r>
      <w:r w:rsidR="00240FE1" w:rsidRPr="00240FE1">
        <w:rPr>
          <w:color w:val="000000" w:themeColor="text1"/>
          <w:shd w:val="clear" w:color="auto" w:fill="FFFFFF"/>
        </w:rPr>
        <w:t>system, to</w:t>
      </w:r>
      <w:r w:rsidR="006E3507" w:rsidRPr="00240FE1">
        <w:rPr>
          <w:color w:val="000000" w:themeColor="text1"/>
          <w:shd w:val="clear" w:color="auto" w:fill="FFFFFF"/>
        </w:rPr>
        <w:t xml:space="preserve"> reduce the risk of disease conversion to definitive MS</w:t>
      </w:r>
      <w:r w:rsidR="006E3507" w:rsidRPr="00240FE1">
        <w:t xml:space="preserve"> (</w:t>
      </w:r>
      <w:proofErr w:type="spellStart"/>
      <w:r w:rsidR="006E3507" w:rsidRPr="00240FE1">
        <w:t>Shaheen</w:t>
      </w:r>
      <w:proofErr w:type="spellEnd"/>
      <w:r w:rsidR="006E3507" w:rsidRPr="00240FE1">
        <w:t xml:space="preserve">, Sayed, </w:t>
      </w:r>
      <w:proofErr w:type="spellStart"/>
      <w:r w:rsidR="006E3507" w:rsidRPr="00240FE1">
        <w:t>Daker</w:t>
      </w:r>
      <w:proofErr w:type="spellEnd"/>
      <w:r w:rsidR="006E3507" w:rsidRPr="00240FE1">
        <w:t xml:space="preserve">, </w:t>
      </w:r>
      <w:proofErr w:type="spellStart"/>
      <w:r w:rsidR="006E3507" w:rsidRPr="00240FE1">
        <w:t>AbdelAziz</w:t>
      </w:r>
      <w:proofErr w:type="spellEnd"/>
      <w:r w:rsidR="006E3507" w:rsidRPr="00240FE1">
        <w:t xml:space="preserve">, and </w:t>
      </w:r>
      <w:proofErr w:type="spellStart"/>
      <w:r w:rsidR="006E3507" w:rsidRPr="00240FE1">
        <w:t>Taha</w:t>
      </w:r>
      <w:proofErr w:type="spellEnd"/>
      <w:r w:rsidR="006E3507" w:rsidRPr="00240FE1">
        <w:t>, 2018).</w:t>
      </w:r>
      <w:r w:rsidR="006E3507" w:rsidRPr="2F12C45C">
        <w:rPr>
          <w:sz w:val="20"/>
          <w:szCs w:val="20"/>
        </w:rPr>
        <w:t xml:space="preserve">  </w:t>
      </w:r>
      <w:r w:rsidRPr="00543CBE">
        <w:t xml:space="preserve">Immune dysfunction regulation is a possible benefit of high dose </w:t>
      </w:r>
      <w:r w:rsidRPr="00543CBE">
        <w:rPr>
          <w:shd w:val="clear" w:color="auto" w:fill="FFFFFF"/>
        </w:rPr>
        <w:t>vitamin D3 supplementation</w:t>
      </w:r>
      <w:r w:rsidR="002D0397">
        <w:rPr>
          <w:shd w:val="clear" w:color="auto" w:fill="FFFFFF"/>
        </w:rPr>
        <w:t xml:space="preserve"> with observed reduction in inflammatory T cells</w:t>
      </w:r>
      <w:r w:rsidRPr="00543CBE">
        <w:rPr>
          <w:shd w:val="clear" w:color="auto" w:fill="FFFFFF"/>
        </w:rPr>
        <w:t xml:space="preserve"> in MS patients (</w:t>
      </w:r>
      <w:proofErr w:type="spellStart"/>
      <w:r w:rsidRPr="00543CBE">
        <w:rPr>
          <w:color w:val="000000"/>
        </w:rPr>
        <w:t>Sotirchos</w:t>
      </w:r>
      <w:proofErr w:type="spellEnd"/>
      <w:r w:rsidRPr="00543CBE">
        <w:rPr>
          <w:color w:val="000000"/>
        </w:rPr>
        <w:t xml:space="preserve"> et al.</w:t>
      </w:r>
      <w:r w:rsidRPr="00543CBE">
        <w:rPr>
          <w:shd w:val="clear" w:color="auto" w:fill="FFFFFF"/>
        </w:rPr>
        <w:t>, 2016).</w:t>
      </w:r>
      <w:r w:rsidR="002D0397">
        <w:rPr>
          <w:shd w:val="clear" w:color="auto" w:fill="FFFFFF"/>
        </w:rPr>
        <w:t xml:space="preserve">  </w:t>
      </w:r>
      <w:r w:rsidR="000829BA" w:rsidRPr="00A71324">
        <w:rPr>
          <w:shd w:val="clear" w:color="auto" w:fill="FFFFFF"/>
        </w:rPr>
        <w:t>There are various dosages of over the counter vitamin D supplements ranging from 400 to 10,000 IU.  Even in those who are healthy</w:t>
      </w:r>
      <w:r w:rsidR="00A71324" w:rsidRPr="00A71324">
        <w:rPr>
          <w:shd w:val="clear" w:color="auto" w:fill="FFFFFF"/>
        </w:rPr>
        <w:t>,</w:t>
      </w:r>
      <w:r w:rsidR="000829BA" w:rsidRPr="00A71324">
        <w:rPr>
          <w:shd w:val="clear" w:color="auto" w:fill="FFFFFF"/>
        </w:rPr>
        <w:t xml:space="preserve"> toxicity is unlikely when taking 4000 IU of vitamin D daily (</w:t>
      </w:r>
      <w:proofErr w:type="spellStart"/>
      <w:r w:rsidR="000829BA" w:rsidRPr="00A71324">
        <w:rPr>
          <w:shd w:val="clear" w:color="auto" w:fill="FFFFFF"/>
        </w:rPr>
        <w:t>Alharbi</w:t>
      </w:r>
      <w:proofErr w:type="spellEnd"/>
      <w:r w:rsidR="000829BA" w:rsidRPr="00A71324">
        <w:rPr>
          <w:shd w:val="clear" w:color="auto" w:fill="FFFFFF"/>
        </w:rPr>
        <w:t xml:space="preserve">, 2015).  </w:t>
      </w:r>
      <w:r w:rsidR="000829BA" w:rsidRPr="00C048F0">
        <w:rPr>
          <w:shd w:val="clear" w:color="auto" w:fill="FFFFFF"/>
        </w:rPr>
        <w:t xml:space="preserve">  High dose of vitamin D3, </w:t>
      </w:r>
      <w:r w:rsidR="000829BA" w:rsidRPr="00977D24">
        <w:rPr>
          <w:shd w:val="clear" w:color="auto" w:fill="FFFFFF"/>
        </w:rPr>
        <w:t xml:space="preserve">such as </w:t>
      </w:r>
      <w:r w:rsidR="000829BA" w:rsidRPr="00977D24">
        <w:rPr>
          <w:color w:val="000000"/>
          <w:shd w:val="clear" w:color="auto" w:fill="FFFFFF"/>
        </w:rPr>
        <w:t>10,400 IU daily</w:t>
      </w:r>
      <w:r w:rsidR="000829BA" w:rsidRPr="00A71324">
        <w:rPr>
          <w:color w:val="000000"/>
          <w:shd w:val="clear" w:color="auto" w:fill="FFFFFF"/>
        </w:rPr>
        <w:t>,</w:t>
      </w:r>
      <w:r w:rsidR="000829BA" w:rsidRPr="00A71324">
        <w:rPr>
          <w:shd w:val="clear" w:color="auto" w:fill="FFFFFF"/>
        </w:rPr>
        <w:t xml:space="preserve"> is safe for MS patients (</w:t>
      </w:r>
      <w:proofErr w:type="spellStart"/>
      <w:r w:rsidR="000829BA" w:rsidRPr="00A71324">
        <w:rPr>
          <w:color w:val="000000"/>
        </w:rPr>
        <w:t>Sotirchos</w:t>
      </w:r>
      <w:proofErr w:type="spellEnd"/>
      <w:r w:rsidR="000829BA" w:rsidRPr="00A71324">
        <w:rPr>
          <w:color w:val="000000"/>
        </w:rPr>
        <w:t xml:space="preserve"> et al.</w:t>
      </w:r>
      <w:r w:rsidR="000829BA" w:rsidRPr="00A71324">
        <w:rPr>
          <w:shd w:val="clear" w:color="auto" w:fill="FFFFFF"/>
        </w:rPr>
        <w:t xml:space="preserve">, 2016). </w:t>
      </w:r>
    </w:p>
    <w:p w14:paraId="15B32B5E" w14:textId="5AB4F9C8" w:rsidR="00210DF5" w:rsidRPr="008B569A" w:rsidRDefault="43A3DDCF" w:rsidP="43A3DDCF">
      <w:pPr>
        <w:spacing w:line="480" w:lineRule="auto"/>
        <w:ind w:firstLine="720"/>
        <w:rPr>
          <w:color w:val="000000" w:themeColor="text1"/>
        </w:rPr>
      </w:pPr>
      <w:r w:rsidRPr="43A3DDCF">
        <w:rPr>
          <w:b/>
          <w:bCs/>
        </w:rPr>
        <w:t xml:space="preserve">Standardization with </w:t>
      </w:r>
      <w:r w:rsidR="003D0012">
        <w:rPr>
          <w:b/>
          <w:bCs/>
        </w:rPr>
        <w:t>p</w:t>
      </w:r>
      <w:r w:rsidRPr="43A3DDCF">
        <w:rPr>
          <w:b/>
          <w:bCs/>
        </w:rPr>
        <w:t xml:space="preserve">rotocols.  </w:t>
      </w:r>
      <w:r>
        <w:t>Despite obvious impact on patient morbidity and mortality adoption of new scientific evidence can take several years (</w:t>
      </w:r>
      <w:proofErr w:type="spellStart"/>
      <w:r>
        <w:t>Paiva</w:t>
      </w:r>
      <w:proofErr w:type="spellEnd"/>
      <w:r>
        <w:t xml:space="preserve"> &amp; Rocha, 2009).</w:t>
      </w:r>
      <w:r w:rsidRPr="43A3DDCF">
        <w:rPr>
          <w:b/>
          <w:bCs/>
        </w:rPr>
        <w:t xml:space="preserve">  </w:t>
      </w:r>
      <w:r>
        <w:t>In fact,</w:t>
      </w:r>
      <w:r w:rsidRPr="43A3DDCF">
        <w:rPr>
          <w:b/>
          <w:bCs/>
        </w:rPr>
        <w:t xml:space="preserve"> </w:t>
      </w:r>
      <w:proofErr w:type="spellStart"/>
      <w:r>
        <w:t>Paiva</w:t>
      </w:r>
      <w:proofErr w:type="spellEnd"/>
      <w:r>
        <w:t xml:space="preserve"> &amp; Rocha described instances of a 30-year time period lapse between the publishing of initial case reports on use of effective therapy and its routine utilization</w:t>
      </w:r>
      <w:r w:rsidR="00335A90">
        <w:t xml:space="preserve"> (2009)</w:t>
      </w:r>
      <w:r>
        <w:t>.</w:t>
      </w:r>
      <w:r w:rsidRPr="43A3DDCF">
        <w:rPr>
          <w:b/>
          <w:bCs/>
        </w:rPr>
        <w:t xml:space="preserve">  </w:t>
      </w:r>
      <w:r>
        <w:t>Standardized protocols are tools which support providers in prompt diagnosis and allow timely implementation of management strategies</w:t>
      </w:r>
      <w:r w:rsidRPr="43A3DDCF">
        <w:rPr>
          <w:b/>
          <w:bCs/>
        </w:rPr>
        <w:t xml:space="preserve"> (</w:t>
      </w:r>
      <w:proofErr w:type="spellStart"/>
      <w:r w:rsidRPr="43A3DDCF">
        <w:rPr>
          <w:color w:val="000000" w:themeColor="text1"/>
        </w:rPr>
        <w:t>Vieta</w:t>
      </w:r>
      <w:proofErr w:type="spellEnd"/>
      <w:r w:rsidRPr="43A3DDCF">
        <w:rPr>
          <w:color w:val="000000" w:themeColor="text1"/>
        </w:rPr>
        <w:t xml:space="preserve"> et al., 2017).  </w:t>
      </w:r>
      <w:proofErr w:type="spellStart"/>
      <w:r w:rsidRPr="00705FC0">
        <w:rPr>
          <w:color w:val="000000" w:themeColor="text1"/>
        </w:rPr>
        <w:t>Vieta</w:t>
      </w:r>
      <w:proofErr w:type="spellEnd"/>
      <w:r w:rsidRPr="00705FC0">
        <w:rPr>
          <w:color w:val="000000" w:themeColor="text1"/>
        </w:rPr>
        <w:t xml:space="preserve"> et al.</w:t>
      </w:r>
      <w:r w:rsidR="00A25B3D" w:rsidRPr="00705FC0">
        <w:rPr>
          <w:color w:val="000000" w:themeColor="text1"/>
        </w:rPr>
        <w:t xml:space="preserve"> r</w:t>
      </w:r>
      <w:r w:rsidRPr="00705FC0">
        <w:rPr>
          <w:color w:val="000000" w:themeColor="text1"/>
        </w:rPr>
        <w:t xml:space="preserve">ecognized that a standardized protocol, for a unified approach according to the local </w:t>
      </w:r>
      <w:r w:rsidRPr="00933448">
        <w:rPr>
          <w:color w:val="000000" w:themeColor="text1"/>
        </w:rPr>
        <w:t>standards of care, resulted in earlier identification of issues and less invasive coercive management</w:t>
      </w:r>
      <w:r w:rsidR="00335A90" w:rsidRPr="00933448">
        <w:rPr>
          <w:color w:val="000000" w:themeColor="text1"/>
        </w:rPr>
        <w:t xml:space="preserve"> (2017)</w:t>
      </w:r>
      <w:r w:rsidR="00705FC0" w:rsidRPr="00933448">
        <w:rPr>
          <w:color w:val="000000" w:themeColor="text1"/>
        </w:rPr>
        <w:t>.</w:t>
      </w:r>
      <w:r w:rsidRPr="00933448">
        <w:rPr>
          <w:color w:val="000000" w:themeColor="text1"/>
        </w:rPr>
        <w:t xml:space="preserve">  </w:t>
      </w:r>
      <w:r w:rsidR="00BE530C" w:rsidRPr="00933448">
        <w:rPr>
          <w:color w:val="000000" w:themeColor="text1"/>
        </w:rPr>
        <w:t>For example, the</w:t>
      </w:r>
      <w:r w:rsidR="004C00CE" w:rsidRPr="00933448">
        <w:rPr>
          <w:color w:val="000000" w:themeColor="text1"/>
        </w:rPr>
        <w:t xml:space="preserve"> </w:t>
      </w:r>
      <w:r w:rsidRPr="00A37891">
        <w:rPr>
          <w:color w:val="000000" w:themeColor="text1"/>
        </w:rPr>
        <w:t xml:space="preserve">implementation of a protocol in an outpatient clinic </w:t>
      </w:r>
      <w:r w:rsidR="00705FC0" w:rsidRPr="004B2DA2">
        <w:rPr>
          <w:color w:val="000000" w:themeColor="text1"/>
        </w:rPr>
        <w:t>resulted in</w:t>
      </w:r>
      <w:r w:rsidRPr="008B569A">
        <w:rPr>
          <w:color w:val="000000" w:themeColor="text1"/>
        </w:rPr>
        <w:t xml:space="preserve"> standard of care</w:t>
      </w:r>
      <w:r w:rsidR="00705FC0" w:rsidRPr="008B569A">
        <w:rPr>
          <w:color w:val="000000" w:themeColor="text1"/>
        </w:rPr>
        <w:t xml:space="preserve"> improvement</w:t>
      </w:r>
      <w:r w:rsidRPr="008B569A">
        <w:rPr>
          <w:color w:val="000000" w:themeColor="text1"/>
        </w:rPr>
        <w:t xml:space="preserve"> for secondary stroke prevention</w:t>
      </w:r>
      <w:r w:rsidR="00705FC0" w:rsidRPr="008B569A">
        <w:rPr>
          <w:color w:val="000000" w:themeColor="text1"/>
        </w:rPr>
        <w:t xml:space="preserve"> (Choi, Han, Li, Kung, &amp; Lam, 2015)</w:t>
      </w:r>
    </w:p>
    <w:p w14:paraId="0CD68216" w14:textId="515D83AA" w:rsidR="00D101C5" w:rsidRPr="005377F7" w:rsidRDefault="00210DF5" w:rsidP="01B5E863">
      <w:pPr>
        <w:spacing w:line="480" w:lineRule="auto"/>
        <w:rPr>
          <w:color w:val="000000" w:themeColor="text1"/>
        </w:rPr>
      </w:pPr>
      <w:r w:rsidRPr="008B569A">
        <w:rPr>
          <w:color w:val="000000"/>
        </w:rPr>
        <w:t xml:space="preserve">       </w:t>
      </w:r>
      <w:proofErr w:type="spellStart"/>
      <w:r w:rsidR="00DC3D31" w:rsidRPr="008B569A">
        <w:rPr>
          <w:color w:val="000000"/>
        </w:rPr>
        <w:t>Vieta</w:t>
      </w:r>
      <w:proofErr w:type="spellEnd"/>
      <w:r w:rsidR="00DC3D31" w:rsidRPr="008B569A">
        <w:rPr>
          <w:color w:val="000000"/>
        </w:rPr>
        <w:t xml:space="preserve"> et al.</w:t>
      </w:r>
      <w:r w:rsidR="008E004B" w:rsidRPr="008B569A">
        <w:rPr>
          <w:color w:val="000000"/>
        </w:rPr>
        <w:t xml:space="preserve"> </w:t>
      </w:r>
      <w:r w:rsidR="00DC3D31" w:rsidRPr="008B569A">
        <w:rPr>
          <w:color w:val="000000"/>
        </w:rPr>
        <w:t>(2017) recommends establishing specialized teams and providing them with training on identification and management to reduce burden for the pati</w:t>
      </w:r>
      <w:r w:rsidR="005377F7" w:rsidRPr="008B569A">
        <w:rPr>
          <w:color w:val="000000"/>
        </w:rPr>
        <w:t xml:space="preserve">ent and the healthcare system. </w:t>
      </w:r>
      <w:r w:rsidR="008E004B" w:rsidRPr="008B569A">
        <w:rPr>
          <w:color w:val="000000"/>
        </w:rPr>
        <w:t xml:space="preserve"> </w:t>
      </w:r>
      <w:r w:rsidR="00335A90" w:rsidRPr="008B569A">
        <w:rPr>
          <w:color w:val="000000"/>
        </w:rPr>
        <w:t xml:space="preserve"> </w:t>
      </w:r>
      <w:r w:rsidR="00335A90" w:rsidRPr="00933448">
        <w:rPr>
          <w:color w:val="000000"/>
        </w:rPr>
        <w:t>M</w:t>
      </w:r>
      <w:r w:rsidR="005377F7" w:rsidRPr="00933448">
        <w:rPr>
          <w:color w:val="000000"/>
        </w:rPr>
        <w:t>eetings</w:t>
      </w:r>
      <w:r w:rsidR="008E004B" w:rsidRPr="00933448">
        <w:rPr>
          <w:color w:val="000000"/>
        </w:rPr>
        <w:t xml:space="preserve"> </w:t>
      </w:r>
      <w:r w:rsidR="00335A90" w:rsidRPr="00933448">
        <w:rPr>
          <w:color w:val="000000"/>
        </w:rPr>
        <w:t>were identified as an imperative task to help</w:t>
      </w:r>
      <w:r w:rsidR="005377F7" w:rsidRPr="00933448">
        <w:rPr>
          <w:color w:val="000000"/>
        </w:rPr>
        <w:t xml:space="preserve"> provide opportunities to address</w:t>
      </w:r>
      <w:r w:rsidR="005377F7">
        <w:rPr>
          <w:color w:val="000000"/>
        </w:rPr>
        <w:t xml:space="preserve"> the complexities in assessment and management with experts</w:t>
      </w:r>
      <w:r w:rsidR="004F3ED9">
        <w:rPr>
          <w:color w:val="000000"/>
        </w:rPr>
        <w:t>,</w:t>
      </w:r>
      <w:r w:rsidR="005377F7">
        <w:rPr>
          <w:color w:val="000000"/>
        </w:rPr>
        <w:t xml:space="preserve"> to create an agreement for a </w:t>
      </w:r>
      <w:r w:rsidR="005377F7">
        <w:rPr>
          <w:color w:val="000000"/>
        </w:rPr>
        <w:lastRenderedPageBreak/>
        <w:t>unified approach according to standards of care</w:t>
      </w:r>
      <w:r w:rsidR="008E004B">
        <w:rPr>
          <w:color w:val="000000"/>
        </w:rPr>
        <w:t xml:space="preserve"> and</w:t>
      </w:r>
      <w:r w:rsidR="005377F7">
        <w:rPr>
          <w:color w:val="000000"/>
        </w:rPr>
        <w:t xml:space="preserve"> allow for review &amp; ratification for </w:t>
      </w:r>
      <w:r w:rsidR="004F3ED9">
        <w:rPr>
          <w:color w:val="000000"/>
        </w:rPr>
        <w:t xml:space="preserve">protocol </w:t>
      </w:r>
      <w:r w:rsidR="005377F7">
        <w:rPr>
          <w:color w:val="000000"/>
        </w:rPr>
        <w:t>implementation</w:t>
      </w:r>
      <w:r w:rsidR="00335A90">
        <w:rPr>
          <w:color w:val="000000"/>
        </w:rPr>
        <w:t xml:space="preserve"> (</w:t>
      </w:r>
      <w:proofErr w:type="spellStart"/>
      <w:r w:rsidR="00335A90">
        <w:rPr>
          <w:color w:val="000000"/>
        </w:rPr>
        <w:t>Vieta</w:t>
      </w:r>
      <w:proofErr w:type="spellEnd"/>
      <w:r w:rsidR="00335A90">
        <w:rPr>
          <w:color w:val="000000"/>
        </w:rPr>
        <w:t xml:space="preserve"> et al, 2017)</w:t>
      </w:r>
      <w:r w:rsidR="005377F7">
        <w:rPr>
          <w:color w:val="000000"/>
        </w:rPr>
        <w:t>.</w:t>
      </w:r>
      <w:r w:rsidR="00022512">
        <w:rPr>
          <w:color w:val="000000"/>
        </w:rPr>
        <w:t xml:space="preserve">  </w:t>
      </w:r>
      <w:r w:rsidR="00DF50B4">
        <w:rPr>
          <w:color w:val="000000"/>
        </w:rPr>
        <w:t>Carey, Buchan</w:t>
      </w:r>
      <w:r w:rsidR="00177D67" w:rsidRPr="00177D67">
        <w:rPr>
          <w:color w:val="000000"/>
        </w:rPr>
        <w:t xml:space="preserve">, &amp; </w:t>
      </w:r>
      <w:proofErr w:type="spellStart"/>
      <w:r w:rsidR="00DF50B4">
        <w:rPr>
          <w:color w:val="000000"/>
        </w:rPr>
        <w:t>Sanson</w:t>
      </w:r>
      <w:proofErr w:type="spellEnd"/>
      <w:r w:rsidR="00DF50B4">
        <w:rPr>
          <w:color w:val="000000"/>
        </w:rPr>
        <w:t xml:space="preserve">-Fisher, (2009) advised guidelines should be specific when describing the desired behavior by including details such as the specific recommended action, the appropriate person </w:t>
      </w:r>
      <w:r w:rsidR="00DF50B4" w:rsidRPr="00933448">
        <w:rPr>
          <w:color w:val="000000"/>
        </w:rPr>
        <w:t>to take the action, which group of patients it should be applied, and under what circumstances</w:t>
      </w:r>
      <w:r w:rsidR="00D37F35" w:rsidRPr="00933448">
        <w:t xml:space="preserve">.  </w:t>
      </w:r>
      <w:r w:rsidR="00ED03C3" w:rsidRPr="00933448">
        <w:t xml:space="preserve">Development </w:t>
      </w:r>
      <w:r w:rsidR="00D37F35" w:rsidRPr="00933448">
        <w:t>of a guideline begins with literature examination, evidence ranking, and formati</w:t>
      </w:r>
      <w:r w:rsidR="00C10321" w:rsidRPr="00933448">
        <w:t xml:space="preserve">on of recommendations </w:t>
      </w:r>
      <w:r w:rsidR="003E05D8" w:rsidRPr="00933448">
        <w:t>(K</w:t>
      </w:r>
      <w:r w:rsidR="00933B2E" w:rsidRPr="00933448">
        <w:t xml:space="preserve">. </w:t>
      </w:r>
      <w:r w:rsidR="00D37F35" w:rsidRPr="00933448">
        <w:t>Jones</w:t>
      </w:r>
      <w:r w:rsidR="00591CAE" w:rsidRPr="00933448">
        <w:t xml:space="preserve"> </w:t>
      </w:r>
      <w:r w:rsidR="00D37F35" w:rsidRPr="00933448">
        <w:t>et al., 2016</w:t>
      </w:r>
      <w:r w:rsidR="2F12C45C" w:rsidRPr="00933448">
        <w:t>)</w:t>
      </w:r>
      <w:r w:rsidR="00D37F35" w:rsidRPr="00933448">
        <w:t xml:space="preserve">.  </w:t>
      </w:r>
      <w:r w:rsidR="00933B2E" w:rsidRPr="00933448">
        <w:t xml:space="preserve">K. </w:t>
      </w:r>
      <w:r w:rsidR="003E05D8" w:rsidRPr="00A37891">
        <w:t>Jones</w:t>
      </w:r>
      <w:r w:rsidR="00933B2E" w:rsidRPr="004B2DA2">
        <w:t xml:space="preserve"> </w:t>
      </w:r>
      <w:r w:rsidR="003E05D8" w:rsidRPr="004B2DA2">
        <w:t>et al.</w:t>
      </w:r>
      <w:r w:rsidR="00933B2E" w:rsidRPr="008B569A">
        <w:t xml:space="preserve"> </w:t>
      </w:r>
      <w:r w:rsidR="0095136E" w:rsidRPr="008B569A">
        <w:t xml:space="preserve">(2016) </w:t>
      </w:r>
      <w:r w:rsidR="003E05D8" w:rsidRPr="008B569A">
        <w:t>recommends utilization of a PICO appraisal for standardization of data extractio</w:t>
      </w:r>
      <w:r w:rsidR="004F3ED9" w:rsidRPr="008B569A">
        <w:t>n,</w:t>
      </w:r>
      <w:r w:rsidR="008A3FF8" w:rsidRPr="008B569A">
        <w:t xml:space="preserve"> a</w:t>
      </w:r>
      <w:r w:rsidR="003E05D8" w:rsidRPr="008B569A">
        <w:t xml:space="preserve"> systematic approach to clinical r</w:t>
      </w:r>
      <w:r w:rsidR="008A3FF8" w:rsidRPr="008B569A">
        <w:t>ecommendation development to decrease</w:t>
      </w:r>
      <w:r w:rsidR="003E05D8" w:rsidRPr="008B569A">
        <w:t xml:space="preserve"> reporting bias beyond the existing knowledge base</w:t>
      </w:r>
      <w:r w:rsidR="004F3ED9" w:rsidRPr="008B569A">
        <w:t>, and a collaborative appraisal of the evidence to optimize the quality and accountability of</w:t>
      </w:r>
      <w:r w:rsidR="0018486E" w:rsidRPr="008B569A">
        <w:t xml:space="preserve"> concurrent expert</w:t>
      </w:r>
      <w:r w:rsidR="004F3ED9" w:rsidRPr="008B569A">
        <w:t xml:space="preserve"> recommendations. </w:t>
      </w:r>
      <w:r w:rsidR="00567726" w:rsidRPr="008B569A">
        <w:t xml:space="preserve"> Standardized protocols can impact patient outcomes and provider compliance.  For instance, </w:t>
      </w:r>
      <w:proofErr w:type="spellStart"/>
      <w:r w:rsidR="00567726" w:rsidRPr="008B569A">
        <w:rPr>
          <w:color w:val="000000"/>
        </w:rPr>
        <w:t>Ripolles-Melchor</w:t>
      </w:r>
      <w:proofErr w:type="spellEnd"/>
      <w:r w:rsidR="00567726" w:rsidRPr="008B569A">
        <w:rPr>
          <w:color w:val="000000"/>
        </w:rPr>
        <w:t xml:space="preserve"> et al</w:t>
      </w:r>
      <w:r w:rsidR="2F12C45C" w:rsidRPr="008B569A">
        <w:rPr>
          <w:color w:val="000000"/>
        </w:rPr>
        <w:t>.</w:t>
      </w:r>
      <w:r w:rsidR="00567726" w:rsidRPr="008B569A">
        <w:rPr>
          <w:color w:val="000000"/>
        </w:rPr>
        <w:t xml:space="preserve"> (2018) determined </w:t>
      </w:r>
      <w:r w:rsidR="00567726" w:rsidRPr="008B569A">
        <w:rPr>
          <w:color w:val="000000"/>
          <w:shd w:val="clear" w:color="auto" w:fill="FFFFFF"/>
        </w:rPr>
        <w:t xml:space="preserve">implementation of a standardized protocol for their postoperative patients was associated with improved patient outcomes such as </w:t>
      </w:r>
      <w:r w:rsidR="00567726" w:rsidRPr="00933448">
        <w:rPr>
          <w:color w:val="000000"/>
          <w:shd w:val="clear" w:color="auto" w:fill="FFFFFF"/>
        </w:rPr>
        <w:t xml:space="preserve">significantly reduced complications and length of stay as well as a </w:t>
      </w:r>
      <w:r w:rsidR="00567726" w:rsidRPr="00933448">
        <w:rPr>
          <w:rStyle w:val="highlight"/>
          <w:color w:val="000000"/>
          <w:shd w:val="clear" w:color="auto" w:fill="FFFFFF"/>
        </w:rPr>
        <w:t>protocol</w:t>
      </w:r>
      <w:r w:rsidR="00567726" w:rsidRPr="00933448">
        <w:rPr>
          <w:color w:val="000000"/>
          <w:shd w:val="clear" w:color="auto" w:fill="FFFFFF"/>
        </w:rPr>
        <w:t> compliance of 88%.</w:t>
      </w:r>
    </w:p>
    <w:p w14:paraId="56859E23" w14:textId="63A0AE60" w:rsidR="00233E75" w:rsidRDefault="009F7F2E" w:rsidP="693C9F63">
      <w:pPr>
        <w:spacing w:line="480" w:lineRule="auto"/>
        <w:ind w:firstLine="720"/>
        <w:rPr>
          <w:color w:val="000000" w:themeColor="text1"/>
        </w:rPr>
      </w:pPr>
      <w:r w:rsidRPr="269AEE2E">
        <w:rPr>
          <w:b/>
          <w:bCs/>
        </w:rPr>
        <w:t xml:space="preserve">Implementation of </w:t>
      </w:r>
      <w:r w:rsidR="003D0012">
        <w:rPr>
          <w:b/>
          <w:bCs/>
        </w:rPr>
        <w:t>p</w:t>
      </w:r>
      <w:r w:rsidRPr="269AEE2E">
        <w:rPr>
          <w:b/>
          <w:bCs/>
        </w:rPr>
        <w:t xml:space="preserve">rotocols for </w:t>
      </w:r>
      <w:r w:rsidR="003D0012">
        <w:rPr>
          <w:b/>
          <w:bCs/>
        </w:rPr>
        <w:t>p</w:t>
      </w:r>
      <w:r w:rsidRPr="269AEE2E">
        <w:rPr>
          <w:b/>
          <w:bCs/>
        </w:rPr>
        <w:t xml:space="preserve">ractice </w:t>
      </w:r>
      <w:r w:rsidR="003D0012">
        <w:rPr>
          <w:b/>
          <w:bCs/>
        </w:rPr>
        <w:t>c</w:t>
      </w:r>
      <w:r w:rsidRPr="269AEE2E">
        <w:rPr>
          <w:b/>
          <w:bCs/>
        </w:rPr>
        <w:t>hange.</w:t>
      </w:r>
      <w:r w:rsidR="00CB4EEF" w:rsidRPr="269AEE2E">
        <w:rPr>
          <w:b/>
          <w:bCs/>
        </w:rPr>
        <w:t xml:space="preserve">  </w:t>
      </w:r>
      <w:r w:rsidR="00FC4F38" w:rsidRPr="00FF1ABB">
        <w:t>Possible benefits to protocol</w:t>
      </w:r>
      <w:r w:rsidR="2E426847" w:rsidRPr="693C9F63">
        <w:t>-</w:t>
      </w:r>
      <w:r w:rsidR="00FC4F38" w:rsidRPr="00FF1ABB">
        <w:t>based care implementation include</w:t>
      </w:r>
      <w:r w:rsidR="00CB4EEF" w:rsidRPr="00FF1ABB">
        <w:t xml:space="preserve"> a more streamlined service delivery for patients</w:t>
      </w:r>
      <w:r w:rsidR="002828FB" w:rsidRPr="00FF1ABB">
        <w:t xml:space="preserve">, increased autonomy for nurses, and </w:t>
      </w:r>
      <w:r w:rsidR="00CB4EEF" w:rsidRPr="00FF1ABB">
        <w:t>reduced provider workload (</w:t>
      </w:r>
      <w:r w:rsidR="00C72F29">
        <w:rPr>
          <w:color w:val="000000"/>
        </w:rPr>
        <w:t xml:space="preserve">Rycroft-Malone, </w:t>
      </w:r>
      <w:proofErr w:type="spellStart"/>
      <w:r w:rsidR="00C72F29">
        <w:rPr>
          <w:color w:val="000000"/>
        </w:rPr>
        <w:t>Fontenla</w:t>
      </w:r>
      <w:proofErr w:type="spellEnd"/>
      <w:r w:rsidR="00C72F29">
        <w:rPr>
          <w:color w:val="000000"/>
        </w:rPr>
        <w:t xml:space="preserve">, Bick, &amp; Seers, </w:t>
      </w:r>
      <w:r w:rsidR="00C72F29" w:rsidRPr="00C72F29">
        <w:rPr>
          <w:color w:val="000000"/>
        </w:rPr>
        <w:t>2008).</w:t>
      </w:r>
      <w:r w:rsidR="002828FB">
        <w:rPr>
          <w:color w:val="000000"/>
        </w:rPr>
        <w:t xml:space="preserve">  </w:t>
      </w:r>
      <w:r w:rsidR="00E52889">
        <w:rPr>
          <w:color w:val="000000"/>
        </w:rPr>
        <w:t>The implementation process for guidelines depend</w:t>
      </w:r>
      <w:r w:rsidR="00FC4F38">
        <w:rPr>
          <w:color w:val="000000"/>
        </w:rPr>
        <w:t>s</w:t>
      </w:r>
      <w:r w:rsidR="00E52889">
        <w:rPr>
          <w:color w:val="000000"/>
        </w:rPr>
        <w:t xml:space="preserve"> on active clinician engagement and </w:t>
      </w:r>
      <w:r w:rsidR="00FF1ABB">
        <w:rPr>
          <w:color w:val="000000"/>
        </w:rPr>
        <w:t xml:space="preserve">a </w:t>
      </w:r>
      <w:r w:rsidR="00E52889">
        <w:rPr>
          <w:color w:val="000000"/>
        </w:rPr>
        <w:t>multifaceted approach for success (Prior,</w:t>
      </w:r>
      <w:r w:rsidR="00E52889" w:rsidRPr="008E3758">
        <w:rPr>
          <w:color w:val="000000"/>
        </w:rPr>
        <w:t xml:space="preserve"> Gu</w:t>
      </w:r>
      <w:r w:rsidR="00E52889">
        <w:rPr>
          <w:color w:val="000000"/>
        </w:rPr>
        <w:t xml:space="preserve">erin, &amp; Grimmer-Somers, </w:t>
      </w:r>
      <w:r w:rsidR="00E52889" w:rsidRPr="008E3758">
        <w:rPr>
          <w:color w:val="000000"/>
        </w:rPr>
        <w:t>2008).</w:t>
      </w:r>
      <w:r w:rsidR="00E52889">
        <w:rPr>
          <w:color w:val="000000"/>
        </w:rPr>
        <w:t xml:space="preserve">  </w:t>
      </w:r>
      <w:r w:rsidR="00143A6B">
        <w:rPr>
          <w:color w:val="000000"/>
        </w:rPr>
        <w:t>M</w:t>
      </w:r>
      <w:r w:rsidR="00E52889">
        <w:rPr>
          <w:color w:val="000000"/>
        </w:rPr>
        <w:t xml:space="preserve">ultifaceted </w:t>
      </w:r>
      <w:r w:rsidR="00E52889" w:rsidRPr="00FA4B34">
        <w:rPr>
          <w:color w:val="000000" w:themeColor="text1"/>
        </w:rPr>
        <w:t>interventions</w:t>
      </w:r>
      <w:r w:rsidR="00FC4F38" w:rsidRPr="00FA4B34">
        <w:rPr>
          <w:color w:val="000000" w:themeColor="text1"/>
        </w:rPr>
        <w:t>,</w:t>
      </w:r>
      <w:r w:rsidR="00E52889" w:rsidRPr="00FA4B34">
        <w:rPr>
          <w:color w:val="000000" w:themeColor="text1"/>
        </w:rPr>
        <w:t xml:space="preserve"> interactive education, and clinical reminder systems were </w:t>
      </w:r>
      <w:r w:rsidR="00143A6B">
        <w:rPr>
          <w:color w:val="000000" w:themeColor="text1"/>
        </w:rPr>
        <w:t xml:space="preserve">found as </w:t>
      </w:r>
      <w:r w:rsidR="00E52889" w:rsidRPr="00FA4B34">
        <w:rPr>
          <w:color w:val="000000" w:themeColor="text1"/>
        </w:rPr>
        <w:t>effective implementation strategies, whereas didactic education and passive dissemination were futile</w:t>
      </w:r>
      <w:r w:rsidR="00143A6B">
        <w:rPr>
          <w:color w:val="000000" w:themeColor="text1"/>
        </w:rPr>
        <w:t xml:space="preserve"> (Prior et. al, 2008)</w:t>
      </w:r>
      <w:r w:rsidR="00E52889" w:rsidRPr="00FA4B34">
        <w:rPr>
          <w:color w:val="000000" w:themeColor="text1"/>
        </w:rPr>
        <w:t xml:space="preserve">. </w:t>
      </w:r>
      <w:r w:rsidR="00022512" w:rsidRPr="00FA4B34">
        <w:rPr>
          <w:color w:val="000000" w:themeColor="text1"/>
        </w:rPr>
        <w:t xml:space="preserve"> </w:t>
      </w:r>
      <w:proofErr w:type="spellStart"/>
      <w:r w:rsidR="00022512" w:rsidRPr="00FA4B34">
        <w:rPr>
          <w:color w:val="000000" w:themeColor="text1"/>
        </w:rPr>
        <w:t>Dulipsingh</w:t>
      </w:r>
      <w:proofErr w:type="spellEnd"/>
      <w:r w:rsidR="00022512" w:rsidRPr="00FA4B34">
        <w:rPr>
          <w:color w:val="000000" w:themeColor="text1"/>
        </w:rPr>
        <w:t xml:space="preserve"> et al. (2016) determined that educating staff on the current clinical practice guidelines resulted in increased testing of HbA1c in hospitalized patients and </w:t>
      </w:r>
      <w:r w:rsidR="00022512" w:rsidRPr="00FA4B34">
        <w:rPr>
          <w:color w:val="000000" w:themeColor="text1"/>
        </w:rPr>
        <w:lastRenderedPageBreak/>
        <w:t xml:space="preserve">decreased hypoglycemic and hyperglycemic events immediately following implementation. </w:t>
      </w:r>
      <w:r w:rsidR="00FF1ABB" w:rsidRPr="00FA4B34">
        <w:rPr>
          <w:color w:val="000000" w:themeColor="text1"/>
        </w:rPr>
        <w:t xml:space="preserve">Aside </w:t>
      </w:r>
      <w:r w:rsidR="0029147F" w:rsidRPr="00FA4B34">
        <w:rPr>
          <w:color w:val="000000" w:themeColor="text1"/>
        </w:rPr>
        <w:t>from considering the best available evidence</w:t>
      </w:r>
      <w:r w:rsidR="0095136E">
        <w:rPr>
          <w:color w:val="000000" w:themeColor="text1"/>
        </w:rPr>
        <w:t>-based</w:t>
      </w:r>
      <w:r w:rsidR="00741F77">
        <w:rPr>
          <w:color w:val="000000" w:themeColor="text1"/>
        </w:rPr>
        <w:t xml:space="preserve"> </w:t>
      </w:r>
      <w:r w:rsidR="0029147F" w:rsidRPr="00FA4B34">
        <w:rPr>
          <w:color w:val="000000" w:themeColor="text1"/>
        </w:rPr>
        <w:t>practic</w:t>
      </w:r>
      <w:r w:rsidR="00FC4F38" w:rsidRPr="00FA4B34">
        <w:rPr>
          <w:color w:val="000000" w:themeColor="text1"/>
        </w:rPr>
        <w:t>e</w:t>
      </w:r>
      <w:r w:rsidR="0088155D" w:rsidRPr="00FA4B34">
        <w:rPr>
          <w:color w:val="000000" w:themeColor="text1"/>
        </w:rPr>
        <w:t>,</w:t>
      </w:r>
      <w:r w:rsidR="0029147F" w:rsidRPr="00FA4B34">
        <w:rPr>
          <w:color w:val="000000" w:themeColor="text1"/>
        </w:rPr>
        <w:t xml:space="preserve"> barriers in the clinical setting</w:t>
      </w:r>
      <w:r w:rsidR="00FF1ABB" w:rsidRPr="00FA4B34">
        <w:rPr>
          <w:color w:val="000000" w:themeColor="text1"/>
        </w:rPr>
        <w:t xml:space="preserve"> also need to be taken in account</w:t>
      </w:r>
      <w:r w:rsidR="0029147F" w:rsidRPr="00FA4B34">
        <w:rPr>
          <w:color w:val="000000" w:themeColor="text1"/>
        </w:rPr>
        <w:t xml:space="preserve"> (Choi et al., 2015).  Potential factors resulting in barrier to introduction of an evidenced</w:t>
      </w:r>
      <w:r w:rsidR="00C701AA">
        <w:rPr>
          <w:color w:val="000000" w:themeColor="text1"/>
        </w:rPr>
        <w:t>-</w:t>
      </w:r>
      <w:r w:rsidR="0029147F" w:rsidRPr="00FA4B34">
        <w:rPr>
          <w:color w:val="000000" w:themeColor="text1"/>
        </w:rPr>
        <w:t>based protocol to the outpatient clinic include heavy workload,</w:t>
      </w:r>
      <w:r w:rsidR="00FF1ABB" w:rsidRPr="00FA4B34">
        <w:rPr>
          <w:color w:val="000000" w:themeColor="text1"/>
        </w:rPr>
        <w:t xml:space="preserve"> </w:t>
      </w:r>
      <w:r w:rsidR="0029147F" w:rsidRPr="00FA4B34">
        <w:rPr>
          <w:color w:val="000000" w:themeColor="text1"/>
        </w:rPr>
        <w:t xml:space="preserve">shortage of </w:t>
      </w:r>
      <w:r w:rsidR="00816694" w:rsidRPr="00FA4B34">
        <w:rPr>
          <w:color w:val="000000" w:themeColor="text1"/>
        </w:rPr>
        <w:t>consultation</w:t>
      </w:r>
      <w:r w:rsidR="0029147F" w:rsidRPr="00FA4B34">
        <w:rPr>
          <w:color w:val="000000" w:themeColor="text1"/>
        </w:rPr>
        <w:t xml:space="preserve"> time, and </w:t>
      </w:r>
      <w:r w:rsidR="00816694" w:rsidRPr="00FA4B34">
        <w:rPr>
          <w:color w:val="000000" w:themeColor="text1"/>
        </w:rPr>
        <w:t>limited</w:t>
      </w:r>
      <w:r w:rsidR="0029147F" w:rsidRPr="00FA4B34">
        <w:rPr>
          <w:color w:val="000000" w:themeColor="text1"/>
        </w:rPr>
        <w:t xml:space="preserve"> scope of the drug formulary (Choi et al., 2015). </w:t>
      </w:r>
    </w:p>
    <w:p w14:paraId="0CC4849D" w14:textId="1398B213" w:rsidR="2F12C45C" w:rsidRDefault="693C9F63" w:rsidP="693C9F63">
      <w:pPr>
        <w:spacing w:line="480" w:lineRule="auto"/>
        <w:ind w:firstLine="720"/>
        <w:rPr>
          <w:color w:val="000000" w:themeColor="text1"/>
        </w:rPr>
      </w:pPr>
      <w:r w:rsidRPr="693C9F63">
        <w:rPr>
          <w:color w:val="000000" w:themeColor="text1"/>
        </w:rPr>
        <w:t xml:space="preserve">The care of the MS patient can be complex with multi system complaints resulting in lengthy consultation times, however providing patient education is vital for optimal patient outcomes. Engaging clinical support staff such as nurses and medical assistants in providing patient education about the role of </w:t>
      </w:r>
      <w:r w:rsidR="00741F77">
        <w:rPr>
          <w:color w:val="000000" w:themeColor="text1"/>
        </w:rPr>
        <w:t>v</w:t>
      </w:r>
      <w:r w:rsidRPr="693C9F63">
        <w:rPr>
          <w:color w:val="000000" w:themeColor="text1"/>
        </w:rPr>
        <w:t xml:space="preserve">itamin D status in their disease is a potential strategy to </w:t>
      </w:r>
      <w:r w:rsidRPr="00142BA1">
        <w:rPr>
          <w:color w:val="000000" w:themeColor="text1"/>
        </w:rPr>
        <w:t xml:space="preserve">combat a perceived barrier of increased provider workload.  In addition, the use of </w:t>
      </w:r>
      <w:r w:rsidR="0095136E" w:rsidRPr="00142BA1">
        <w:rPr>
          <w:color w:val="000000" w:themeColor="text1"/>
        </w:rPr>
        <w:t>electronic health record (</w:t>
      </w:r>
      <w:r w:rsidRPr="00142BA1">
        <w:rPr>
          <w:color w:val="000000" w:themeColor="text1"/>
        </w:rPr>
        <w:t>EHR</w:t>
      </w:r>
      <w:r w:rsidR="0095136E" w:rsidRPr="00142BA1">
        <w:rPr>
          <w:color w:val="000000" w:themeColor="text1"/>
        </w:rPr>
        <w:t>)</w:t>
      </w:r>
      <w:r w:rsidRPr="00142BA1">
        <w:rPr>
          <w:color w:val="000000" w:themeColor="text1"/>
        </w:rPr>
        <w:t xml:space="preserve"> implement</w:t>
      </w:r>
      <w:r w:rsidR="0095136E" w:rsidRPr="00142BA1">
        <w:rPr>
          <w:color w:val="000000" w:themeColor="text1"/>
        </w:rPr>
        <w:t xml:space="preserve">ation </w:t>
      </w:r>
      <w:r w:rsidR="00602937" w:rsidRPr="00142BA1">
        <w:rPr>
          <w:color w:val="000000" w:themeColor="text1"/>
        </w:rPr>
        <w:t>of clinical</w:t>
      </w:r>
      <w:r w:rsidRPr="00142BA1">
        <w:rPr>
          <w:color w:val="000000" w:themeColor="text1"/>
        </w:rPr>
        <w:t xml:space="preserve"> decision support systems can also potentially reduce provider workload by integrating alerts and order protocols within the office visit form template.</w:t>
      </w:r>
      <w:r w:rsidR="00B641A0" w:rsidRPr="00142BA1">
        <w:rPr>
          <w:color w:val="000000" w:themeColor="text1"/>
        </w:rPr>
        <w:t xml:space="preserve">  </w:t>
      </w:r>
      <w:r w:rsidRPr="00142BA1">
        <w:rPr>
          <w:color w:val="000000" w:themeColor="text1"/>
        </w:rPr>
        <w:t xml:space="preserve">In </w:t>
      </w:r>
      <w:r w:rsidR="005F038D" w:rsidRPr="00142BA1">
        <w:rPr>
          <w:color w:val="000000" w:themeColor="text1"/>
        </w:rPr>
        <w:t xml:space="preserve">fact, </w:t>
      </w:r>
      <w:r w:rsidRPr="00142BA1">
        <w:rPr>
          <w:color w:val="000000" w:themeColor="text1"/>
        </w:rPr>
        <w:t>alerts built into EHR systems</w:t>
      </w:r>
      <w:r w:rsidRPr="00142BA1">
        <w:rPr>
          <w:rFonts w:eastAsia="Georgia"/>
          <w:color w:val="000000" w:themeColor="text1"/>
        </w:rPr>
        <w:t xml:space="preserve"> improved hepatitis C virus infection screening and treatment and eliminated the need for clinicians to remember to screen patients for HCV or verify prior HCV testing or diagnosis of individual patients</w:t>
      </w:r>
      <w:r w:rsidR="006C6682" w:rsidRPr="00142BA1">
        <w:rPr>
          <w:color w:val="000000" w:themeColor="text1"/>
        </w:rPr>
        <w:t xml:space="preserve"> (</w:t>
      </w:r>
      <w:proofErr w:type="spellStart"/>
      <w:r w:rsidR="006C6682" w:rsidRPr="00142BA1">
        <w:rPr>
          <w:color w:val="000000" w:themeColor="text1"/>
        </w:rPr>
        <w:t>Konerman</w:t>
      </w:r>
      <w:proofErr w:type="spellEnd"/>
      <w:r w:rsidR="006C6682" w:rsidRPr="00142BA1">
        <w:rPr>
          <w:color w:val="000000" w:themeColor="text1"/>
        </w:rPr>
        <w:t xml:space="preserve"> et al., 2017)</w:t>
      </w:r>
      <w:r w:rsidRPr="00142BA1">
        <w:rPr>
          <w:rFonts w:eastAsia="Georgia"/>
          <w:color w:val="000000" w:themeColor="text1"/>
        </w:rPr>
        <w:t>.</w:t>
      </w:r>
    </w:p>
    <w:p w14:paraId="08950966" w14:textId="416F3A8A" w:rsidR="008E3758" w:rsidRPr="009F7F2E" w:rsidRDefault="008E2667" w:rsidP="769046C7">
      <w:pPr>
        <w:spacing w:line="480" w:lineRule="auto"/>
        <w:ind w:firstLine="720"/>
        <w:rPr>
          <w:b/>
          <w:bCs/>
          <w:color w:val="000000" w:themeColor="text1"/>
        </w:rPr>
      </w:pPr>
      <w:r w:rsidRPr="00FA4B34">
        <w:rPr>
          <w:color w:val="000000" w:themeColor="text1"/>
        </w:rPr>
        <w:t xml:space="preserve">Several theories suggest people’s behavior is influenced by their beliefs </w:t>
      </w:r>
      <w:r w:rsidRPr="00FA4B34">
        <w:rPr>
          <w:color w:val="000000" w:themeColor="text1"/>
          <w:shd w:val="clear" w:color="auto" w:fill="FFFFFF"/>
        </w:rPr>
        <w:t>about the likely outcomes and the perceived value attached to those outcomes (</w:t>
      </w:r>
      <w:r w:rsidRPr="00FA4B34">
        <w:rPr>
          <w:color w:val="000000" w:themeColor="text1"/>
        </w:rPr>
        <w:t>Carey, Buchan</w:t>
      </w:r>
      <w:r w:rsidRPr="00005D27">
        <w:rPr>
          <w:color w:val="000000" w:themeColor="text1"/>
        </w:rPr>
        <w:t xml:space="preserve">, &amp; </w:t>
      </w:r>
      <w:proofErr w:type="spellStart"/>
      <w:r w:rsidRPr="00005D27">
        <w:rPr>
          <w:color w:val="000000" w:themeColor="text1"/>
        </w:rPr>
        <w:t>Sanson</w:t>
      </w:r>
      <w:proofErr w:type="spellEnd"/>
      <w:r w:rsidRPr="00005D27">
        <w:rPr>
          <w:color w:val="000000" w:themeColor="text1"/>
        </w:rPr>
        <w:t xml:space="preserve">-Fisher, 2009).  </w:t>
      </w:r>
      <w:r w:rsidR="004A4A14" w:rsidRPr="00005D27">
        <w:rPr>
          <w:color w:val="000000" w:themeColor="text1"/>
        </w:rPr>
        <w:t>Carey</w:t>
      </w:r>
      <w:r w:rsidR="005F038D">
        <w:rPr>
          <w:color w:val="000000" w:themeColor="text1"/>
        </w:rPr>
        <w:t xml:space="preserve"> et al. (</w:t>
      </w:r>
      <w:r w:rsidR="004A4A14" w:rsidRPr="00005D27">
        <w:rPr>
          <w:color w:val="000000" w:themeColor="text1"/>
        </w:rPr>
        <w:t xml:space="preserve">2009) </w:t>
      </w:r>
      <w:r w:rsidR="004A4A14" w:rsidRPr="00005D27">
        <w:rPr>
          <w:color w:val="000000" w:themeColor="text1"/>
          <w:shd w:val="clear" w:color="auto" w:fill="FFFFFF"/>
        </w:rPr>
        <w:t xml:space="preserve">recognized evidence from a review that determined continuing medical education improves knowledge, </w:t>
      </w:r>
      <w:r w:rsidR="004A4A14" w:rsidRPr="00FA4B34">
        <w:rPr>
          <w:color w:val="000000" w:themeColor="text1"/>
          <w:shd w:val="clear" w:color="auto" w:fill="FFFFFF"/>
        </w:rPr>
        <w:t>skills, attitudes, clinical behavior, and patient outcomes</w:t>
      </w:r>
      <w:r w:rsidR="00543CBE" w:rsidRPr="00FA4B34">
        <w:rPr>
          <w:color w:val="000000" w:themeColor="text1"/>
          <w:shd w:val="clear" w:color="auto" w:fill="FFFFFF"/>
        </w:rPr>
        <w:t>.</w:t>
      </w:r>
      <w:r w:rsidRPr="00FA4B34">
        <w:rPr>
          <w:color w:val="000000" w:themeColor="text1"/>
          <w:shd w:val="clear" w:color="auto" w:fill="FFFFFF"/>
        </w:rPr>
        <w:t xml:space="preserve">  With perceived value of improved patient outcomes and reduced workflow through </w:t>
      </w:r>
      <w:r w:rsidRPr="00005D27">
        <w:rPr>
          <w:color w:val="000000" w:themeColor="text1"/>
        </w:rPr>
        <w:t>streamlined service delivery for patients, providers and support staff are more likely to adopt the behavior.  Therefore, conducting t</w:t>
      </w:r>
      <w:r w:rsidR="00B76327" w:rsidRPr="00005D27">
        <w:rPr>
          <w:color w:val="000000" w:themeColor="text1"/>
        </w:rPr>
        <w:t>raining session</w:t>
      </w:r>
      <w:r w:rsidRPr="00005D27">
        <w:rPr>
          <w:color w:val="000000" w:themeColor="text1"/>
        </w:rPr>
        <w:t>s</w:t>
      </w:r>
      <w:r w:rsidR="00B76327" w:rsidRPr="00005D27">
        <w:rPr>
          <w:color w:val="000000" w:themeColor="text1"/>
        </w:rPr>
        <w:t xml:space="preserve"> for clinic staff is crucial before implementation and review sessions are necessary to audit </w:t>
      </w:r>
      <w:r w:rsidR="0088155D" w:rsidRPr="00005D27">
        <w:rPr>
          <w:color w:val="000000" w:themeColor="text1"/>
        </w:rPr>
        <w:t xml:space="preserve">the </w:t>
      </w:r>
      <w:r w:rsidR="00816694" w:rsidRPr="00005D27">
        <w:rPr>
          <w:color w:val="000000" w:themeColor="text1"/>
        </w:rPr>
        <w:t>clinician’s</w:t>
      </w:r>
      <w:r w:rsidR="00B76327" w:rsidRPr="00005D27">
        <w:rPr>
          <w:color w:val="000000" w:themeColor="text1"/>
        </w:rPr>
        <w:t xml:space="preserve"> compliance with the protocol. </w:t>
      </w:r>
    </w:p>
    <w:p w14:paraId="6FA1C546" w14:textId="77777777" w:rsidR="000E5DD8" w:rsidRDefault="2F12C45C" w:rsidP="269AEE2E">
      <w:pPr>
        <w:pStyle w:val="APA"/>
        <w:ind w:firstLine="0"/>
        <w:rPr>
          <w:b/>
          <w:bCs/>
        </w:rPr>
      </w:pPr>
      <w:r w:rsidRPr="2F12C45C">
        <w:rPr>
          <w:b/>
          <w:bCs/>
        </w:rPr>
        <w:lastRenderedPageBreak/>
        <w:t>Limitations of Literature Review Process</w:t>
      </w:r>
    </w:p>
    <w:p w14:paraId="7D887F7C" w14:textId="65077AC0" w:rsidR="00585BE3" w:rsidRPr="00733647" w:rsidRDefault="2F12C45C" w:rsidP="693C9F63">
      <w:pPr>
        <w:spacing w:line="480" w:lineRule="auto"/>
        <w:ind w:firstLine="720"/>
        <w:rPr>
          <w:color w:val="000000" w:themeColor="text1"/>
          <w:highlight w:val="lightGray"/>
        </w:rPr>
      </w:pPr>
      <w:r w:rsidRPr="2F12C45C">
        <w:t>Current studies focus on supplementation in relapsing form of MS and studies investigating supplementation in progressive forms of MS are lacking. In the existing literature t</w:t>
      </w:r>
      <w:r w:rsidR="000E5DD8" w:rsidRPr="2F12C45C">
        <w:t xml:space="preserve">he predominance </w:t>
      </w:r>
      <w:r w:rsidR="00A12D5D">
        <w:t xml:space="preserve">of </w:t>
      </w:r>
      <w:r w:rsidR="000E5DD8" w:rsidRPr="2F12C45C">
        <w:t xml:space="preserve">data promotes attention to correcting </w:t>
      </w:r>
      <w:r w:rsidR="00741F77">
        <w:t>v</w:t>
      </w:r>
      <w:r w:rsidR="000E5DD8" w:rsidRPr="2F12C45C">
        <w:t xml:space="preserve">itamin D deficiencies in people with MS, however formal guidelines directing vitamin D supplementation have not yet been </w:t>
      </w:r>
      <w:r w:rsidR="000E5DD8" w:rsidRPr="007D3E0F">
        <w:t>established. Researchers</w:t>
      </w:r>
      <w:r w:rsidR="000C6A4B" w:rsidRPr="007D3E0F">
        <w:t xml:space="preserve"> are still determining the optimal </w:t>
      </w:r>
      <w:r w:rsidR="005F6CFC" w:rsidRPr="007D3E0F">
        <w:t>v</w:t>
      </w:r>
      <w:r w:rsidR="000C6A4B" w:rsidRPr="007D3E0F">
        <w:t>itamin D level for those with M</w:t>
      </w:r>
      <w:r w:rsidR="00A12D5D" w:rsidRPr="007D3E0F">
        <w:t xml:space="preserve">S.  </w:t>
      </w:r>
      <w:r w:rsidR="000C6A4B" w:rsidRPr="007D3E0F">
        <w:t>Recommended target levels range within the literature from</w:t>
      </w:r>
      <w:r w:rsidR="004E1CFB" w:rsidRPr="007D3E0F">
        <w:t xml:space="preserve"> </w:t>
      </w:r>
      <w:r w:rsidR="004E1CFB" w:rsidRPr="007D3E0F">
        <w:rPr>
          <w:color w:val="333333"/>
        </w:rPr>
        <w:t>40 to 60 ng/</w:t>
      </w:r>
      <w:r w:rsidR="00933369" w:rsidRPr="007D3E0F">
        <w:rPr>
          <w:color w:val="333333"/>
        </w:rPr>
        <w:t xml:space="preserve">ml, </w:t>
      </w:r>
      <w:r w:rsidR="00933369" w:rsidRPr="007D3E0F">
        <w:t>&gt;</w:t>
      </w:r>
      <w:r w:rsidR="000C6A4B" w:rsidRPr="007D3E0F">
        <w:t xml:space="preserve"> 50 </w:t>
      </w:r>
      <w:r w:rsidR="004E1CFB" w:rsidRPr="007D3E0F">
        <w:t>ng/ml, &gt;75 ng/ml, and &gt;100 ng/ml</w:t>
      </w:r>
      <w:r w:rsidR="00342046" w:rsidRPr="007D3E0F">
        <w:t xml:space="preserve"> (</w:t>
      </w:r>
      <w:proofErr w:type="spellStart"/>
      <w:r w:rsidR="00342046" w:rsidRPr="007D3E0F">
        <w:t>Sotirchos</w:t>
      </w:r>
      <w:proofErr w:type="spellEnd"/>
      <w:r w:rsidR="00342046" w:rsidRPr="007D3E0F">
        <w:t xml:space="preserve"> et al., 2016; </w:t>
      </w:r>
      <w:proofErr w:type="spellStart"/>
      <w:r w:rsidR="00E45551" w:rsidRPr="007D3E0F">
        <w:t>Ascherio</w:t>
      </w:r>
      <w:proofErr w:type="spellEnd"/>
      <w:r w:rsidR="00E45551" w:rsidRPr="007D3E0F">
        <w:t xml:space="preserve"> et al, 2014; </w:t>
      </w:r>
      <w:r w:rsidR="00342046" w:rsidRPr="007D3E0F">
        <w:t>Fitzgeral</w:t>
      </w:r>
      <w:r w:rsidR="623C589A" w:rsidRPr="007D3E0F">
        <w:t>d</w:t>
      </w:r>
      <w:r w:rsidR="00342046" w:rsidRPr="007D3E0F">
        <w:t xml:space="preserve"> et al., 2015)</w:t>
      </w:r>
      <w:r w:rsidR="004E1CFB" w:rsidRPr="007D3E0F">
        <w:t>.</w:t>
      </w:r>
      <w:r w:rsidRPr="007D3E0F">
        <w:t xml:space="preserve">  </w:t>
      </w:r>
      <w:r w:rsidR="000E5DD8" w:rsidRPr="007D3E0F">
        <w:t xml:space="preserve">The lack of formal guidelines </w:t>
      </w:r>
      <w:r w:rsidR="00573991" w:rsidRPr="007D3E0F">
        <w:t>results</w:t>
      </w:r>
      <w:r w:rsidR="000E5DD8" w:rsidRPr="007D3E0F">
        <w:t xml:space="preserve"> in the approach to screening and supplementation being </w:t>
      </w:r>
      <w:r w:rsidR="000E5DD8" w:rsidRPr="00733647">
        <w:rPr>
          <w:color w:val="000000" w:themeColor="text1"/>
        </w:rPr>
        <w:t xml:space="preserve">dependent on </w:t>
      </w:r>
      <w:r w:rsidR="00103EC2">
        <w:rPr>
          <w:color w:val="000000" w:themeColor="text1"/>
        </w:rPr>
        <w:t xml:space="preserve">provider preference, </w:t>
      </w:r>
      <w:r w:rsidR="000E5DD8" w:rsidRPr="00733647">
        <w:rPr>
          <w:color w:val="000000" w:themeColor="text1"/>
        </w:rPr>
        <w:t>clinical expertise</w:t>
      </w:r>
      <w:r w:rsidR="00103EC2">
        <w:rPr>
          <w:color w:val="000000" w:themeColor="text1"/>
        </w:rPr>
        <w:t>,</w:t>
      </w:r>
      <w:r w:rsidR="000E5DD8" w:rsidRPr="00733647">
        <w:rPr>
          <w:color w:val="000000" w:themeColor="text1"/>
        </w:rPr>
        <w:t xml:space="preserve"> and the application of evidence findings from recent studies.  </w:t>
      </w:r>
      <w:r w:rsidR="00702009" w:rsidRPr="00733647">
        <w:rPr>
          <w:rFonts w:ascii="NewsGothicBT" w:eastAsia="NewsGothicBT" w:hAnsi="NewsGothicBT" w:cs="NewsGothicBT"/>
          <w:color w:val="000000" w:themeColor="text1"/>
          <w:sz w:val="20"/>
          <w:szCs w:val="20"/>
        </w:rPr>
        <w:t xml:space="preserve"> </w:t>
      </w:r>
    </w:p>
    <w:p w14:paraId="331A8A86" w14:textId="1C4112EB" w:rsidR="009F7F2E" w:rsidRPr="00733647" w:rsidRDefault="269AEE2E" w:rsidP="269AEE2E">
      <w:pPr>
        <w:spacing w:line="480" w:lineRule="auto"/>
        <w:rPr>
          <w:rFonts w:eastAsia="Calibri"/>
          <w:b/>
          <w:bCs/>
          <w:color w:val="000000" w:themeColor="text1"/>
        </w:rPr>
      </w:pPr>
      <w:r w:rsidRPr="00733647">
        <w:rPr>
          <w:b/>
          <w:bCs/>
          <w:color w:val="000000" w:themeColor="text1"/>
        </w:rPr>
        <w:t>Discussion</w:t>
      </w:r>
      <w:r w:rsidRPr="00733647">
        <w:rPr>
          <w:rFonts w:eastAsia="Calibri"/>
          <w:b/>
          <w:bCs/>
          <w:color w:val="000000" w:themeColor="text1"/>
        </w:rPr>
        <w:t xml:space="preserve"> </w:t>
      </w:r>
    </w:p>
    <w:p w14:paraId="2B7A2F92" w14:textId="68BD3D38" w:rsidR="00E84E6C" w:rsidRPr="00733647" w:rsidRDefault="2F12C45C" w:rsidP="2F12C45C">
      <w:pPr>
        <w:spacing w:line="480" w:lineRule="auto"/>
        <w:ind w:firstLine="360"/>
        <w:rPr>
          <w:color w:val="000000" w:themeColor="text1"/>
        </w:rPr>
      </w:pPr>
      <w:r w:rsidRPr="00733647">
        <w:rPr>
          <w:b/>
          <w:bCs/>
          <w:color w:val="000000" w:themeColor="text1"/>
        </w:rPr>
        <w:t>Conclusion of findings</w:t>
      </w:r>
      <w:r w:rsidRPr="00733647">
        <w:rPr>
          <w:rFonts w:eastAsia="Calibri"/>
          <w:b/>
          <w:bCs/>
          <w:color w:val="000000" w:themeColor="text1"/>
        </w:rPr>
        <w:t xml:space="preserve">. </w:t>
      </w:r>
      <w:r w:rsidRPr="00733647">
        <w:rPr>
          <w:color w:val="000000" w:themeColor="text1"/>
        </w:rPr>
        <w:t>Collectively the evidence demonstrated the established value of monitoring vitamin D levels and the correction of deficiencies with supplementation in MS patients.  Evidence based p</w:t>
      </w:r>
      <w:r w:rsidR="00A12D5D" w:rsidRPr="00733647">
        <w:rPr>
          <w:color w:val="000000" w:themeColor="text1"/>
        </w:rPr>
        <w:t>rotocols/</w:t>
      </w:r>
      <w:r w:rsidRPr="00733647">
        <w:rPr>
          <w:color w:val="000000" w:themeColor="text1"/>
        </w:rPr>
        <w:t xml:space="preserve">guidelines aim to close the gap between best evidence and existing clinical practice and serve as useful tools for diagnosis and implementation of management strategies for providers and support staff.  Several variables impacting successful implementation have been identified, therefore this information can be used to plan accordingly with attention to barrier avoidance. </w:t>
      </w:r>
    </w:p>
    <w:p w14:paraId="25DF08B4" w14:textId="0061CC8B" w:rsidR="000A7DC9" w:rsidRPr="00733647" w:rsidRDefault="007E64BE" w:rsidP="2F12C45C">
      <w:pPr>
        <w:pStyle w:val="APA"/>
        <w:ind w:firstLine="360"/>
        <w:rPr>
          <w:color w:val="000000" w:themeColor="text1"/>
        </w:rPr>
      </w:pPr>
      <w:r w:rsidRPr="00733647">
        <w:rPr>
          <w:b/>
          <w:bCs/>
          <w:color w:val="000000" w:themeColor="text1"/>
        </w:rPr>
        <w:t xml:space="preserve">Advantages </w:t>
      </w:r>
      <w:r w:rsidR="2F12C45C" w:rsidRPr="00733647">
        <w:rPr>
          <w:b/>
          <w:bCs/>
          <w:color w:val="000000" w:themeColor="text1"/>
        </w:rPr>
        <w:t>of findings</w:t>
      </w:r>
      <w:r w:rsidRPr="00733647">
        <w:rPr>
          <w:b/>
          <w:bCs/>
          <w:color w:val="000000" w:themeColor="text1"/>
        </w:rPr>
        <w:t>.</w:t>
      </w:r>
      <w:r w:rsidRPr="00733647">
        <w:rPr>
          <w:color w:val="000000" w:themeColor="text1"/>
        </w:rPr>
        <w:t xml:space="preserve"> </w:t>
      </w:r>
      <w:r w:rsidR="2F12C45C" w:rsidRPr="00733647">
        <w:rPr>
          <w:color w:val="000000" w:themeColor="text1"/>
        </w:rPr>
        <w:t xml:space="preserve"> The study design and populations, such as vitamin D supplement dose and MS medication, differ in the studies which allow some generalizability of the results.   The beneficial effect of vitamin D on relapse reduction has been predicted by similar statistical models in five different studies.  There is a clear consensus on the recommended form of </w:t>
      </w:r>
      <w:r w:rsidR="005F6CFC" w:rsidRPr="00733647">
        <w:rPr>
          <w:color w:val="000000" w:themeColor="text1"/>
        </w:rPr>
        <w:t>v</w:t>
      </w:r>
      <w:r w:rsidR="2F12C45C" w:rsidRPr="00733647">
        <w:rPr>
          <w:color w:val="000000" w:themeColor="text1"/>
        </w:rPr>
        <w:t xml:space="preserve">itamin </w:t>
      </w:r>
      <w:r w:rsidR="2F12C45C" w:rsidRPr="00733647">
        <w:rPr>
          <w:color w:val="000000" w:themeColor="text1"/>
        </w:rPr>
        <w:lastRenderedPageBreak/>
        <w:t xml:space="preserve">D supplement (D3) and blood test </w:t>
      </w:r>
      <w:r w:rsidR="2F12C45C" w:rsidRPr="00733647">
        <w:rPr>
          <w:color w:val="000000" w:themeColor="text1"/>
          <w:szCs w:val="24"/>
        </w:rPr>
        <w:t xml:space="preserve">(serum 25 OHD) </w:t>
      </w:r>
      <w:r w:rsidR="2F12C45C" w:rsidRPr="00733647">
        <w:rPr>
          <w:color w:val="000000" w:themeColor="text1"/>
        </w:rPr>
        <w:t xml:space="preserve">for status evaluation.   General guidelines on </w:t>
      </w:r>
      <w:r w:rsidR="005F6CFC" w:rsidRPr="00733647">
        <w:rPr>
          <w:color w:val="000000" w:themeColor="text1"/>
        </w:rPr>
        <w:t>v</w:t>
      </w:r>
      <w:r w:rsidR="2F12C45C" w:rsidRPr="00733647">
        <w:rPr>
          <w:color w:val="000000" w:themeColor="text1"/>
        </w:rPr>
        <w:t xml:space="preserve">itamin D supplementation and recommended blood level targets have been proposed by experts in the field.  </w:t>
      </w:r>
    </w:p>
    <w:p w14:paraId="5A49507B" w14:textId="785DB023" w:rsidR="007E64BE" w:rsidRPr="007D3E0F" w:rsidRDefault="2F12C45C" w:rsidP="2F12C45C">
      <w:pPr>
        <w:pStyle w:val="APA"/>
        <w:ind w:firstLine="360"/>
        <w:rPr>
          <w:color w:val="000000" w:themeColor="text1"/>
        </w:rPr>
      </w:pPr>
      <w:r w:rsidRPr="00733647">
        <w:rPr>
          <w:color w:val="000000" w:themeColor="text1"/>
        </w:rPr>
        <w:t>Standardized protocols aid in earlier identification of issues and enable optimal management.  Given the inherent positive value of the intervention, it is likely to be adopted by</w:t>
      </w:r>
      <w:r w:rsidRPr="00733647">
        <w:rPr>
          <w:color w:val="000000" w:themeColor="text1"/>
          <w:szCs w:val="24"/>
        </w:rPr>
        <w:t xml:space="preserve"> p</w:t>
      </w:r>
      <w:r w:rsidRPr="00733647">
        <w:rPr>
          <w:color w:val="000000" w:themeColor="text1"/>
        </w:rPr>
        <w:t xml:space="preserve">roviders and </w:t>
      </w:r>
      <w:r w:rsidRPr="007D3E0F">
        <w:rPr>
          <w:color w:val="000000" w:themeColor="text1"/>
        </w:rPr>
        <w:t xml:space="preserve">support staff.  Knowledge of potential barriers enables them to be addressed while planning in the pre-implementation stage.   </w:t>
      </w:r>
    </w:p>
    <w:p w14:paraId="1E0102F8" w14:textId="5059BCAB" w:rsidR="007E64BE" w:rsidRPr="004B2DA2" w:rsidRDefault="43A3DDCF" w:rsidP="43A3DDCF">
      <w:pPr>
        <w:pStyle w:val="APA"/>
        <w:ind w:firstLine="360"/>
        <w:rPr>
          <w:rFonts w:eastAsia="Times"/>
        </w:rPr>
      </w:pPr>
      <w:r w:rsidRPr="00733647">
        <w:rPr>
          <w:b/>
          <w:bCs/>
          <w:color w:val="000000" w:themeColor="text1"/>
        </w:rPr>
        <w:t>Disadvantages of findings.</w:t>
      </w:r>
      <w:r w:rsidRPr="00733647">
        <w:rPr>
          <w:color w:val="000000" w:themeColor="text1"/>
        </w:rPr>
        <w:t xml:space="preserve"> </w:t>
      </w:r>
      <w:r w:rsidRPr="00733647">
        <w:rPr>
          <w:color w:val="000000" w:themeColor="text1"/>
          <w:szCs w:val="24"/>
        </w:rPr>
        <w:t>Many of the studies testing vitamin D supplements for the treatment of MS consisted of small populations making it difficult to verify the effect of vitamin D.   Additional large randomized, placebo-controlled, double-blinded clinical trials are needed to evaluate the preventive and therapeutic role of vitamin D in MS and to determine the ideal dosage and duration of vitamin D supplementation.  T</w:t>
      </w:r>
      <w:r w:rsidRPr="00733647">
        <w:rPr>
          <w:rFonts w:eastAsia="Times"/>
          <w:color w:val="000000" w:themeColor="text1"/>
        </w:rPr>
        <w:t xml:space="preserve">here is currently no consensus on an "optimal" blood </w:t>
      </w:r>
      <w:r w:rsidRPr="00933448">
        <w:rPr>
          <w:rFonts w:eastAsia="Times"/>
          <w:color w:val="000000" w:themeColor="text1"/>
        </w:rPr>
        <w:t xml:space="preserve">level for vitamin D in those with MS, or what blood levels define deficiency, sufficiency, or toxicity.  Additionally, although guidelines </w:t>
      </w:r>
      <w:r w:rsidRPr="00933448">
        <w:rPr>
          <w:rFonts w:eastAsia="Times"/>
        </w:rPr>
        <w:t>have been proposed by experts a form</w:t>
      </w:r>
      <w:r w:rsidRPr="00A37891">
        <w:rPr>
          <w:rFonts w:eastAsia="Times"/>
        </w:rPr>
        <w:t xml:space="preserve">al guideline has not been established.  </w:t>
      </w:r>
    </w:p>
    <w:p w14:paraId="6BD7D02C" w14:textId="69D6F1B8" w:rsidR="007E64BE" w:rsidRPr="00933448" w:rsidRDefault="270DDC39" w:rsidP="270DDC39">
      <w:pPr>
        <w:spacing w:line="480" w:lineRule="auto"/>
        <w:ind w:firstLine="720"/>
        <w:rPr>
          <w:color w:val="000000" w:themeColor="text1"/>
        </w:rPr>
      </w:pPr>
      <w:r w:rsidRPr="008B569A">
        <w:rPr>
          <w:b/>
          <w:bCs/>
          <w:color w:val="000000" w:themeColor="text1"/>
        </w:rPr>
        <w:t xml:space="preserve">Utilization of findings in practice.   </w:t>
      </w:r>
      <w:r w:rsidRPr="008B569A">
        <w:rPr>
          <w:color w:val="000000" w:themeColor="text1"/>
        </w:rPr>
        <w:t xml:space="preserve">A draft of the guideline </w:t>
      </w:r>
      <w:r w:rsidRPr="00933448">
        <w:rPr>
          <w:color w:val="000000" w:themeColor="text1"/>
        </w:rPr>
        <w:t xml:space="preserve">was developed based on literature findings.  Meetings were held with the providers for further development </w:t>
      </w:r>
      <w:r w:rsidR="00886363" w:rsidRPr="00933448">
        <w:rPr>
          <w:color w:val="000000" w:themeColor="text1"/>
        </w:rPr>
        <w:t xml:space="preserve">and buy-in </w:t>
      </w:r>
      <w:r w:rsidRPr="00933448">
        <w:rPr>
          <w:color w:val="000000" w:themeColor="text1"/>
        </w:rPr>
        <w:t xml:space="preserve">of the standardized protocol which served as a tool for prompt diagnosis and treatment of vitamin D deficiency.  Creating an agreement for a unified approach enabled review and ratification processes for protocol implementation. </w:t>
      </w:r>
      <w:r w:rsidRPr="00933448">
        <w:rPr>
          <w:b/>
          <w:bCs/>
          <w:color w:val="000000" w:themeColor="text1"/>
        </w:rPr>
        <w:t xml:space="preserve"> </w:t>
      </w:r>
      <w:r w:rsidRPr="00933448">
        <w:rPr>
          <w:color w:val="000000" w:themeColor="text1"/>
        </w:rPr>
        <w:t>Clinical support staff including nurses, medical assistants, and medical scribes were provided education on the role of vitamin D status in MS patients to best enable them to provide patient education.  Support staff were also trained to aid in the initiative to help combat a perceived barrier of increased provider workload.   Weekly</w:t>
      </w:r>
      <w:r w:rsidRPr="270DDC39">
        <w:rPr>
          <w:color w:val="000000" w:themeColor="text1"/>
        </w:rPr>
        <w:t xml:space="preserve"> </w:t>
      </w:r>
      <w:r w:rsidRPr="270DDC39">
        <w:rPr>
          <w:color w:val="000000" w:themeColor="text1"/>
        </w:rPr>
        <w:lastRenderedPageBreak/>
        <w:t xml:space="preserve">chart audits </w:t>
      </w:r>
      <w:r w:rsidRPr="00933448">
        <w:rPr>
          <w:color w:val="000000" w:themeColor="text1"/>
        </w:rPr>
        <w:t xml:space="preserve">were conducted to review for compliance.  Review sessions were held with the providers regarding their audits with the clinician's compliance with the protocol. </w:t>
      </w:r>
    </w:p>
    <w:p w14:paraId="097FC1E5" w14:textId="0A08E801" w:rsidR="00824FCA" w:rsidRPr="004B2DA2" w:rsidRDefault="4E5A3D04" w:rsidP="4E5A3D04">
      <w:pPr>
        <w:pStyle w:val="APA"/>
        <w:ind w:firstLine="0"/>
        <w:rPr>
          <w:b/>
          <w:bCs/>
          <w:szCs w:val="24"/>
        </w:rPr>
      </w:pPr>
      <w:r w:rsidRPr="00A37891">
        <w:rPr>
          <w:b/>
          <w:bCs/>
          <w:szCs w:val="24"/>
        </w:rPr>
        <w:t xml:space="preserve">Summary </w:t>
      </w:r>
    </w:p>
    <w:p w14:paraId="053E171B" w14:textId="476F4B0F" w:rsidR="0054682E" w:rsidRDefault="00E84E6C" w:rsidP="4E5A3D04">
      <w:pPr>
        <w:pStyle w:val="APA"/>
        <w:ind w:firstLine="0"/>
        <w:rPr>
          <w:szCs w:val="24"/>
        </w:rPr>
      </w:pPr>
      <w:r w:rsidRPr="008B569A">
        <w:rPr>
          <w:b/>
        </w:rPr>
        <w:tab/>
      </w:r>
      <w:r w:rsidRPr="008B569A">
        <w:rPr>
          <w:szCs w:val="24"/>
        </w:rPr>
        <w:t xml:space="preserve">Although </w:t>
      </w:r>
      <w:r w:rsidR="003A55CE" w:rsidRPr="008B569A">
        <w:rPr>
          <w:szCs w:val="24"/>
        </w:rPr>
        <w:t xml:space="preserve">routine vitamin D screening may not be recommended for the general public, the role of routine vitamin D screening and supplementation in improving MS </w:t>
      </w:r>
      <w:r w:rsidR="00BA1E95" w:rsidRPr="008B569A">
        <w:rPr>
          <w:szCs w:val="24"/>
        </w:rPr>
        <w:t>patient’s</w:t>
      </w:r>
      <w:r w:rsidR="003A55CE" w:rsidRPr="008B569A">
        <w:rPr>
          <w:szCs w:val="24"/>
        </w:rPr>
        <w:t xml:space="preserve"> outcomes is irrefutable. </w:t>
      </w:r>
      <w:r w:rsidR="00816694" w:rsidRPr="008B569A">
        <w:rPr>
          <w:szCs w:val="24"/>
        </w:rPr>
        <w:t xml:space="preserve"> Guideline </w:t>
      </w:r>
      <w:r w:rsidR="00816694" w:rsidRPr="00933448">
        <w:rPr>
          <w:szCs w:val="24"/>
        </w:rPr>
        <w:t xml:space="preserve">creation is </w:t>
      </w:r>
      <w:r w:rsidR="005314F8" w:rsidRPr="00933448">
        <w:rPr>
          <w:szCs w:val="24"/>
        </w:rPr>
        <w:t xml:space="preserve">often </w:t>
      </w:r>
      <w:r w:rsidR="00816694" w:rsidRPr="00933448">
        <w:rPr>
          <w:szCs w:val="24"/>
        </w:rPr>
        <w:t>not standardized, and</w:t>
      </w:r>
      <w:r w:rsidR="00816694" w:rsidRPr="4E5A3D04">
        <w:rPr>
          <w:szCs w:val="24"/>
        </w:rPr>
        <w:t xml:space="preserve"> the methods used may no</w:t>
      </w:r>
      <w:r w:rsidR="00597C48" w:rsidRPr="4E5A3D04">
        <w:rPr>
          <w:szCs w:val="24"/>
        </w:rPr>
        <w:t xml:space="preserve">t be detailed fully beforehand which can increase the risk of author bias; the </w:t>
      </w:r>
      <w:r w:rsidR="00816694" w:rsidRPr="4E5A3D04">
        <w:rPr>
          <w:szCs w:val="24"/>
        </w:rPr>
        <w:t>impact of guideline authors’ biases can be reduced by having a defined protocol for guideline development, as with clinical trials (K. Jones et al., 2016)</w:t>
      </w:r>
      <w:r w:rsidR="00D04247">
        <w:rPr>
          <w:szCs w:val="24"/>
        </w:rPr>
        <w:t>.</w:t>
      </w:r>
    </w:p>
    <w:p w14:paraId="3A092107" w14:textId="77777777" w:rsidR="00E84E6C" w:rsidRPr="00E84E6C" w:rsidRDefault="4E5A3D04" w:rsidP="4E5A3D04">
      <w:pPr>
        <w:pStyle w:val="APA"/>
        <w:ind w:firstLine="0"/>
        <w:rPr>
          <w:szCs w:val="24"/>
        </w:rPr>
      </w:pPr>
      <w:r w:rsidRPr="4E5A3D04">
        <w:rPr>
          <w:szCs w:val="24"/>
        </w:rPr>
        <w:t xml:space="preserve">  </w:t>
      </w:r>
    </w:p>
    <w:p w14:paraId="0B44E88E" w14:textId="77777777" w:rsidR="0083058D" w:rsidRDefault="0083058D" w:rsidP="4E5A3D04">
      <w:pPr>
        <w:pStyle w:val="APA"/>
        <w:rPr>
          <w:szCs w:val="24"/>
        </w:rPr>
      </w:pPr>
    </w:p>
    <w:p w14:paraId="69A74559" w14:textId="6F5C2ED7" w:rsidR="00EF1454" w:rsidRPr="00733647" w:rsidRDefault="00EF1454" w:rsidP="4E5A3D04">
      <w:pPr>
        <w:pStyle w:val="APA"/>
        <w:ind w:firstLine="0"/>
        <w:contextualSpacing/>
        <w:jc w:val="center"/>
        <w:rPr>
          <w:b/>
          <w:bCs/>
          <w:color w:val="000000" w:themeColor="text1"/>
          <w:szCs w:val="24"/>
        </w:rPr>
      </w:pPr>
      <w:r w:rsidRPr="4E5A3D04">
        <w:rPr>
          <w:szCs w:val="24"/>
        </w:rPr>
        <w:br w:type="page"/>
      </w:r>
      <w:r w:rsidR="4E5A3D04" w:rsidRPr="00733647">
        <w:rPr>
          <w:b/>
          <w:bCs/>
          <w:color w:val="000000" w:themeColor="text1"/>
          <w:szCs w:val="24"/>
        </w:rPr>
        <w:lastRenderedPageBreak/>
        <w:t xml:space="preserve">Chapter Three:  Theory and Concept Model for Evidence-based Practice </w:t>
      </w:r>
    </w:p>
    <w:p w14:paraId="4C963B49" w14:textId="50821630" w:rsidR="4345FD2A" w:rsidRPr="00733647" w:rsidRDefault="4E5A3D04" w:rsidP="00B01607">
      <w:pPr>
        <w:spacing w:line="480" w:lineRule="auto"/>
        <w:ind w:firstLine="720"/>
        <w:jc w:val="both"/>
        <w:rPr>
          <w:color w:val="000000" w:themeColor="text1"/>
        </w:rPr>
      </w:pPr>
      <w:r w:rsidRPr="00733647">
        <w:rPr>
          <w:color w:val="000000" w:themeColor="text1"/>
        </w:rPr>
        <w:t xml:space="preserve">According to </w:t>
      </w:r>
      <w:proofErr w:type="spellStart"/>
      <w:r w:rsidRPr="00733647">
        <w:rPr>
          <w:color w:val="000000" w:themeColor="text1"/>
        </w:rPr>
        <w:t>Alligood</w:t>
      </w:r>
      <w:proofErr w:type="spellEnd"/>
      <w:r w:rsidRPr="00733647">
        <w:rPr>
          <w:color w:val="000000" w:themeColor="text1"/>
        </w:rPr>
        <w:t xml:space="preserve"> (2013) a theoretical framework is a set of interrelated concepts that represent a phenomenon. Theoretical frameworks are the foundation of research design which guide the conceptual basis for study (Cantrell, Leighton &amp; Gilbert, 2018).  Theories help to describe how variables relate to one another, provides an explanation for predictions about the relationships among the variables, advises intervention development, explains how variables are measured, guides analysis of the data, and helps to contextualize the results (Cantrell</w:t>
      </w:r>
      <w:r w:rsidR="00224C9B" w:rsidRPr="00733647">
        <w:rPr>
          <w:color w:val="000000" w:themeColor="text1"/>
        </w:rPr>
        <w:t xml:space="preserve"> et al., </w:t>
      </w:r>
      <w:r w:rsidRPr="00733647">
        <w:rPr>
          <w:color w:val="000000" w:themeColor="text1"/>
        </w:rPr>
        <w:t>2018). Findings from literature review are synthesized for common concepts that describe the phenomenon.</w:t>
      </w:r>
      <w:r w:rsidR="00B01607" w:rsidRPr="00733647">
        <w:rPr>
          <w:color w:val="000000" w:themeColor="text1"/>
        </w:rPr>
        <w:t xml:space="preserve">  </w:t>
      </w:r>
      <w:r w:rsidRPr="00733647">
        <w:rPr>
          <w:rFonts w:eastAsia="Calibri"/>
          <w:color w:val="000000" w:themeColor="text1"/>
        </w:rPr>
        <w:t xml:space="preserve">For successful application of theoretical framework, it is vital to identify the concepts and theories involved in a project. </w:t>
      </w:r>
      <w:r w:rsidRPr="00733647">
        <w:rPr>
          <w:color w:val="000000" w:themeColor="text1"/>
        </w:rPr>
        <w:t xml:space="preserve">These common concepts must then be examined to determine an appropriate theoretical framework for project guidance, as the theoretical framework introduces and describes the theory that explains why the problem exists (USC Libraries, 2018). </w:t>
      </w:r>
    </w:p>
    <w:p w14:paraId="2AA80D8A" w14:textId="77777777" w:rsidR="00EF1454" w:rsidRDefault="4E5A3D04" w:rsidP="4E5A3D04">
      <w:pPr>
        <w:pStyle w:val="APA"/>
        <w:ind w:firstLine="0"/>
        <w:contextualSpacing/>
        <w:rPr>
          <w:rFonts w:asciiTheme="minorHAnsi" w:eastAsiaTheme="minorEastAsia" w:hAnsiTheme="minorHAnsi" w:cstheme="minorBidi"/>
        </w:rPr>
      </w:pPr>
      <w:r w:rsidRPr="4E5A3D04">
        <w:rPr>
          <w:b/>
          <w:bCs/>
        </w:rPr>
        <w:t xml:space="preserve">Concept Analysis </w:t>
      </w:r>
    </w:p>
    <w:p w14:paraId="0852C048" w14:textId="42162F6A" w:rsidR="00EF1454" w:rsidRPr="00F27663" w:rsidRDefault="270DDC39" w:rsidP="270DDC39">
      <w:pPr>
        <w:pStyle w:val="APA"/>
        <w:contextualSpacing/>
        <w:rPr>
          <w:color w:val="000000" w:themeColor="text1"/>
        </w:rPr>
      </w:pPr>
      <w:r w:rsidRPr="270DDC39">
        <w:rPr>
          <w:color w:val="000000" w:themeColor="text1"/>
        </w:rPr>
        <w:t xml:space="preserve">The central concept for this project is evidence-based practice.  </w:t>
      </w:r>
      <w:proofErr w:type="spellStart"/>
      <w:r w:rsidRPr="270DDC39">
        <w:rPr>
          <w:color w:val="000000" w:themeColor="text1"/>
        </w:rPr>
        <w:t>Melnyk</w:t>
      </w:r>
      <w:proofErr w:type="spellEnd"/>
      <w:r w:rsidRPr="270DDC39">
        <w:rPr>
          <w:color w:val="000000" w:themeColor="text1"/>
        </w:rPr>
        <w:t xml:space="preserve">, </w:t>
      </w:r>
      <w:proofErr w:type="spellStart"/>
      <w:r w:rsidRPr="270DDC39">
        <w:rPr>
          <w:color w:val="000000" w:themeColor="text1"/>
        </w:rPr>
        <w:t>Fineout-Overholt</w:t>
      </w:r>
      <w:proofErr w:type="spellEnd"/>
      <w:r w:rsidRPr="270DDC39">
        <w:rPr>
          <w:color w:val="000000" w:themeColor="text1"/>
        </w:rPr>
        <w:t xml:space="preserve">, Stillwell &amp; Williamson (2010) define evidence-based practice as "a problem-solving approach to the delivery of health care that integrates best evidence from studies and patient care data with clinician expertise and patient preferences and values" (p.51).  Antecedents, incidents which precede the concept of evidenced based practice are problem identification, knowledge of importance of research in nursing, </w:t>
      </w:r>
      <w:r w:rsidRPr="00933448">
        <w:rPr>
          <w:color w:val="000000" w:themeColor="text1"/>
        </w:rPr>
        <w:t>identification of patient/family preferences and values (</w:t>
      </w:r>
      <w:proofErr w:type="spellStart"/>
      <w:r w:rsidRPr="00933448">
        <w:rPr>
          <w:color w:val="000000" w:themeColor="text1"/>
        </w:rPr>
        <w:t>Higgin</w:t>
      </w:r>
      <w:proofErr w:type="spellEnd"/>
      <w:r w:rsidRPr="00933448">
        <w:rPr>
          <w:color w:val="000000" w:themeColor="text1"/>
        </w:rPr>
        <w:t xml:space="preserve"> &amp; Reid, 2017).  Interrelated concepts, concepts which may affect or be affected by the concept, include: clinical </w:t>
      </w:r>
      <w:r w:rsidR="00B411B6" w:rsidRPr="00933448">
        <w:rPr>
          <w:color w:val="000000" w:themeColor="text1"/>
        </w:rPr>
        <w:t>judg</w:t>
      </w:r>
      <w:bookmarkStart w:id="6" w:name="_GoBack"/>
      <w:bookmarkEnd w:id="6"/>
      <w:r w:rsidR="00B411B6" w:rsidRPr="00933448">
        <w:rPr>
          <w:color w:val="000000" w:themeColor="text1"/>
        </w:rPr>
        <w:t>ment</w:t>
      </w:r>
      <w:r w:rsidRPr="00933448">
        <w:rPr>
          <w:color w:val="000000" w:themeColor="text1"/>
        </w:rPr>
        <w:t>, health information</w:t>
      </w:r>
      <w:r w:rsidRPr="270DDC39">
        <w:rPr>
          <w:color w:val="000000" w:themeColor="text1"/>
        </w:rPr>
        <w:t xml:space="preserve"> technology, quality improvement, and safety (</w:t>
      </w:r>
      <w:proofErr w:type="spellStart"/>
      <w:r w:rsidRPr="270DDC39">
        <w:rPr>
          <w:color w:val="000000" w:themeColor="text1"/>
        </w:rPr>
        <w:t>Higgin</w:t>
      </w:r>
      <w:proofErr w:type="spellEnd"/>
      <w:r w:rsidRPr="270DDC39">
        <w:rPr>
          <w:color w:val="000000" w:themeColor="text1"/>
        </w:rPr>
        <w:t xml:space="preserve"> &amp; Reid, 2017).  Vital components of the primary concept, evidence-based practice, include being a consumer of research and evaluating the evidence (</w:t>
      </w:r>
      <w:proofErr w:type="spellStart"/>
      <w:r w:rsidRPr="270DDC39">
        <w:rPr>
          <w:color w:val="000000" w:themeColor="text1"/>
        </w:rPr>
        <w:t>Higgin</w:t>
      </w:r>
      <w:proofErr w:type="spellEnd"/>
      <w:r w:rsidRPr="270DDC39">
        <w:rPr>
          <w:color w:val="000000" w:themeColor="text1"/>
        </w:rPr>
        <w:t xml:space="preserve"> &amp; Reid, 2017).  </w:t>
      </w:r>
      <w:r w:rsidRPr="270DDC39">
        <w:rPr>
          <w:color w:val="000000" w:themeColor="text1"/>
        </w:rPr>
        <w:lastRenderedPageBreak/>
        <w:t>Malfunction within the concept of evidence-based practice can result in ineffective utilization of resources, unsatisfactory patient outcomes, and gap between knowledge and practice; whereas successful evidence-based practice produces cost effective care, accountability for practice, and protect credibility (</w:t>
      </w:r>
      <w:proofErr w:type="spellStart"/>
      <w:r w:rsidRPr="270DDC39">
        <w:rPr>
          <w:color w:val="000000" w:themeColor="text1"/>
        </w:rPr>
        <w:t>Higgin</w:t>
      </w:r>
      <w:proofErr w:type="spellEnd"/>
      <w:r w:rsidRPr="270DDC39">
        <w:rPr>
          <w:color w:val="000000" w:themeColor="text1"/>
        </w:rPr>
        <w:t xml:space="preserve"> &amp; Reid, 2017). </w:t>
      </w:r>
    </w:p>
    <w:p w14:paraId="51670FA2" w14:textId="7E843ED4" w:rsidR="00315C02" w:rsidRPr="00F27663" w:rsidRDefault="00315C02" w:rsidP="4E5A3D04">
      <w:pPr>
        <w:pStyle w:val="APA"/>
        <w:contextualSpacing/>
        <w:rPr>
          <w:color w:val="000000" w:themeColor="text1"/>
        </w:rPr>
      </w:pPr>
      <w:r w:rsidRPr="00F27663">
        <w:rPr>
          <w:color w:val="000000" w:themeColor="text1"/>
        </w:rPr>
        <w:t>Within this project a malfunction in evidenced based practice has resulted in a gap between knowledge and practice pertaining to vitamin D deficiency.  Vitamin D deficiency has been identified as a problem for MS patients, for which</w:t>
      </w:r>
      <w:r w:rsidR="00E05E69" w:rsidRPr="00F27663">
        <w:rPr>
          <w:color w:val="000000" w:themeColor="text1"/>
        </w:rPr>
        <w:t xml:space="preserve"> the value of</w:t>
      </w:r>
      <w:r w:rsidRPr="00F27663">
        <w:rPr>
          <w:color w:val="000000" w:themeColor="text1"/>
        </w:rPr>
        <w:t xml:space="preserve"> routine monitoring and correction with supplementation </w:t>
      </w:r>
      <w:r w:rsidR="00E05E69" w:rsidRPr="00F27663">
        <w:rPr>
          <w:color w:val="000000" w:themeColor="text1"/>
        </w:rPr>
        <w:t xml:space="preserve">has been established.  </w:t>
      </w:r>
    </w:p>
    <w:p w14:paraId="76C087D5" w14:textId="408A3419" w:rsidR="006A2969" w:rsidRDefault="00030F6D" w:rsidP="269AEE2E">
      <w:pPr>
        <w:pStyle w:val="APA"/>
        <w:ind w:firstLine="0"/>
        <w:contextualSpacing/>
        <w:rPr>
          <w:b/>
          <w:bCs/>
        </w:rPr>
      </w:pPr>
      <w:r w:rsidRPr="269AEE2E">
        <w:rPr>
          <w:b/>
          <w:bCs/>
        </w:rPr>
        <w:t>Theoretical Framework</w:t>
      </w:r>
      <w:r w:rsidR="00EE0F43" w:rsidRPr="269AEE2E">
        <w:rPr>
          <w:b/>
          <w:bCs/>
        </w:rPr>
        <w:t xml:space="preserve"> </w:t>
      </w:r>
      <w:r w:rsidR="006A2969">
        <w:rPr>
          <w:b/>
        </w:rPr>
        <w:tab/>
      </w:r>
    </w:p>
    <w:p w14:paraId="091163DF" w14:textId="3ADDB58E" w:rsidR="00B14523" w:rsidRPr="00F27663" w:rsidRDefault="693C9F63" w:rsidP="00415A42">
      <w:pPr>
        <w:pStyle w:val="APA"/>
        <w:contextualSpacing/>
        <w:rPr>
          <w:color w:val="000000" w:themeColor="text1"/>
        </w:rPr>
      </w:pPr>
      <w:r w:rsidRPr="00F27663">
        <w:rPr>
          <w:color w:val="000000" w:themeColor="text1"/>
        </w:rPr>
        <w:t xml:space="preserve">The Dobbins framework for the dissemination and utilization of research was utilized for translation of evidence to evidence-based practice. The process of research dissemination and utilization is intricate and susceptible to several variables related to innovation (research evidence), organization, environment, and individual (Dobbins, </w:t>
      </w:r>
      <w:proofErr w:type="spellStart"/>
      <w:r w:rsidRPr="00F27663">
        <w:rPr>
          <w:color w:val="000000" w:themeColor="text1"/>
        </w:rPr>
        <w:t>Ciliska</w:t>
      </w:r>
      <w:proofErr w:type="spellEnd"/>
      <w:r w:rsidRPr="00F27663">
        <w:rPr>
          <w:color w:val="000000" w:themeColor="text1"/>
        </w:rPr>
        <w:t xml:space="preserve">, </w:t>
      </w:r>
      <w:proofErr w:type="spellStart"/>
      <w:r w:rsidRPr="00F27663">
        <w:rPr>
          <w:color w:val="000000" w:themeColor="text1"/>
        </w:rPr>
        <w:t>Cockerill</w:t>
      </w:r>
      <w:proofErr w:type="spellEnd"/>
      <w:r w:rsidRPr="00F27663">
        <w:rPr>
          <w:color w:val="000000" w:themeColor="text1"/>
        </w:rPr>
        <w:t xml:space="preserve">, </w:t>
      </w:r>
      <w:proofErr w:type="spellStart"/>
      <w:r w:rsidRPr="00F27663">
        <w:rPr>
          <w:color w:val="000000" w:themeColor="text1"/>
        </w:rPr>
        <w:t>Barnsley</w:t>
      </w:r>
      <w:proofErr w:type="spellEnd"/>
      <w:r w:rsidRPr="00F27663">
        <w:rPr>
          <w:color w:val="000000" w:themeColor="text1"/>
        </w:rPr>
        <w:t xml:space="preserve">, &amp; </w:t>
      </w:r>
      <w:proofErr w:type="spellStart"/>
      <w:r w:rsidRPr="00F27663">
        <w:rPr>
          <w:color w:val="000000" w:themeColor="text1"/>
        </w:rPr>
        <w:t>DiCenso</w:t>
      </w:r>
      <w:proofErr w:type="spellEnd"/>
      <w:r w:rsidRPr="00F27663">
        <w:rPr>
          <w:color w:val="000000" w:themeColor="text1"/>
        </w:rPr>
        <w:t>, 2002).</w:t>
      </w:r>
      <w:r w:rsidRPr="00F27663">
        <w:rPr>
          <w:rFonts w:ascii="Times" w:eastAsia="Times" w:hAnsi="Times" w:cs="Times"/>
          <w:color w:val="000000" w:themeColor="text1"/>
          <w:sz w:val="29"/>
          <w:szCs w:val="29"/>
        </w:rPr>
        <w:t xml:space="preserve">   </w:t>
      </w:r>
      <w:r w:rsidRPr="00F27663">
        <w:rPr>
          <w:color w:val="000000" w:themeColor="text1"/>
        </w:rPr>
        <w:t>Dobbins et al. (2002) described the process of achieving innovation through the following five stages: knowledge, persuasion, decision, implementation, and confirmation.</w:t>
      </w:r>
      <w:r w:rsidRPr="00F27663">
        <w:rPr>
          <w:rFonts w:ascii="Times" w:eastAsia="Times" w:hAnsi="Times" w:cs="Times"/>
          <w:color w:val="000000" w:themeColor="text1"/>
          <w:sz w:val="29"/>
          <w:szCs w:val="29"/>
        </w:rPr>
        <w:t xml:space="preserve"> </w:t>
      </w:r>
    </w:p>
    <w:p w14:paraId="7A732862" w14:textId="67CCCD0C" w:rsidR="00EF1454" w:rsidRPr="007D3E0F" w:rsidRDefault="2F12C45C" w:rsidP="2F12C45C">
      <w:pPr>
        <w:spacing w:after="240" w:line="480" w:lineRule="auto"/>
        <w:contextualSpacing/>
        <w:rPr>
          <w:color w:val="1F1C1D"/>
        </w:rPr>
      </w:pPr>
      <w:r w:rsidRPr="00F27663">
        <w:rPr>
          <w:color w:val="000000" w:themeColor="text1"/>
        </w:rPr>
        <w:t>The initial stage, knowledge, in the innovation adoption process is the decision makers and practitioner’s awareness of the innovation and the extent of their knowledge is dependent on dissemination strategies (Dobbins et al., 2002). Next, the persuasion stage entails the perception developed after awareness of an i</w:t>
      </w:r>
      <w:r w:rsidR="0025044A">
        <w:rPr>
          <w:color w:val="000000" w:themeColor="text1"/>
        </w:rPr>
        <w:t>nnovation/</w:t>
      </w:r>
      <w:r w:rsidRPr="00F27663">
        <w:rPr>
          <w:color w:val="000000" w:themeColor="text1"/>
        </w:rPr>
        <w:t xml:space="preserve">research evidence (Dobbins et al., 2002).  Factors influencing innovation perception include the innovation, organization, environment, and individual (Dobbins et al., 2002).  Dobbins et al. (2002) recognized Rogers’ five specific attributes used to assess the advantages and disadvantages of innovations including relative advantage, compatibility, complexity, </w:t>
      </w:r>
      <w:proofErr w:type="spellStart"/>
      <w:r w:rsidRPr="00F27663">
        <w:rPr>
          <w:color w:val="000000" w:themeColor="text1"/>
        </w:rPr>
        <w:t>trialability</w:t>
      </w:r>
      <w:proofErr w:type="spellEnd"/>
      <w:r w:rsidRPr="00F27663">
        <w:rPr>
          <w:color w:val="000000" w:themeColor="text1"/>
        </w:rPr>
        <w:t xml:space="preserve"> and observability.  The decision stage follows </w:t>
      </w:r>
      <w:r w:rsidRPr="00F27663">
        <w:rPr>
          <w:color w:val="000000" w:themeColor="text1"/>
        </w:rPr>
        <w:lastRenderedPageBreak/>
        <w:t xml:space="preserve">including both individual and organizational </w:t>
      </w:r>
      <w:r w:rsidR="009C0DFA" w:rsidRPr="00F27663">
        <w:rPr>
          <w:color w:val="000000" w:themeColor="text1"/>
        </w:rPr>
        <w:t>evidence-based</w:t>
      </w:r>
      <w:r w:rsidRPr="00F27663">
        <w:rPr>
          <w:color w:val="000000" w:themeColor="text1"/>
        </w:rPr>
        <w:t xml:space="preserve"> </w:t>
      </w:r>
      <w:r w:rsidR="00B01607" w:rsidRPr="00F27663">
        <w:rPr>
          <w:color w:val="000000" w:themeColor="text1"/>
        </w:rPr>
        <w:t>decision-making</w:t>
      </w:r>
      <w:r w:rsidRPr="00F27663">
        <w:rPr>
          <w:color w:val="000000" w:themeColor="text1"/>
        </w:rPr>
        <w:t xml:space="preserve"> activities which result in choice to adopt or reject the research evidence (Dobbins et al., 2002).   A rejection decision may be revisited at a later date after additional evidence is published or if the data from the confirmation stage indicates adoption is justified (Dobbins et al., 2002).  Alternately the individual or organization may decide to adopt the innovation in part, entirety, or in a modified form; this transfer of evidence into policy and practice encompasses the implementation stage/ research utilization stage (Dobbins et al., 2002).   The last stage, confirmation, is illustrated by the evaluation of the consequences of the innovation adoption or rejection, which may either validate the previous decision or determine decision reconsideration with the application of the new information (Dobbins et al., 2002).</w:t>
      </w:r>
    </w:p>
    <w:p w14:paraId="0BFF8762" w14:textId="111ACB63" w:rsidR="00EF1454" w:rsidRDefault="00EF1454" w:rsidP="270DDC39">
      <w:pPr>
        <w:spacing w:after="240" w:line="480" w:lineRule="auto"/>
        <w:ind w:firstLine="720"/>
        <w:contextualSpacing/>
        <w:rPr>
          <w:color w:val="1F1C1D"/>
        </w:rPr>
      </w:pPr>
      <w:r w:rsidRPr="00F27663">
        <w:rPr>
          <w:b/>
          <w:bCs/>
          <w:color w:val="000000" w:themeColor="text1"/>
        </w:rPr>
        <w:t>Application to practice change</w:t>
      </w:r>
      <w:r w:rsidRPr="00F27663">
        <w:rPr>
          <w:color w:val="000000" w:themeColor="text1"/>
        </w:rPr>
        <w:t>.  Application of this framework was beneficial in identi</w:t>
      </w:r>
      <w:r w:rsidR="4E5A3D04" w:rsidRPr="00F27663">
        <w:rPr>
          <w:color w:val="000000" w:themeColor="text1"/>
        </w:rPr>
        <w:t>fying</w:t>
      </w:r>
      <w:r w:rsidR="00CB2972" w:rsidRPr="00F27663">
        <w:rPr>
          <w:color w:val="000000" w:themeColor="text1"/>
        </w:rPr>
        <w:t xml:space="preserve"> potential influences </w:t>
      </w:r>
      <w:r w:rsidR="43A3DDCF" w:rsidRPr="00F27663">
        <w:rPr>
          <w:color w:val="000000" w:themeColor="text1"/>
        </w:rPr>
        <w:t>to ensure</w:t>
      </w:r>
      <w:r w:rsidR="00CB2972" w:rsidRPr="00F27663">
        <w:rPr>
          <w:color w:val="000000" w:themeColor="text1"/>
        </w:rPr>
        <w:t xml:space="preserve"> successful innovation. </w:t>
      </w:r>
      <w:r w:rsidR="002B2DA7" w:rsidRPr="00F27663">
        <w:rPr>
          <w:color w:val="000000" w:themeColor="text1"/>
        </w:rPr>
        <w:t xml:space="preserve"> T</w:t>
      </w:r>
      <w:r w:rsidR="00CB2972" w:rsidRPr="00F27663">
        <w:rPr>
          <w:color w:val="000000" w:themeColor="text1"/>
        </w:rPr>
        <w:t xml:space="preserve">he most effective </w:t>
      </w:r>
      <w:r w:rsidR="00CB2972" w:rsidRPr="00933448">
        <w:rPr>
          <w:color w:val="000000" w:themeColor="text1"/>
        </w:rPr>
        <w:t xml:space="preserve">dissemination strategies </w:t>
      </w:r>
      <w:r w:rsidR="002B2DA7" w:rsidRPr="00933448">
        <w:rPr>
          <w:color w:val="000000" w:themeColor="text1"/>
        </w:rPr>
        <w:t xml:space="preserve">were described </w:t>
      </w:r>
      <w:r w:rsidR="00CB2972" w:rsidRPr="00933448">
        <w:rPr>
          <w:color w:val="000000" w:themeColor="text1"/>
        </w:rPr>
        <w:t>as academic detailing, audit and feedback, the use of opinion leaders, and one to one contact with the intended audience</w:t>
      </w:r>
      <w:r w:rsidR="002B2DA7" w:rsidRPr="00A37891">
        <w:rPr>
          <w:color w:val="000000" w:themeColor="text1"/>
        </w:rPr>
        <w:t xml:space="preserve"> (Dobbins et al., 200</w:t>
      </w:r>
      <w:r w:rsidR="002B2DA7" w:rsidRPr="004B2DA2">
        <w:rPr>
          <w:color w:val="000000" w:themeColor="text1"/>
        </w:rPr>
        <w:t>2)</w:t>
      </w:r>
      <w:r w:rsidR="00CB2972" w:rsidRPr="004B2DA2">
        <w:rPr>
          <w:color w:val="000000" w:themeColor="text1"/>
        </w:rPr>
        <w:t>.</w:t>
      </w:r>
      <w:r w:rsidR="002B2DA7" w:rsidRPr="008B569A">
        <w:rPr>
          <w:rFonts w:ascii="Times" w:eastAsia="Times" w:hAnsi="Times" w:cs="Times"/>
          <w:color w:val="000000" w:themeColor="text1"/>
        </w:rPr>
        <w:t xml:space="preserve">  </w:t>
      </w:r>
      <w:r w:rsidR="0044198C" w:rsidRPr="008B569A">
        <w:rPr>
          <w:color w:val="000000" w:themeColor="text1"/>
        </w:rPr>
        <w:t xml:space="preserve">Upon </w:t>
      </w:r>
      <w:r w:rsidR="00383370" w:rsidRPr="008B569A">
        <w:rPr>
          <w:color w:val="000000" w:themeColor="text1"/>
        </w:rPr>
        <w:t xml:space="preserve">completion of </w:t>
      </w:r>
      <w:r w:rsidR="0044198C" w:rsidRPr="008B569A">
        <w:rPr>
          <w:color w:val="000000" w:themeColor="text1"/>
        </w:rPr>
        <w:t xml:space="preserve">the educational </w:t>
      </w:r>
      <w:r w:rsidR="00581E1F" w:rsidRPr="008B569A">
        <w:rPr>
          <w:color w:val="000000" w:themeColor="text1"/>
        </w:rPr>
        <w:t>sessions,</w:t>
      </w:r>
      <w:r w:rsidR="0044198C" w:rsidRPr="008B569A">
        <w:rPr>
          <w:color w:val="000000" w:themeColor="text1"/>
        </w:rPr>
        <w:t xml:space="preserve"> the provider</w:t>
      </w:r>
      <w:r w:rsidR="00383370" w:rsidRPr="008B569A">
        <w:rPr>
          <w:color w:val="000000" w:themeColor="text1"/>
        </w:rPr>
        <w:t xml:space="preserve">s will recognize </w:t>
      </w:r>
      <w:r w:rsidR="002B2DA7" w:rsidRPr="008B569A">
        <w:rPr>
          <w:color w:val="000000" w:themeColor="text1"/>
        </w:rPr>
        <w:t>routine</w:t>
      </w:r>
      <w:r w:rsidR="0044198C" w:rsidRPr="008B569A">
        <w:rPr>
          <w:color w:val="000000" w:themeColor="text1"/>
        </w:rPr>
        <w:t xml:space="preserve"> screening and supplementation of </w:t>
      </w:r>
      <w:r w:rsidR="005F6CFC" w:rsidRPr="008B569A">
        <w:rPr>
          <w:color w:val="000000" w:themeColor="text1"/>
        </w:rPr>
        <w:t>v</w:t>
      </w:r>
      <w:r w:rsidR="0044198C" w:rsidRPr="008B569A">
        <w:rPr>
          <w:color w:val="000000" w:themeColor="text1"/>
        </w:rPr>
        <w:t xml:space="preserve">itamin D deficiencies in MS patients </w:t>
      </w:r>
      <w:r w:rsidR="00F73D5A" w:rsidRPr="008B569A">
        <w:rPr>
          <w:color w:val="000000" w:themeColor="text1"/>
        </w:rPr>
        <w:t xml:space="preserve">as </w:t>
      </w:r>
      <w:r w:rsidR="0044198C" w:rsidRPr="008B569A">
        <w:rPr>
          <w:color w:val="000000" w:themeColor="text1"/>
        </w:rPr>
        <w:t xml:space="preserve">a preventative measure worth their time. </w:t>
      </w:r>
      <w:r w:rsidR="00785A64" w:rsidRPr="008B569A">
        <w:rPr>
          <w:color w:val="000000" w:themeColor="text1"/>
        </w:rPr>
        <w:t xml:space="preserve">Given the </w:t>
      </w:r>
      <w:r w:rsidR="00CB2972" w:rsidRPr="008B569A">
        <w:rPr>
          <w:color w:val="000000" w:themeColor="text1"/>
        </w:rPr>
        <w:t>lack of protocol</w:t>
      </w:r>
      <w:r w:rsidR="00F73D5A" w:rsidRPr="008B569A">
        <w:rPr>
          <w:color w:val="000000" w:themeColor="text1"/>
        </w:rPr>
        <w:t xml:space="preserve">, </w:t>
      </w:r>
      <w:r w:rsidR="00CB2972" w:rsidRPr="008B569A">
        <w:rPr>
          <w:color w:val="000000" w:themeColor="text1"/>
        </w:rPr>
        <w:t>the relative advantage</w:t>
      </w:r>
      <w:r w:rsidR="002B2DA7" w:rsidRPr="008B569A">
        <w:rPr>
          <w:color w:val="000000" w:themeColor="text1"/>
        </w:rPr>
        <w:t xml:space="preserve"> of a protocol for routine screening and supplementation of </w:t>
      </w:r>
      <w:r w:rsidR="005F6CFC" w:rsidRPr="008B569A">
        <w:rPr>
          <w:color w:val="000000" w:themeColor="text1"/>
        </w:rPr>
        <w:t>v</w:t>
      </w:r>
      <w:r w:rsidR="002B2DA7" w:rsidRPr="008B569A">
        <w:rPr>
          <w:color w:val="000000" w:themeColor="text1"/>
        </w:rPr>
        <w:t xml:space="preserve">itamin D deficiency </w:t>
      </w:r>
      <w:r w:rsidR="00712BB7" w:rsidRPr="008B569A">
        <w:rPr>
          <w:color w:val="000000" w:themeColor="text1"/>
        </w:rPr>
        <w:t>w</w:t>
      </w:r>
      <w:r w:rsidR="003924D8" w:rsidRPr="008B569A">
        <w:rPr>
          <w:color w:val="000000" w:themeColor="text1"/>
        </w:rPr>
        <w:t>as</w:t>
      </w:r>
      <w:r w:rsidR="00712BB7" w:rsidRPr="008B569A">
        <w:rPr>
          <w:color w:val="000000" w:themeColor="text1"/>
        </w:rPr>
        <w:t xml:space="preserve"> evident</w:t>
      </w:r>
      <w:r w:rsidR="00CB2972" w:rsidRPr="008B569A">
        <w:rPr>
          <w:color w:val="000000" w:themeColor="text1"/>
        </w:rPr>
        <w:t>.</w:t>
      </w:r>
      <w:r w:rsidR="00712BB7" w:rsidRPr="008B569A">
        <w:rPr>
          <w:color w:val="000000" w:themeColor="text1"/>
        </w:rPr>
        <w:t xml:space="preserve"> </w:t>
      </w:r>
      <w:r w:rsidR="007C065E" w:rsidRPr="008B569A">
        <w:rPr>
          <w:color w:val="000000" w:themeColor="text1"/>
        </w:rPr>
        <w:t xml:space="preserve"> The providers’ value of best practices and need for a tool for unified approach in the diagnosis and management of vitamin D deficiencies was addressed by the protocol. </w:t>
      </w:r>
      <w:r w:rsidR="00712BB7" w:rsidRPr="008B569A">
        <w:rPr>
          <w:color w:val="000000" w:themeColor="text1"/>
        </w:rPr>
        <w:t xml:space="preserve"> </w:t>
      </w:r>
      <w:r w:rsidR="002B2DA7" w:rsidRPr="008B569A">
        <w:rPr>
          <w:color w:val="000000" w:themeColor="text1"/>
        </w:rPr>
        <w:t xml:space="preserve">Education </w:t>
      </w:r>
      <w:r w:rsidR="00101220" w:rsidRPr="00933448">
        <w:rPr>
          <w:color w:val="000000" w:themeColor="text1"/>
        </w:rPr>
        <w:t>was</w:t>
      </w:r>
      <w:r w:rsidR="002B2DA7" w:rsidRPr="00933448">
        <w:rPr>
          <w:color w:val="000000" w:themeColor="text1"/>
        </w:rPr>
        <w:t xml:space="preserve"> provided to the three MS clinic providers regarding current </w:t>
      </w:r>
      <w:r w:rsidR="003F705C" w:rsidRPr="00933448">
        <w:rPr>
          <w:color w:val="000000" w:themeColor="text1"/>
        </w:rPr>
        <w:t>evidence-based</w:t>
      </w:r>
      <w:r w:rsidR="002B2DA7" w:rsidRPr="00933448">
        <w:rPr>
          <w:color w:val="000000" w:themeColor="text1"/>
        </w:rPr>
        <w:t xml:space="preserve"> findings for </w:t>
      </w:r>
      <w:r w:rsidR="005F6CFC" w:rsidRPr="00933448">
        <w:rPr>
          <w:color w:val="000000" w:themeColor="text1"/>
        </w:rPr>
        <w:t>v</w:t>
      </w:r>
      <w:r w:rsidR="002B2DA7" w:rsidRPr="00933448">
        <w:rPr>
          <w:color w:val="000000" w:themeColor="text1"/>
        </w:rPr>
        <w:t xml:space="preserve">itamin </w:t>
      </w:r>
      <w:r w:rsidR="0088155D" w:rsidRPr="00933448">
        <w:rPr>
          <w:color w:val="000000" w:themeColor="text1"/>
        </w:rPr>
        <w:t>D</w:t>
      </w:r>
      <w:r w:rsidR="002B2DA7" w:rsidRPr="00933448">
        <w:rPr>
          <w:color w:val="000000" w:themeColor="text1"/>
        </w:rPr>
        <w:t xml:space="preserve"> deficiency screening and testing</w:t>
      </w:r>
      <w:r w:rsidR="00101220" w:rsidRPr="00933448">
        <w:rPr>
          <w:color w:val="000000" w:themeColor="text1"/>
        </w:rPr>
        <w:t xml:space="preserve">. </w:t>
      </w:r>
      <w:r w:rsidR="002B2DA7" w:rsidRPr="00933448">
        <w:rPr>
          <w:color w:val="000000" w:themeColor="text1"/>
        </w:rPr>
        <w:t xml:space="preserve">  </w:t>
      </w:r>
      <w:r w:rsidR="00101220" w:rsidRPr="00933448">
        <w:rPr>
          <w:color w:val="000000" w:themeColor="text1"/>
        </w:rPr>
        <w:t xml:space="preserve">A </w:t>
      </w:r>
      <w:r w:rsidR="002B2DA7" w:rsidRPr="00A37891">
        <w:rPr>
          <w:color w:val="000000" w:themeColor="text1"/>
        </w:rPr>
        <w:t xml:space="preserve">protocol </w:t>
      </w:r>
      <w:r w:rsidR="00101220" w:rsidRPr="00933448">
        <w:rPr>
          <w:color w:val="000000" w:themeColor="text1"/>
        </w:rPr>
        <w:t>was</w:t>
      </w:r>
      <w:r w:rsidR="002B2DA7" w:rsidRPr="00933448">
        <w:rPr>
          <w:color w:val="000000" w:themeColor="text1"/>
        </w:rPr>
        <w:t xml:space="preserve"> developed upon provider consensus of the </w:t>
      </w:r>
      <w:r w:rsidR="005F6CFC" w:rsidRPr="00933448">
        <w:rPr>
          <w:color w:val="000000" w:themeColor="text1"/>
        </w:rPr>
        <w:t>v</w:t>
      </w:r>
      <w:r w:rsidR="002B2DA7" w:rsidRPr="00933448">
        <w:rPr>
          <w:color w:val="000000" w:themeColor="text1"/>
        </w:rPr>
        <w:t xml:space="preserve">itamin D deficiency value definition and subsequent recommended supplementation dosing based upon the serum </w:t>
      </w:r>
      <w:r w:rsidR="005F6CFC" w:rsidRPr="00933448">
        <w:rPr>
          <w:color w:val="000000" w:themeColor="text1"/>
        </w:rPr>
        <w:t>v</w:t>
      </w:r>
      <w:r w:rsidR="002B2DA7" w:rsidRPr="00933448">
        <w:rPr>
          <w:color w:val="000000" w:themeColor="text1"/>
        </w:rPr>
        <w:t xml:space="preserve">itamin D levels. </w:t>
      </w:r>
      <w:r w:rsidR="002B2DA7" w:rsidRPr="00933448">
        <w:rPr>
          <w:color w:val="000000" w:themeColor="text1"/>
        </w:rPr>
        <w:lastRenderedPageBreak/>
        <w:t xml:space="preserve">The </w:t>
      </w:r>
      <w:r w:rsidR="00CB2972" w:rsidRPr="00933448">
        <w:rPr>
          <w:color w:val="000000" w:themeColor="text1"/>
        </w:rPr>
        <w:t>protocol developed</w:t>
      </w:r>
      <w:r w:rsidR="00B75C12" w:rsidRPr="00933448">
        <w:rPr>
          <w:color w:val="000000" w:themeColor="text1"/>
        </w:rPr>
        <w:t xml:space="preserve"> </w:t>
      </w:r>
      <w:r w:rsidR="003F705C" w:rsidRPr="00933448">
        <w:rPr>
          <w:color w:val="000000" w:themeColor="text1"/>
        </w:rPr>
        <w:t>was</w:t>
      </w:r>
      <w:r w:rsidR="00CB2972" w:rsidRPr="00933448">
        <w:rPr>
          <w:color w:val="000000" w:themeColor="text1"/>
        </w:rPr>
        <w:t xml:space="preserve"> direct and simple to avoid complexity. </w:t>
      </w:r>
      <w:r w:rsidR="0044198C" w:rsidRPr="00933448">
        <w:rPr>
          <w:color w:val="000000" w:themeColor="text1"/>
        </w:rPr>
        <w:t>The urge to set themselves apart from competing organizations within the area through driving innovation</w:t>
      </w:r>
      <w:r w:rsidR="0044198C" w:rsidRPr="00F27663">
        <w:rPr>
          <w:color w:val="000000" w:themeColor="text1"/>
        </w:rPr>
        <w:t xml:space="preserve"> and the ability to implement the innovation within the MS clinic </w:t>
      </w:r>
      <w:r w:rsidR="00B75C12" w:rsidRPr="00F27663">
        <w:rPr>
          <w:color w:val="000000" w:themeColor="text1"/>
        </w:rPr>
        <w:t xml:space="preserve">promoted a positive perception of </w:t>
      </w:r>
      <w:proofErr w:type="spellStart"/>
      <w:r w:rsidR="00B75C12" w:rsidRPr="00F27663">
        <w:rPr>
          <w:color w:val="000000" w:themeColor="text1"/>
        </w:rPr>
        <w:t>trialability</w:t>
      </w:r>
      <w:proofErr w:type="spellEnd"/>
      <w:r w:rsidR="00B75C12" w:rsidRPr="00F27663">
        <w:rPr>
          <w:color w:val="000000" w:themeColor="text1"/>
        </w:rPr>
        <w:t xml:space="preserve"> and encouraged innovation adoption.</w:t>
      </w:r>
      <w:r w:rsidR="00CD435C" w:rsidRPr="00F27663">
        <w:rPr>
          <w:color w:val="000000" w:themeColor="text1"/>
        </w:rPr>
        <w:t xml:space="preserve"> Laboratory testing for serum </w:t>
      </w:r>
      <w:r w:rsidR="005F6CFC" w:rsidRPr="00F27663">
        <w:rPr>
          <w:color w:val="000000" w:themeColor="text1"/>
        </w:rPr>
        <w:t>v</w:t>
      </w:r>
      <w:r w:rsidR="00CD435C" w:rsidRPr="00F27663">
        <w:rPr>
          <w:color w:val="000000" w:themeColor="text1"/>
        </w:rPr>
        <w:t xml:space="preserve">itamin </w:t>
      </w:r>
      <w:r w:rsidR="6858A76D" w:rsidRPr="00F27663">
        <w:rPr>
          <w:color w:val="000000" w:themeColor="text1"/>
        </w:rPr>
        <w:t>D</w:t>
      </w:r>
      <w:r w:rsidR="00CD435C" w:rsidRPr="00F27663">
        <w:rPr>
          <w:color w:val="000000" w:themeColor="text1"/>
        </w:rPr>
        <w:t xml:space="preserve"> levels was readily available within </w:t>
      </w:r>
      <w:r w:rsidR="00685431" w:rsidRPr="00F27663">
        <w:rPr>
          <w:color w:val="000000" w:themeColor="text1"/>
        </w:rPr>
        <w:t>the clinic’s</w:t>
      </w:r>
      <w:r w:rsidR="00293BC6" w:rsidRPr="00F27663">
        <w:rPr>
          <w:color w:val="000000" w:themeColor="text1"/>
        </w:rPr>
        <w:t xml:space="preserve"> </w:t>
      </w:r>
      <w:r w:rsidR="00CD435C" w:rsidRPr="00F27663">
        <w:rPr>
          <w:color w:val="000000" w:themeColor="text1"/>
        </w:rPr>
        <w:t xml:space="preserve">existing EHR, however </w:t>
      </w:r>
      <w:r w:rsidR="00685431" w:rsidRPr="00F27663">
        <w:rPr>
          <w:color w:val="000000" w:themeColor="text1"/>
        </w:rPr>
        <w:t>each provider was not consistently using it.  This was identified as a barrie</w:t>
      </w:r>
      <w:r w:rsidR="00293BC6" w:rsidRPr="00F27663">
        <w:rPr>
          <w:color w:val="000000" w:themeColor="text1"/>
        </w:rPr>
        <w:t xml:space="preserve">r to </w:t>
      </w:r>
      <w:r w:rsidR="00685431" w:rsidRPr="00F27663">
        <w:rPr>
          <w:color w:val="000000" w:themeColor="text1"/>
        </w:rPr>
        <w:t>address</w:t>
      </w:r>
      <w:r w:rsidR="00293BC6" w:rsidRPr="00F27663">
        <w:rPr>
          <w:color w:val="000000" w:themeColor="text1"/>
        </w:rPr>
        <w:t xml:space="preserve"> for </w:t>
      </w:r>
      <w:r w:rsidR="00685431" w:rsidRPr="00F27663">
        <w:rPr>
          <w:color w:val="000000" w:themeColor="text1"/>
        </w:rPr>
        <w:t>successful implementation</w:t>
      </w:r>
      <w:r w:rsidR="005F038D" w:rsidRPr="00F27663">
        <w:rPr>
          <w:color w:val="000000" w:themeColor="text1"/>
        </w:rPr>
        <w:t xml:space="preserve">.  </w:t>
      </w:r>
      <w:r w:rsidR="00CD435C" w:rsidRPr="00F27663">
        <w:rPr>
          <w:color w:val="000000" w:themeColor="text1"/>
        </w:rPr>
        <w:t xml:space="preserve">EHR chart alerts were employed to prompt providers for test ordering for patients who met the criteria for routine </w:t>
      </w:r>
      <w:r w:rsidR="005F6CFC" w:rsidRPr="00F27663">
        <w:rPr>
          <w:color w:val="000000" w:themeColor="text1"/>
        </w:rPr>
        <w:t>v</w:t>
      </w:r>
      <w:r w:rsidR="00CD435C" w:rsidRPr="00F27663">
        <w:rPr>
          <w:color w:val="000000" w:themeColor="text1"/>
        </w:rPr>
        <w:t xml:space="preserve">itamin D screening and supplementation. The provider then took the appropriate actions according to the protocol for test ordering, monitoring, or supplementation </w:t>
      </w:r>
      <w:r w:rsidR="00F73D5A" w:rsidRPr="00F27663">
        <w:rPr>
          <w:color w:val="000000" w:themeColor="text1"/>
        </w:rPr>
        <w:t xml:space="preserve">within </w:t>
      </w:r>
      <w:r w:rsidR="00CD435C" w:rsidRPr="00F27663">
        <w:rPr>
          <w:color w:val="000000" w:themeColor="text1"/>
        </w:rPr>
        <w:t xml:space="preserve">the EHR </w:t>
      </w:r>
      <w:r w:rsidR="00CD435C" w:rsidRPr="00F27663">
        <w:rPr>
          <w:color w:val="000000" w:themeColor="text1"/>
          <w:shd w:val="clear" w:color="auto" w:fill="FFFFFF"/>
        </w:rPr>
        <w:t xml:space="preserve">physician order-entry system.  </w:t>
      </w:r>
      <w:r w:rsidR="002B2DA7" w:rsidRPr="00F27663">
        <w:rPr>
          <w:color w:val="000000" w:themeColor="text1"/>
        </w:rPr>
        <w:t>The influence of the providers, especially the</w:t>
      </w:r>
      <w:r w:rsidR="00F73D5A" w:rsidRPr="00F27663">
        <w:rPr>
          <w:color w:val="000000" w:themeColor="text1"/>
        </w:rPr>
        <w:t xml:space="preserve"> lead</w:t>
      </w:r>
      <w:r w:rsidR="002B2DA7" w:rsidRPr="00F27663">
        <w:rPr>
          <w:color w:val="000000" w:themeColor="text1"/>
        </w:rPr>
        <w:t xml:space="preserve"> physician within the MS clinic and the director of strategic initiatives, were key in shaping the organizations behavior.  </w:t>
      </w:r>
      <w:r w:rsidR="0044198C" w:rsidRPr="00F27663">
        <w:rPr>
          <w:color w:val="000000" w:themeColor="text1"/>
        </w:rPr>
        <w:t>The resulting observability included changes in physician practice, compliance with recommendations for pract</w:t>
      </w:r>
      <w:r w:rsidR="00B75C12" w:rsidRPr="00F27663">
        <w:rPr>
          <w:color w:val="000000" w:themeColor="text1"/>
        </w:rPr>
        <w:t>ic</w:t>
      </w:r>
      <w:r w:rsidR="0044198C" w:rsidRPr="00F27663">
        <w:rPr>
          <w:color w:val="000000" w:themeColor="text1"/>
        </w:rPr>
        <w:t xml:space="preserve">e, and changes in prescribing practices as suggested by Dobbins et al. (2002). </w:t>
      </w:r>
      <w:r w:rsidR="00B75C12" w:rsidRPr="00F27663">
        <w:rPr>
          <w:color w:val="000000" w:themeColor="text1"/>
        </w:rPr>
        <w:t xml:space="preserve">Provider use of the </w:t>
      </w:r>
      <w:r w:rsidR="005F6CFC" w:rsidRPr="00F27663">
        <w:rPr>
          <w:color w:val="000000" w:themeColor="text1"/>
        </w:rPr>
        <w:t>v</w:t>
      </w:r>
      <w:r w:rsidR="00B75C12" w:rsidRPr="00F27663">
        <w:rPr>
          <w:color w:val="000000" w:themeColor="text1"/>
        </w:rPr>
        <w:t xml:space="preserve">itamin D screening knowledge as well as measuring the outcomes applicable to the increase in </w:t>
      </w:r>
      <w:r w:rsidR="005F6CFC" w:rsidRPr="00F27663">
        <w:rPr>
          <w:color w:val="000000" w:themeColor="text1"/>
        </w:rPr>
        <w:t>v</w:t>
      </w:r>
      <w:r w:rsidR="00B75C12" w:rsidRPr="00F27663">
        <w:rPr>
          <w:color w:val="000000" w:themeColor="text1"/>
        </w:rPr>
        <w:t xml:space="preserve">itamin D screening and supplementation, </w:t>
      </w:r>
      <w:r w:rsidR="00581E1F" w:rsidRPr="00F27663">
        <w:rPr>
          <w:color w:val="000000" w:themeColor="text1"/>
        </w:rPr>
        <w:t xml:space="preserve">corroborated </w:t>
      </w:r>
      <w:r w:rsidR="00B75C12" w:rsidRPr="00F27663">
        <w:rPr>
          <w:color w:val="000000" w:themeColor="text1"/>
        </w:rPr>
        <w:t>change was occurring</w:t>
      </w:r>
      <w:r w:rsidR="002B2DA7" w:rsidRPr="00F27663">
        <w:rPr>
          <w:color w:val="000000" w:themeColor="text1"/>
        </w:rPr>
        <w:t>.</w:t>
      </w:r>
    </w:p>
    <w:p w14:paraId="02629C8B" w14:textId="7AF56217" w:rsidR="000706A8" w:rsidRDefault="006C64BC" w:rsidP="00907667">
      <w:pPr>
        <w:spacing w:after="240" w:line="480" w:lineRule="auto"/>
        <w:contextualSpacing/>
        <w:rPr>
          <w:b/>
          <w:color w:val="1F1C1D"/>
        </w:rPr>
      </w:pPr>
      <w:r w:rsidRPr="006C64BC">
        <w:rPr>
          <w:b/>
          <w:color w:val="1F1C1D"/>
        </w:rPr>
        <w:t>Pender’s Health Promotion Model</w:t>
      </w:r>
      <w:r w:rsidR="000706A8">
        <w:rPr>
          <w:color w:val="000000"/>
          <w:shd w:val="clear" w:color="auto" w:fill="FFFFFF"/>
        </w:rPr>
        <w:tab/>
      </w:r>
    </w:p>
    <w:p w14:paraId="20928845" w14:textId="6678950E" w:rsidR="000706A8" w:rsidRPr="00907667" w:rsidRDefault="00907667" w:rsidP="00904F66">
      <w:pPr>
        <w:spacing w:after="240" w:line="480" w:lineRule="auto"/>
        <w:ind w:firstLine="720"/>
        <w:contextualSpacing/>
        <w:rPr>
          <w:b/>
          <w:color w:val="1F1C1D"/>
        </w:rPr>
      </w:pPr>
      <w:r>
        <w:rPr>
          <w:color w:val="000000"/>
          <w:shd w:val="clear" w:color="auto" w:fill="FFFFFF"/>
        </w:rPr>
        <w:t>Pend</w:t>
      </w:r>
      <w:r w:rsidRPr="00F27663">
        <w:rPr>
          <w:color w:val="000000" w:themeColor="text1"/>
          <w:shd w:val="clear" w:color="auto" w:fill="FFFFFF"/>
        </w:rPr>
        <w:t>er’s health promotion model is a widely used model for behavior change and health promotion planning.</w:t>
      </w:r>
      <w:r w:rsidR="00B6332E" w:rsidRPr="00F27663">
        <w:rPr>
          <w:color w:val="000000" w:themeColor="text1"/>
          <w:shd w:val="clear" w:color="auto" w:fill="FFFFFF"/>
        </w:rPr>
        <w:t xml:space="preserve">  </w:t>
      </w:r>
      <w:r w:rsidRPr="00F27663">
        <w:rPr>
          <w:color w:val="000000" w:themeColor="text1"/>
          <w:shd w:val="clear" w:color="auto" w:fill="FFFFFF"/>
        </w:rPr>
        <w:t xml:space="preserve">This model is based on social cognitive theory which </w:t>
      </w:r>
      <w:r w:rsidR="00AB07C3" w:rsidRPr="00F27663">
        <w:rPr>
          <w:color w:val="000000" w:themeColor="text1"/>
          <w:shd w:val="clear" w:color="auto" w:fill="FFFFFF"/>
        </w:rPr>
        <w:t xml:space="preserve">identifies </w:t>
      </w:r>
      <w:r w:rsidRPr="00F27663">
        <w:rPr>
          <w:color w:val="000000" w:themeColor="text1"/>
          <w:shd w:val="clear" w:color="auto" w:fill="FFFFFF"/>
        </w:rPr>
        <w:t>cognitive-perceptual factors (perceived benefits, barriers, and self-efficacy) influence</w:t>
      </w:r>
      <w:r w:rsidR="00AB07C3" w:rsidRPr="00F27663">
        <w:rPr>
          <w:color w:val="000000" w:themeColor="text1"/>
          <w:shd w:val="clear" w:color="auto" w:fill="FFFFFF"/>
        </w:rPr>
        <w:t xml:space="preserve"> on</w:t>
      </w:r>
      <w:r w:rsidRPr="00F27663">
        <w:rPr>
          <w:color w:val="000000" w:themeColor="text1"/>
          <w:shd w:val="clear" w:color="auto" w:fill="FFFFFF"/>
        </w:rPr>
        <w:t xml:space="preserve"> engagement in health-promoting behaviors</w:t>
      </w:r>
      <w:r w:rsidR="000706A8" w:rsidRPr="00F27663">
        <w:rPr>
          <w:color w:val="000000" w:themeColor="text1"/>
          <w:shd w:val="clear" w:color="auto" w:fill="FFFFFF"/>
        </w:rPr>
        <w:t xml:space="preserve"> (</w:t>
      </w:r>
      <w:proofErr w:type="spellStart"/>
      <w:r w:rsidR="000706A8" w:rsidRPr="00F27663">
        <w:rPr>
          <w:color w:val="000000" w:themeColor="text1"/>
        </w:rPr>
        <w:t>Khodaveisi</w:t>
      </w:r>
      <w:proofErr w:type="spellEnd"/>
      <w:r w:rsidR="000706A8" w:rsidRPr="00F27663">
        <w:rPr>
          <w:color w:val="000000" w:themeColor="text1"/>
        </w:rPr>
        <w:t xml:space="preserve">, </w:t>
      </w:r>
      <w:proofErr w:type="spellStart"/>
      <w:r w:rsidR="000706A8" w:rsidRPr="00F27663">
        <w:rPr>
          <w:color w:val="000000" w:themeColor="text1"/>
        </w:rPr>
        <w:t>Omidi</w:t>
      </w:r>
      <w:proofErr w:type="spellEnd"/>
      <w:r w:rsidR="000706A8" w:rsidRPr="00F27663">
        <w:rPr>
          <w:color w:val="000000" w:themeColor="text1"/>
        </w:rPr>
        <w:t xml:space="preserve">, </w:t>
      </w:r>
      <w:proofErr w:type="spellStart"/>
      <w:r w:rsidR="000706A8" w:rsidRPr="00F27663">
        <w:rPr>
          <w:color w:val="000000" w:themeColor="text1"/>
        </w:rPr>
        <w:t>Farokhi</w:t>
      </w:r>
      <w:proofErr w:type="spellEnd"/>
      <w:r w:rsidR="000706A8" w:rsidRPr="00F27663">
        <w:rPr>
          <w:color w:val="000000" w:themeColor="text1"/>
        </w:rPr>
        <w:t xml:space="preserve">, &amp; </w:t>
      </w:r>
      <w:proofErr w:type="spellStart"/>
      <w:r w:rsidR="000706A8" w:rsidRPr="00F27663">
        <w:rPr>
          <w:color w:val="000000" w:themeColor="text1"/>
        </w:rPr>
        <w:t>Soltanian</w:t>
      </w:r>
      <w:proofErr w:type="spellEnd"/>
      <w:r w:rsidR="000706A8" w:rsidRPr="00F27663">
        <w:rPr>
          <w:color w:val="000000" w:themeColor="text1"/>
        </w:rPr>
        <w:t>, 2017).</w:t>
      </w:r>
      <w:r w:rsidRPr="00F27663">
        <w:rPr>
          <w:color w:val="000000" w:themeColor="text1"/>
          <w:shd w:val="clear" w:color="auto" w:fill="FFFFFF"/>
        </w:rPr>
        <w:t xml:space="preserve"> </w:t>
      </w:r>
      <w:r w:rsidR="000706A8" w:rsidRPr="00F27663">
        <w:rPr>
          <w:color w:val="000000" w:themeColor="text1"/>
          <w:shd w:val="clear" w:color="auto" w:fill="FFFFFF"/>
        </w:rPr>
        <w:t xml:space="preserve"> Factors such as </w:t>
      </w:r>
      <w:r w:rsidRPr="00F27663">
        <w:rPr>
          <w:color w:val="000000" w:themeColor="text1"/>
          <w:shd w:val="clear" w:color="auto" w:fill="FFFFFF"/>
        </w:rPr>
        <w:t xml:space="preserve">demographic characteristics, interpersonal influences, and behavioral factors are </w:t>
      </w:r>
      <w:r w:rsidR="000706A8" w:rsidRPr="00F27663">
        <w:rPr>
          <w:color w:val="000000" w:themeColor="text1"/>
          <w:shd w:val="clear" w:color="auto" w:fill="FFFFFF"/>
        </w:rPr>
        <w:t>believed</w:t>
      </w:r>
      <w:r w:rsidRPr="00F27663">
        <w:rPr>
          <w:color w:val="000000" w:themeColor="text1"/>
          <w:shd w:val="clear" w:color="auto" w:fill="FFFFFF"/>
        </w:rPr>
        <w:t xml:space="preserve"> to interact with each other to influence cognitive perceptual processes</w:t>
      </w:r>
      <w:r w:rsidR="000706A8" w:rsidRPr="00F27663">
        <w:rPr>
          <w:color w:val="000000" w:themeColor="text1"/>
          <w:shd w:val="clear" w:color="auto" w:fill="FFFFFF"/>
        </w:rPr>
        <w:t xml:space="preserve"> (</w:t>
      </w:r>
      <w:proofErr w:type="spellStart"/>
      <w:r w:rsidR="000706A8" w:rsidRPr="00F27663">
        <w:rPr>
          <w:color w:val="000000" w:themeColor="text1"/>
        </w:rPr>
        <w:t>Khodaveisi</w:t>
      </w:r>
      <w:proofErr w:type="spellEnd"/>
      <w:r w:rsidR="000706A8" w:rsidRPr="00F27663">
        <w:rPr>
          <w:color w:val="000000" w:themeColor="text1"/>
        </w:rPr>
        <w:t xml:space="preserve"> et al., 2017)</w:t>
      </w:r>
      <w:r w:rsidRPr="00F27663">
        <w:rPr>
          <w:color w:val="000000" w:themeColor="text1"/>
          <w:shd w:val="clear" w:color="auto" w:fill="FFFFFF"/>
        </w:rPr>
        <w:t>.</w:t>
      </w:r>
      <w:r w:rsidR="001F4773" w:rsidRPr="00F27663">
        <w:rPr>
          <w:color w:val="000000" w:themeColor="text1"/>
          <w:sz w:val="20"/>
          <w:szCs w:val="20"/>
          <w:shd w:val="clear" w:color="auto" w:fill="FFFFFF"/>
          <w:vertAlign w:val="superscript"/>
        </w:rPr>
        <w:t xml:space="preserve">  </w:t>
      </w:r>
      <w:r w:rsidRPr="00F27663">
        <w:rPr>
          <w:color w:val="000000" w:themeColor="text1"/>
          <w:shd w:val="clear" w:color="auto" w:fill="FFFFFF"/>
        </w:rPr>
        <w:lastRenderedPageBreak/>
        <w:t>The</w:t>
      </w:r>
      <w:r w:rsidR="001F4773" w:rsidRPr="00F27663">
        <w:rPr>
          <w:color w:val="000000" w:themeColor="text1"/>
          <w:shd w:val="clear" w:color="auto" w:fill="FFFFFF"/>
        </w:rPr>
        <w:t xml:space="preserve"> </w:t>
      </w:r>
      <w:r w:rsidRPr="00F27663">
        <w:rPr>
          <w:color w:val="000000" w:themeColor="text1"/>
          <w:shd w:val="clear" w:color="auto" w:fill="FFFFFF"/>
        </w:rPr>
        <w:t xml:space="preserve">components </w:t>
      </w:r>
      <w:r w:rsidR="001F4773" w:rsidRPr="00F27663">
        <w:rPr>
          <w:color w:val="000000" w:themeColor="text1"/>
          <w:shd w:val="clear" w:color="auto" w:fill="FFFFFF"/>
        </w:rPr>
        <w:t xml:space="preserve">of Pender’s Health Promotion Model </w:t>
      </w:r>
      <w:r w:rsidRPr="00F27663">
        <w:rPr>
          <w:color w:val="000000" w:themeColor="text1"/>
          <w:shd w:val="clear" w:color="auto" w:fill="FFFFFF"/>
        </w:rPr>
        <w:t>provide a rich source of interventional content and strategies</w:t>
      </w:r>
      <w:r w:rsidR="00AB07C3" w:rsidRPr="00F27663">
        <w:rPr>
          <w:color w:val="000000" w:themeColor="text1"/>
          <w:shd w:val="clear" w:color="auto" w:fill="FFFFFF"/>
        </w:rPr>
        <w:t xml:space="preserve">.  </w:t>
      </w:r>
      <w:r w:rsidR="001F4773" w:rsidRPr="00F27663">
        <w:rPr>
          <w:color w:val="000000" w:themeColor="text1"/>
          <w:shd w:val="clear" w:color="auto" w:fill="FFFFFF"/>
        </w:rPr>
        <w:t>For optimal health promotion, one must understand the social determinants of health, the social context, individual situations and perspectives, and all the complexities that influence one's motivation and ability to engage in health promotion activities.</w:t>
      </w:r>
    </w:p>
    <w:p w14:paraId="2D3EC5EC" w14:textId="3306073B" w:rsidR="00907667" w:rsidRPr="00907667" w:rsidRDefault="00907667" w:rsidP="00904F66">
      <w:pPr>
        <w:spacing w:line="480" w:lineRule="auto"/>
        <w:ind w:firstLine="720"/>
      </w:pPr>
      <w:r w:rsidRPr="00F27663">
        <w:rPr>
          <w:b/>
          <w:bCs/>
          <w:color w:val="000000" w:themeColor="text1"/>
        </w:rPr>
        <w:t xml:space="preserve">Application to practice change.  </w:t>
      </w:r>
      <w:r w:rsidR="005C7580" w:rsidRPr="00F27663">
        <w:rPr>
          <w:color w:val="000000" w:themeColor="text1"/>
        </w:rPr>
        <w:t>Pender</w:t>
      </w:r>
      <w:r w:rsidR="00A63C37" w:rsidRPr="00F27663">
        <w:rPr>
          <w:color w:val="000000" w:themeColor="text1"/>
        </w:rPr>
        <w:t>’</w:t>
      </w:r>
      <w:r w:rsidR="005C7580" w:rsidRPr="00F27663">
        <w:rPr>
          <w:color w:val="000000" w:themeColor="text1"/>
        </w:rPr>
        <w:t>s health promotion model’s aims for action directed at attaining a positive health outc</w:t>
      </w:r>
      <w:r w:rsidR="00A63C37" w:rsidRPr="00F27663">
        <w:rPr>
          <w:color w:val="000000" w:themeColor="text1"/>
        </w:rPr>
        <w:t xml:space="preserve">ome such as optimal wellbeing. </w:t>
      </w:r>
      <w:r w:rsidR="003152CC" w:rsidRPr="00F27663">
        <w:rPr>
          <w:color w:val="000000" w:themeColor="text1"/>
        </w:rPr>
        <w:t>The model suggests a person</w:t>
      </w:r>
      <w:r w:rsidR="00A63C37" w:rsidRPr="00F27663">
        <w:rPr>
          <w:color w:val="000000" w:themeColor="text1"/>
        </w:rPr>
        <w:t xml:space="preserve"> commi</w:t>
      </w:r>
      <w:r w:rsidR="003152CC" w:rsidRPr="00F27663">
        <w:rPr>
          <w:color w:val="000000" w:themeColor="text1"/>
        </w:rPr>
        <w:t>ts</w:t>
      </w:r>
      <w:r w:rsidR="00A63C37" w:rsidRPr="00F27663">
        <w:rPr>
          <w:color w:val="000000" w:themeColor="text1"/>
        </w:rPr>
        <w:t xml:space="preserve"> to engaging in behaviors</w:t>
      </w:r>
      <w:r w:rsidR="003F705C" w:rsidRPr="00F27663">
        <w:rPr>
          <w:color w:val="000000" w:themeColor="text1"/>
        </w:rPr>
        <w:t xml:space="preserve"> </w:t>
      </w:r>
      <w:r w:rsidR="00A63C37" w:rsidRPr="00F27663">
        <w:rPr>
          <w:color w:val="000000" w:themeColor="text1"/>
        </w:rPr>
        <w:t>from which the</w:t>
      </w:r>
      <w:r w:rsidR="0000473B" w:rsidRPr="00F27663">
        <w:rPr>
          <w:color w:val="000000" w:themeColor="text1"/>
        </w:rPr>
        <w:t>y</w:t>
      </w:r>
      <w:r w:rsidR="00A63C37" w:rsidRPr="00F27663">
        <w:rPr>
          <w:color w:val="000000" w:themeColor="text1"/>
        </w:rPr>
        <w:t xml:space="preserve"> anticipate deriving personally valued benefits</w:t>
      </w:r>
      <w:r w:rsidR="003152CC" w:rsidRPr="00F27663">
        <w:rPr>
          <w:color w:val="000000" w:themeColor="text1"/>
        </w:rPr>
        <w:t xml:space="preserve"> (</w:t>
      </w:r>
      <w:proofErr w:type="spellStart"/>
      <w:r w:rsidR="003152CC" w:rsidRPr="00F27663">
        <w:rPr>
          <w:color w:val="000000" w:themeColor="text1"/>
        </w:rPr>
        <w:t>Petiprin</w:t>
      </w:r>
      <w:proofErr w:type="spellEnd"/>
      <w:r w:rsidR="003152CC" w:rsidRPr="00F27663">
        <w:rPr>
          <w:color w:val="000000" w:themeColor="text1"/>
        </w:rPr>
        <w:t xml:space="preserve">, 2016). </w:t>
      </w:r>
      <w:r w:rsidR="001015AA" w:rsidRPr="00F27663">
        <w:rPr>
          <w:color w:val="000000" w:themeColor="text1"/>
        </w:rPr>
        <w:t xml:space="preserve"> </w:t>
      </w:r>
      <w:r w:rsidR="0000473B" w:rsidRPr="00F27663">
        <w:rPr>
          <w:color w:val="000000" w:themeColor="text1"/>
        </w:rPr>
        <w:t>The concept of intention and identification of a planned strategy that leads to implementation of a health behavior</w:t>
      </w:r>
      <w:r w:rsidR="003152CC" w:rsidRPr="00F27663">
        <w:rPr>
          <w:color w:val="000000" w:themeColor="text1"/>
        </w:rPr>
        <w:t xml:space="preserve"> is consequential of the </w:t>
      </w:r>
      <w:r w:rsidR="003F705C" w:rsidRPr="00F27663">
        <w:rPr>
          <w:color w:val="000000" w:themeColor="text1"/>
        </w:rPr>
        <w:t xml:space="preserve">individual’s </w:t>
      </w:r>
      <w:r w:rsidR="003152CC" w:rsidRPr="00F27663">
        <w:rPr>
          <w:color w:val="000000" w:themeColor="text1"/>
        </w:rPr>
        <w:t>commitment to the plan of action (</w:t>
      </w:r>
      <w:proofErr w:type="spellStart"/>
      <w:r w:rsidR="003152CC" w:rsidRPr="00F27663">
        <w:rPr>
          <w:color w:val="000000" w:themeColor="text1"/>
        </w:rPr>
        <w:t>Petiprin</w:t>
      </w:r>
      <w:proofErr w:type="spellEnd"/>
      <w:r w:rsidR="003152CC" w:rsidRPr="00F27663">
        <w:rPr>
          <w:color w:val="000000" w:themeColor="text1"/>
        </w:rPr>
        <w:t>, 2016).</w:t>
      </w:r>
      <w:r w:rsidR="0000473B" w:rsidRPr="00F27663">
        <w:rPr>
          <w:color w:val="000000" w:themeColor="text1"/>
        </w:rPr>
        <w:t xml:space="preserve">  </w:t>
      </w:r>
      <w:r w:rsidR="00A63C37" w:rsidRPr="00F27663">
        <w:rPr>
          <w:color w:val="000000" w:themeColor="text1"/>
        </w:rPr>
        <w:t>The</w:t>
      </w:r>
      <w:r w:rsidR="003152CC" w:rsidRPr="00F27663">
        <w:rPr>
          <w:color w:val="000000" w:themeColor="text1"/>
        </w:rPr>
        <w:t xml:space="preserve"> model advocates</w:t>
      </w:r>
      <w:r w:rsidR="00A63C37" w:rsidRPr="00F27663">
        <w:rPr>
          <w:color w:val="000000" w:themeColor="text1"/>
        </w:rPr>
        <w:t xml:space="preserve"> greater the commitment to a specific plan of action, the more likely health-promoting behaviors are to be maintained</w:t>
      </w:r>
      <w:r w:rsidR="003152CC" w:rsidRPr="00F27663">
        <w:rPr>
          <w:color w:val="000000" w:themeColor="text1"/>
        </w:rPr>
        <w:t xml:space="preserve"> (</w:t>
      </w:r>
      <w:proofErr w:type="spellStart"/>
      <w:r w:rsidR="003152CC" w:rsidRPr="00F27663">
        <w:rPr>
          <w:color w:val="000000" w:themeColor="text1"/>
        </w:rPr>
        <w:t>Petiprin</w:t>
      </w:r>
      <w:proofErr w:type="spellEnd"/>
      <w:r w:rsidR="003152CC" w:rsidRPr="00F27663">
        <w:rPr>
          <w:color w:val="000000" w:themeColor="text1"/>
        </w:rPr>
        <w:t xml:space="preserve">, 2016).  </w:t>
      </w:r>
      <w:r w:rsidR="00A63C37" w:rsidRPr="00F27663">
        <w:rPr>
          <w:color w:val="000000" w:themeColor="text1"/>
        </w:rPr>
        <w:t xml:space="preserve">  This is an important concept as given the knowledge of potential adverse outcomes associated with </w:t>
      </w:r>
      <w:proofErr w:type="spellStart"/>
      <w:r w:rsidR="00A63C37" w:rsidRPr="00F27663">
        <w:rPr>
          <w:color w:val="000000" w:themeColor="text1"/>
          <w:shd w:val="clear" w:color="auto" w:fill="FFFFFF"/>
        </w:rPr>
        <w:t>hypovitaminosis</w:t>
      </w:r>
      <w:proofErr w:type="spellEnd"/>
      <w:r w:rsidR="00A63C37" w:rsidRPr="00F27663">
        <w:rPr>
          <w:color w:val="000000" w:themeColor="text1"/>
          <w:shd w:val="clear" w:color="auto" w:fill="FFFFFF"/>
        </w:rPr>
        <w:t xml:space="preserve"> D patients are more likely to maintain behaviors to promote adequate</w:t>
      </w:r>
      <w:r w:rsidR="2037013C" w:rsidRPr="00F27663">
        <w:rPr>
          <w:color w:val="000000" w:themeColor="text1"/>
          <w:shd w:val="clear" w:color="auto" w:fill="FFFFFF"/>
        </w:rPr>
        <w:t xml:space="preserve"> </w:t>
      </w:r>
      <w:r w:rsidR="005F6CFC" w:rsidRPr="00F27663">
        <w:rPr>
          <w:color w:val="000000" w:themeColor="text1"/>
          <w:shd w:val="clear" w:color="auto" w:fill="FFFFFF"/>
        </w:rPr>
        <w:t>v</w:t>
      </w:r>
      <w:r w:rsidR="00A63C37" w:rsidRPr="00F27663">
        <w:rPr>
          <w:color w:val="000000" w:themeColor="text1"/>
          <w:shd w:val="clear" w:color="auto" w:fill="FFFFFF"/>
        </w:rPr>
        <w:t xml:space="preserve">itamin D status.  </w:t>
      </w:r>
      <w:r w:rsidR="001F4773" w:rsidRPr="00F27663">
        <w:rPr>
          <w:color w:val="000000" w:themeColor="text1"/>
          <w:shd w:val="clear" w:color="auto" w:fill="FFFFFF"/>
        </w:rPr>
        <w:t>Health-promoting behaviors</w:t>
      </w:r>
      <w:r w:rsidR="00904F66" w:rsidRPr="00F27663">
        <w:rPr>
          <w:color w:val="000000" w:themeColor="text1"/>
          <w:shd w:val="clear" w:color="auto" w:fill="FFFFFF"/>
        </w:rPr>
        <w:t xml:space="preserve"> involve</w:t>
      </w:r>
      <w:r w:rsidR="001F4773" w:rsidRPr="00F27663">
        <w:rPr>
          <w:color w:val="000000" w:themeColor="text1"/>
          <w:shd w:val="clear" w:color="auto" w:fill="FFFFFF"/>
        </w:rPr>
        <w:t xml:space="preserve"> activities that enable people to monitor their health</w:t>
      </w:r>
      <w:r w:rsidR="00904F66" w:rsidRPr="00F27663">
        <w:rPr>
          <w:color w:val="000000" w:themeColor="text1"/>
          <w:shd w:val="clear" w:color="auto" w:fill="FFFFFF"/>
        </w:rPr>
        <w:t xml:space="preserve"> and</w:t>
      </w:r>
      <w:r w:rsidR="001F4773" w:rsidRPr="00F27663">
        <w:rPr>
          <w:color w:val="000000" w:themeColor="text1"/>
          <w:shd w:val="clear" w:color="auto" w:fill="FFFFFF"/>
        </w:rPr>
        <w:t xml:space="preserve"> </w:t>
      </w:r>
      <w:r w:rsidR="00904F66" w:rsidRPr="00F27663">
        <w:rPr>
          <w:color w:val="000000" w:themeColor="text1"/>
          <w:shd w:val="clear" w:color="auto" w:fill="FFFFFF"/>
        </w:rPr>
        <w:t xml:space="preserve">which are </w:t>
      </w:r>
      <w:r w:rsidR="001F4773" w:rsidRPr="00F27663">
        <w:rPr>
          <w:color w:val="000000" w:themeColor="text1"/>
          <w:shd w:val="clear" w:color="auto" w:fill="FFFFFF"/>
        </w:rPr>
        <w:t>useful to improve individual and community health</w:t>
      </w:r>
      <w:r w:rsidR="00904F66" w:rsidRPr="00F27663">
        <w:rPr>
          <w:color w:val="000000" w:themeColor="text1"/>
          <w:shd w:val="clear" w:color="auto" w:fill="FFFFFF"/>
        </w:rPr>
        <w:t xml:space="preserve"> (</w:t>
      </w:r>
      <w:proofErr w:type="spellStart"/>
      <w:r w:rsidR="00904F66" w:rsidRPr="00F27663">
        <w:rPr>
          <w:color w:val="000000" w:themeColor="text1"/>
        </w:rPr>
        <w:t>Khodaveisi</w:t>
      </w:r>
      <w:proofErr w:type="spellEnd"/>
      <w:r w:rsidR="00904F66" w:rsidRPr="00F27663">
        <w:rPr>
          <w:color w:val="000000" w:themeColor="text1"/>
        </w:rPr>
        <w:t xml:space="preserve"> et al., 2017)</w:t>
      </w:r>
      <w:r w:rsidR="00904F66" w:rsidRPr="00F27663">
        <w:rPr>
          <w:color w:val="000000" w:themeColor="text1"/>
          <w:shd w:val="clear" w:color="auto" w:fill="FFFFFF"/>
        </w:rPr>
        <w:t>.</w:t>
      </w:r>
      <w:r w:rsidR="00904F66" w:rsidRPr="00F27663">
        <w:rPr>
          <w:color w:val="000000" w:themeColor="text1"/>
          <w:sz w:val="20"/>
          <w:szCs w:val="20"/>
          <w:shd w:val="clear" w:color="auto" w:fill="FFFFFF"/>
          <w:vertAlign w:val="superscript"/>
        </w:rPr>
        <w:t xml:space="preserve">  </w:t>
      </w:r>
      <w:r w:rsidR="001F4773" w:rsidRPr="00F27663">
        <w:rPr>
          <w:color w:val="000000" w:themeColor="text1"/>
          <w:shd w:val="clear" w:color="auto" w:fill="FFFFFF"/>
        </w:rPr>
        <w:t>Education and interventional methods can be effective as long as behavior is emphasized (</w:t>
      </w:r>
      <w:proofErr w:type="spellStart"/>
      <w:r w:rsidR="001F4773" w:rsidRPr="00F27663">
        <w:rPr>
          <w:color w:val="000000" w:themeColor="text1"/>
        </w:rPr>
        <w:t>Khodaveisi</w:t>
      </w:r>
      <w:proofErr w:type="spellEnd"/>
      <w:r w:rsidR="001F4773" w:rsidRPr="00F27663">
        <w:rPr>
          <w:color w:val="000000" w:themeColor="text1"/>
        </w:rPr>
        <w:t xml:space="preserve"> et al., 2017)</w:t>
      </w:r>
      <w:r w:rsidR="001F4773" w:rsidRPr="00F27663">
        <w:rPr>
          <w:color w:val="000000" w:themeColor="text1"/>
          <w:shd w:val="clear" w:color="auto" w:fill="FFFFFF"/>
        </w:rPr>
        <w:t xml:space="preserve">.  </w:t>
      </w:r>
      <w:r w:rsidR="001015AA" w:rsidRPr="00F27663">
        <w:rPr>
          <w:color w:val="000000" w:themeColor="text1"/>
          <w:shd w:val="clear" w:color="auto" w:fill="FFFFFF"/>
        </w:rPr>
        <w:t>Pender</w:t>
      </w:r>
      <w:r w:rsidR="0000473B" w:rsidRPr="00F27663">
        <w:rPr>
          <w:color w:val="000000" w:themeColor="text1"/>
          <w:shd w:val="clear" w:color="auto" w:fill="FFFFFF"/>
        </w:rPr>
        <w:t>’</w:t>
      </w:r>
      <w:r w:rsidR="001015AA" w:rsidRPr="00F27663">
        <w:rPr>
          <w:color w:val="000000" w:themeColor="text1"/>
          <w:shd w:val="clear" w:color="auto" w:fill="FFFFFF"/>
        </w:rPr>
        <w:t>s model identifies health care providers as a</w:t>
      </w:r>
      <w:r w:rsidR="00F72F89" w:rsidRPr="00F27663">
        <w:rPr>
          <w:color w:val="000000" w:themeColor="text1"/>
          <w:shd w:val="clear" w:color="auto" w:fill="FFFFFF"/>
        </w:rPr>
        <w:t xml:space="preserve"> crucial primary</w:t>
      </w:r>
      <w:r w:rsidR="001015AA" w:rsidRPr="00F27663">
        <w:rPr>
          <w:color w:val="000000" w:themeColor="text1"/>
          <w:shd w:val="clear" w:color="auto" w:fill="FFFFFF"/>
        </w:rPr>
        <w:t xml:space="preserve"> source that can increase or decrease commitment to and engaging in health promoting behavior</w:t>
      </w:r>
      <w:r w:rsidR="003152CC" w:rsidRPr="00F27663">
        <w:rPr>
          <w:color w:val="000000" w:themeColor="text1"/>
          <w:shd w:val="clear" w:color="auto" w:fill="FFFFFF"/>
        </w:rPr>
        <w:t>, thus highlighting the healthcare providers vital role in providing patient education for optimal patient wellbeing.</w:t>
      </w:r>
      <w:r w:rsidR="00543CBE" w:rsidRPr="00F27663">
        <w:rPr>
          <w:color w:val="000000" w:themeColor="text1"/>
          <w:shd w:val="clear" w:color="auto" w:fill="FFFFFF"/>
        </w:rPr>
        <w:t xml:space="preserve"> </w:t>
      </w:r>
      <w:r w:rsidR="003003BA" w:rsidRPr="00F27663">
        <w:rPr>
          <w:color w:val="000000" w:themeColor="text1"/>
          <w:shd w:val="clear" w:color="auto" w:fill="FFFFFF"/>
        </w:rPr>
        <w:t xml:space="preserve"> Given the influential role of health care providers on patient health promotion</w:t>
      </w:r>
      <w:r w:rsidR="00E84060" w:rsidRPr="00F27663">
        <w:rPr>
          <w:color w:val="000000" w:themeColor="text1"/>
          <w:shd w:val="clear" w:color="auto" w:fill="FFFFFF"/>
        </w:rPr>
        <w:t xml:space="preserve">, </w:t>
      </w:r>
      <w:r w:rsidR="003003BA" w:rsidRPr="00F27663">
        <w:rPr>
          <w:color w:val="000000" w:themeColor="text1"/>
          <w:shd w:val="clear" w:color="auto" w:fill="FFFFFF"/>
        </w:rPr>
        <w:t>empower</w:t>
      </w:r>
      <w:r w:rsidR="00E84060" w:rsidRPr="00F27663">
        <w:rPr>
          <w:color w:val="000000" w:themeColor="text1"/>
          <w:shd w:val="clear" w:color="auto" w:fill="FFFFFF"/>
        </w:rPr>
        <w:t xml:space="preserve">ment through education on best practices is vital for effective promotion. </w:t>
      </w:r>
      <w:r w:rsidR="003003BA" w:rsidRPr="00F27663">
        <w:rPr>
          <w:color w:val="000000" w:themeColor="text1"/>
          <w:shd w:val="clear" w:color="auto" w:fill="FFFFFF"/>
        </w:rPr>
        <w:t xml:space="preserve"> </w:t>
      </w:r>
      <w:r w:rsidR="00543CBE" w:rsidRPr="00F27663">
        <w:rPr>
          <w:color w:val="000000" w:themeColor="text1"/>
          <w:shd w:val="clear" w:color="auto" w:fill="FFFFFF"/>
        </w:rPr>
        <w:t>The valuable information gained from tr</w:t>
      </w:r>
      <w:r w:rsidR="003152CC" w:rsidRPr="00F27663">
        <w:rPr>
          <w:color w:val="000000" w:themeColor="text1"/>
          <w:shd w:val="clear" w:color="auto" w:fill="FFFFFF"/>
        </w:rPr>
        <w:t xml:space="preserve">aining sessions </w:t>
      </w:r>
      <w:r w:rsidR="00543CBE" w:rsidRPr="00F27663">
        <w:rPr>
          <w:color w:val="000000" w:themeColor="text1"/>
          <w:shd w:val="clear" w:color="auto" w:fill="FFFFFF"/>
        </w:rPr>
        <w:t xml:space="preserve">enhances their knowledge and attitudes, </w:t>
      </w:r>
      <w:r w:rsidR="00543CBE" w:rsidRPr="00F27663">
        <w:rPr>
          <w:color w:val="000000" w:themeColor="text1"/>
          <w:shd w:val="clear" w:color="auto" w:fill="FFFFFF"/>
        </w:rPr>
        <w:lastRenderedPageBreak/>
        <w:t xml:space="preserve">clinical behavior, and ultimately patient outcomes.  Through their increased awareness they are best able to serve as resources and facilitators of health promotion through patient education. </w:t>
      </w:r>
      <w:r w:rsidRPr="00F27663">
        <w:rPr>
          <w:color w:val="000000" w:themeColor="text1"/>
          <w:shd w:val="clear" w:color="auto" w:fill="FFFFFF"/>
        </w:rPr>
        <w:t> </w:t>
      </w:r>
    </w:p>
    <w:p w14:paraId="7CC85E1D" w14:textId="77B1499C" w:rsidR="00EF1454" w:rsidRPr="00EF1454" w:rsidRDefault="56160271" w:rsidP="56160271">
      <w:pPr>
        <w:overflowPunct w:val="0"/>
        <w:autoSpaceDE w:val="0"/>
        <w:autoSpaceDN w:val="0"/>
        <w:adjustRightInd w:val="0"/>
        <w:spacing w:line="480" w:lineRule="auto"/>
        <w:contextualSpacing/>
        <w:rPr>
          <w:rFonts w:asciiTheme="minorHAnsi" w:eastAsiaTheme="minorEastAsia" w:hAnsiTheme="minorHAnsi" w:cstheme="minorBidi"/>
        </w:rPr>
      </w:pPr>
      <w:r w:rsidRPr="56160271">
        <w:rPr>
          <w:b/>
          <w:bCs/>
        </w:rPr>
        <w:t>E</w:t>
      </w:r>
      <w:r w:rsidR="006946BF">
        <w:rPr>
          <w:b/>
          <w:bCs/>
        </w:rPr>
        <w:t>vidence-Based Practice</w:t>
      </w:r>
      <w:r w:rsidRPr="56160271">
        <w:rPr>
          <w:b/>
          <w:bCs/>
        </w:rPr>
        <w:t xml:space="preserve"> Change Theory </w:t>
      </w:r>
    </w:p>
    <w:p w14:paraId="2579E7DD" w14:textId="0D79844B" w:rsidR="00EF1454" w:rsidRPr="00F27663" w:rsidRDefault="00EF1454" w:rsidP="693C9F63">
      <w:pPr>
        <w:overflowPunct w:val="0"/>
        <w:autoSpaceDE w:val="0"/>
        <w:autoSpaceDN w:val="0"/>
        <w:adjustRightInd w:val="0"/>
        <w:spacing w:after="160" w:line="480" w:lineRule="auto"/>
        <w:ind w:firstLine="720"/>
        <w:contextualSpacing/>
        <w:rPr>
          <w:rFonts w:ascii="Arial" w:eastAsia="Arial" w:hAnsi="Arial" w:cs="Arial"/>
          <w:color w:val="000000" w:themeColor="text1"/>
          <w:sz w:val="21"/>
          <w:szCs w:val="21"/>
        </w:rPr>
      </w:pPr>
      <w:r w:rsidRPr="00F27663">
        <w:rPr>
          <w:color w:val="000000" w:themeColor="text1"/>
        </w:rPr>
        <w:t xml:space="preserve">The drive for evidence-based practice, EBP, began after an unacceptable gap between knowledge </w:t>
      </w:r>
      <w:r w:rsidRPr="00933448">
        <w:rPr>
          <w:color w:val="000000" w:themeColor="text1"/>
        </w:rPr>
        <w:t>and practices in patient care was identified (Stevens, 2013).   Demand for assimilation of evidenced</w:t>
      </w:r>
      <w:r w:rsidR="4E5A3D04" w:rsidRPr="00A37891">
        <w:rPr>
          <w:color w:val="000000" w:themeColor="text1"/>
        </w:rPr>
        <w:t>-</w:t>
      </w:r>
      <w:r w:rsidRPr="004B2DA2">
        <w:rPr>
          <w:color w:val="000000" w:themeColor="text1"/>
        </w:rPr>
        <w:t>based practice in practitioner's work has grown with the national Healthy Peoples 2020 initiative who calls for improved practices driven by the best available eviden</w:t>
      </w:r>
      <w:r w:rsidRPr="008B569A">
        <w:rPr>
          <w:color w:val="000000" w:themeColor="text1"/>
        </w:rPr>
        <w:t xml:space="preserve">ce and knowledge </w:t>
      </w:r>
      <w:r w:rsidRPr="00933448">
        <w:rPr>
          <w:color w:val="000000" w:themeColor="text1"/>
        </w:rPr>
        <w:t>(Jacobs</w:t>
      </w:r>
      <w:r w:rsidR="00BE530C" w:rsidRPr="00933448">
        <w:rPr>
          <w:color w:val="000000" w:themeColor="text1"/>
        </w:rPr>
        <w:t xml:space="preserve">, </w:t>
      </w:r>
      <w:r w:rsidRPr="00933448">
        <w:rPr>
          <w:color w:val="000000" w:themeColor="text1"/>
        </w:rPr>
        <w:t xml:space="preserve">Jones, </w:t>
      </w:r>
      <w:proofErr w:type="spellStart"/>
      <w:r w:rsidRPr="00933448">
        <w:rPr>
          <w:color w:val="000000" w:themeColor="text1"/>
        </w:rPr>
        <w:t>Gabella</w:t>
      </w:r>
      <w:proofErr w:type="spellEnd"/>
      <w:r w:rsidRPr="00933448">
        <w:rPr>
          <w:color w:val="000000" w:themeColor="text1"/>
        </w:rPr>
        <w:t xml:space="preserve">, </w:t>
      </w:r>
      <w:proofErr w:type="gramStart"/>
      <w:r w:rsidRPr="00933448">
        <w:rPr>
          <w:color w:val="000000" w:themeColor="text1"/>
        </w:rPr>
        <w:t>Spring</w:t>
      </w:r>
      <w:proofErr w:type="gramEnd"/>
      <w:r w:rsidRPr="00933448">
        <w:rPr>
          <w:color w:val="000000" w:themeColor="text1"/>
        </w:rPr>
        <w:t xml:space="preserve">, </w:t>
      </w:r>
      <w:proofErr w:type="spellStart"/>
      <w:r w:rsidRPr="00933448">
        <w:rPr>
          <w:color w:val="000000" w:themeColor="text1"/>
        </w:rPr>
        <w:t>Brownson</w:t>
      </w:r>
      <w:proofErr w:type="spellEnd"/>
      <w:r w:rsidRPr="00933448">
        <w:rPr>
          <w:color w:val="000000" w:themeColor="text1"/>
        </w:rPr>
        <w:t>,</w:t>
      </w:r>
      <w:r w:rsidR="00BE530C" w:rsidRPr="00933448">
        <w:rPr>
          <w:color w:val="000000" w:themeColor="text1"/>
        </w:rPr>
        <w:t xml:space="preserve"> </w:t>
      </w:r>
      <w:r w:rsidRPr="00933448">
        <w:rPr>
          <w:color w:val="000000" w:themeColor="text1"/>
        </w:rPr>
        <w:t>2012).   Evidence</w:t>
      </w:r>
      <w:r w:rsidR="4E5A3D04" w:rsidRPr="00933448">
        <w:rPr>
          <w:color w:val="000000" w:themeColor="text1"/>
        </w:rPr>
        <w:t>-</w:t>
      </w:r>
      <w:r w:rsidRPr="00933448">
        <w:rPr>
          <w:color w:val="000000" w:themeColor="text1"/>
        </w:rPr>
        <w:t>based</w:t>
      </w:r>
      <w:r w:rsidRPr="00F27663">
        <w:rPr>
          <w:color w:val="000000" w:themeColor="text1"/>
        </w:rPr>
        <w:t xml:space="preserve"> practice </w:t>
      </w:r>
      <w:r w:rsidR="2037013C" w:rsidRPr="00F27663">
        <w:rPr>
          <w:color w:val="000000" w:themeColor="text1"/>
        </w:rPr>
        <w:t>helps to serve as a guide for the process of translating research into clinical practice by moving existing knowledge into the daily routines of practice.</w:t>
      </w:r>
      <w:r w:rsidRPr="00F27663">
        <w:rPr>
          <w:color w:val="000000" w:themeColor="text1"/>
        </w:rPr>
        <w:t xml:space="preserve">  E</w:t>
      </w:r>
      <w:r w:rsidR="4E5A3D04" w:rsidRPr="00F27663">
        <w:rPr>
          <w:color w:val="000000" w:themeColor="text1"/>
        </w:rPr>
        <w:t>BP is</w:t>
      </w:r>
      <w:r w:rsidRPr="00F27663">
        <w:rPr>
          <w:color w:val="000000" w:themeColor="text1"/>
        </w:rPr>
        <w:t xml:space="preserve"> a </w:t>
      </w:r>
      <w:r w:rsidR="4E5A3D04" w:rsidRPr="00F27663">
        <w:rPr>
          <w:color w:val="000000" w:themeColor="text1"/>
        </w:rPr>
        <w:t>method</w:t>
      </w:r>
      <w:r w:rsidRPr="00F27663">
        <w:rPr>
          <w:color w:val="000000" w:themeColor="text1"/>
        </w:rPr>
        <w:t xml:space="preserve"> to standardized healthcare practices according to science and best evidence to reduce illogical variation in care, which is known to produce unpredictable health outcomes (Stevens, 2013).  According to </w:t>
      </w:r>
      <w:proofErr w:type="spellStart"/>
      <w:r w:rsidRPr="00F27663">
        <w:rPr>
          <w:color w:val="000000" w:themeColor="text1"/>
        </w:rPr>
        <w:t>Wyant</w:t>
      </w:r>
      <w:proofErr w:type="spellEnd"/>
      <w:r w:rsidRPr="00F27663">
        <w:rPr>
          <w:color w:val="000000" w:themeColor="text1"/>
        </w:rPr>
        <w:t xml:space="preserve"> (2017), </w:t>
      </w:r>
      <w:r w:rsidR="2037013C" w:rsidRPr="00F27663">
        <w:rPr>
          <w:color w:val="000000" w:themeColor="text1"/>
        </w:rPr>
        <w:t xml:space="preserve">EBP is produced through integrating available research, clinical expertise, and patient preferences to individualize care and promote effective care decision-making.  </w:t>
      </w:r>
      <w:r w:rsidRPr="00F27663">
        <w:rPr>
          <w:color w:val="000000" w:themeColor="text1"/>
        </w:rPr>
        <w:t>The three pillars of evidence-based practice include research evidence, clinical expertise, and individualization of care through inclusion of patient preferences (Stevens, 2013).    Clinical decisions are reached through the combination of each of these three components for optimal clinical outcomes and quality of life (</w:t>
      </w:r>
      <w:r w:rsidR="2037013C" w:rsidRPr="00F27663">
        <w:rPr>
          <w:color w:val="000000" w:themeColor="text1"/>
        </w:rPr>
        <w:t xml:space="preserve">Duke University Medical Center Library &amp; UNC Health Sciences Library, 2018). </w:t>
      </w:r>
    </w:p>
    <w:p w14:paraId="332DEE52" w14:textId="40B8AF8A" w:rsidR="00EF1454" w:rsidRPr="00EF1454" w:rsidRDefault="2037013C" w:rsidP="693C9F63">
      <w:pPr>
        <w:overflowPunct w:val="0"/>
        <w:autoSpaceDE w:val="0"/>
        <w:autoSpaceDN w:val="0"/>
        <w:adjustRightInd w:val="0"/>
        <w:spacing w:after="160" w:line="480" w:lineRule="auto"/>
        <w:ind w:firstLine="720"/>
        <w:contextualSpacing/>
        <w:rPr>
          <w:rFonts w:ascii="Arial" w:eastAsia="Arial" w:hAnsi="Arial" w:cs="Arial"/>
          <w:color w:val="000099"/>
          <w:sz w:val="21"/>
          <w:szCs w:val="21"/>
        </w:rPr>
      </w:pPr>
      <w:r w:rsidRPr="00F27663">
        <w:rPr>
          <w:color w:val="000000" w:themeColor="text1"/>
        </w:rPr>
        <w:t xml:space="preserve">There are various models which provide an organized approach to evidenced based practice </w:t>
      </w:r>
      <w:r w:rsidR="4E5A3D04" w:rsidRPr="00F27663">
        <w:rPr>
          <w:color w:val="000000" w:themeColor="text1"/>
        </w:rPr>
        <w:t xml:space="preserve">that </w:t>
      </w:r>
      <w:r w:rsidRPr="00F27663">
        <w:rPr>
          <w:color w:val="000000" w:themeColor="text1"/>
        </w:rPr>
        <w:t>can prevent incomplete implementation and maximize use of nursing time and resources (</w:t>
      </w:r>
      <w:proofErr w:type="spellStart"/>
      <w:r w:rsidRPr="00F27663">
        <w:rPr>
          <w:color w:val="000000" w:themeColor="text1"/>
        </w:rPr>
        <w:t>Gawlinski</w:t>
      </w:r>
      <w:proofErr w:type="spellEnd"/>
      <w:r w:rsidRPr="00F27663">
        <w:rPr>
          <w:color w:val="000000" w:themeColor="text1"/>
        </w:rPr>
        <w:t xml:space="preserve"> &amp; Rutledge, 2008). </w:t>
      </w:r>
      <w:r w:rsidR="1FEDDE40" w:rsidRPr="00F27663">
        <w:rPr>
          <w:color w:val="000000" w:themeColor="text1"/>
        </w:rPr>
        <w:t xml:space="preserve">  There </w:t>
      </w:r>
      <w:r w:rsidR="4E5A3D04" w:rsidRPr="00F27663">
        <w:rPr>
          <w:color w:val="000000" w:themeColor="text1"/>
        </w:rPr>
        <w:t xml:space="preserve">are several models which meet the needs of various nursing environments, although there </w:t>
      </w:r>
      <w:r w:rsidR="1FEDDE40" w:rsidRPr="00F27663">
        <w:rPr>
          <w:color w:val="000000" w:themeColor="text1"/>
        </w:rPr>
        <w:t>is no model for universal use</w:t>
      </w:r>
      <w:r w:rsidR="4E5A3D04" w:rsidRPr="00F27663">
        <w:rPr>
          <w:color w:val="000000" w:themeColor="text1"/>
        </w:rPr>
        <w:t xml:space="preserve"> </w:t>
      </w:r>
      <w:r w:rsidR="1FEDDE40" w:rsidRPr="00F27663">
        <w:rPr>
          <w:color w:val="000000" w:themeColor="text1"/>
        </w:rPr>
        <w:t>(</w:t>
      </w:r>
      <w:proofErr w:type="spellStart"/>
      <w:r w:rsidR="1FEDDE40" w:rsidRPr="00F27663">
        <w:rPr>
          <w:color w:val="000000" w:themeColor="text1"/>
        </w:rPr>
        <w:t>Gawlinski</w:t>
      </w:r>
      <w:proofErr w:type="spellEnd"/>
      <w:r w:rsidR="1FEDDE40" w:rsidRPr="00F27663">
        <w:rPr>
          <w:color w:val="000000" w:themeColor="text1"/>
        </w:rPr>
        <w:t xml:space="preserve"> &amp; Rutledge, 2008).  Most models have the following common phases: identification of a problem, </w:t>
      </w:r>
      <w:r w:rsidR="1FEDDE40" w:rsidRPr="00F27663">
        <w:rPr>
          <w:color w:val="000000" w:themeColor="text1"/>
        </w:rPr>
        <w:lastRenderedPageBreak/>
        <w:t>gathering of best evidence, determination of potential practice change, implementation of practice change, and evaluation of practice change outcomes related to adherence to process and planned outcomes (</w:t>
      </w:r>
      <w:proofErr w:type="spellStart"/>
      <w:r w:rsidR="1FEDDE40" w:rsidRPr="00F27663">
        <w:rPr>
          <w:color w:val="000000" w:themeColor="text1"/>
        </w:rPr>
        <w:t>Gawlinski</w:t>
      </w:r>
      <w:proofErr w:type="spellEnd"/>
      <w:r w:rsidR="1FEDDE40" w:rsidRPr="00F27663">
        <w:rPr>
          <w:color w:val="000000" w:themeColor="text1"/>
        </w:rPr>
        <w:t xml:space="preserve"> &amp; Rutledge, 2008). </w:t>
      </w:r>
      <w:r w:rsidR="4E5A3D04" w:rsidRPr="00F27663">
        <w:rPr>
          <w:color w:val="000000" w:themeColor="text1"/>
        </w:rPr>
        <w:t xml:space="preserve"> </w:t>
      </w:r>
      <w:r w:rsidR="1FEDDE40" w:rsidRPr="00F27663">
        <w:rPr>
          <w:color w:val="000000" w:themeColor="text1"/>
        </w:rPr>
        <w:t xml:space="preserve">The process typically starts with a question that arises from the care of the patient when a problem is identified </w:t>
      </w:r>
      <w:r w:rsidR="29C42EFD" w:rsidRPr="00F27663">
        <w:rPr>
          <w:color w:val="000000" w:themeColor="text1"/>
        </w:rPr>
        <w:t xml:space="preserve">(Duke University Medical Center Library &amp; UNC Health Sciences Library, 2018).  </w:t>
      </w:r>
      <w:r w:rsidR="1FEDDE40" w:rsidRPr="00F27663">
        <w:rPr>
          <w:color w:val="000000" w:themeColor="text1"/>
        </w:rPr>
        <w:t xml:space="preserve">Next clinicians must construct a well-built clinical question, or PICO, </w:t>
      </w:r>
      <w:r w:rsidR="0037018E" w:rsidRPr="00F27663">
        <w:rPr>
          <w:color w:val="000000" w:themeColor="text1"/>
        </w:rPr>
        <w:t>f</w:t>
      </w:r>
      <w:r w:rsidR="1FEDDE40" w:rsidRPr="00F27663">
        <w:rPr>
          <w:color w:val="000000" w:themeColor="text1"/>
        </w:rPr>
        <w:t xml:space="preserve">or further investigation into the evidence </w:t>
      </w:r>
      <w:r w:rsidR="29C42EFD" w:rsidRPr="00F27663">
        <w:rPr>
          <w:color w:val="000000" w:themeColor="text1"/>
        </w:rPr>
        <w:t xml:space="preserve">(Duke University Medical Center Library &amp; UNC Health Sciences Library, 2018).  </w:t>
      </w:r>
      <w:r w:rsidR="1FEDDE40" w:rsidRPr="00F27663">
        <w:rPr>
          <w:color w:val="000000" w:themeColor="text1"/>
        </w:rPr>
        <w:t>Appropriate resources should be ut</w:t>
      </w:r>
      <w:r w:rsidR="4E5A3D04" w:rsidRPr="00F27663">
        <w:rPr>
          <w:color w:val="000000" w:themeColor="text1"/>
        </w:rPr>
        <w:t>i</w:t>
      </w:r>
      <w:r w:rsidR="1FEDDE40" w:rsidRPr="00F27663">
        <w:rPr>
          <w:color w:val="000000" w:themeColor="text1"/>
        </w:rPr>
        <w:t>lized to conduct the literature search and acquire the evidence through evaluation of published reports, journal articles, correspondences and available</w:t>
      </w:r>
      <w:r w:rsidR="4E5A3D04" w:rsidRPr="00F27663">
        <w:rPr>
          <w:color w:val="000000" w:themeColor="text1"/>
        </w:rPr>
        <w:t xml:space="preserve"> studies</w:t>
      </w:r>
      <w:r w:rsidR="1FEDDE40" w:rsidRPr="00F27663">
        <w:rPr>
          <w:color w:val="000000" w:themeColor="text1"/>
        </w:rPr>
        <w:t xml:space="preserve"> </w:t>
      </w:r>
      <w:r w:rsidR="29C42EFD" w:rsidRPr="00F27663">
        <w:rPr>
          <w:color w:val="000000" w:themeColor="text1"/>
        </w:rPr>
        <w:t xml:space="preserve">(Duke University Medical Center Library &amp; UNC Health Sciences Library, 2018).  </w:t>
      </w:r>
      <w:r w:rsidR="1FEDDE40" w:rsidRPr="00F27663">
        <w:rPr>
          <w:color w:val="000000" w:themeColor="text1"/>
        </w:rPr>
        <w:t xml:space="preserve">The evidence gathered must then be appraised for validity and usefulness in clinical practice </w:t>
      </w:r>
      <w:r w:rsidR="29C42EFD" w:rsidRPr="00F27663">
        <w:rPr>
          <w:color w:val="000000" w:themeColor="text1"/>
        </w:rPr>
        <w:t xml:space="preserve">(Duke University Medical Center Library &amp; UNC Health Sciences Library, 2018).  </w:t>
      </w:r>
      <w:r w:rsidR="1FEDDE40" w:rsidRPr="00F27663">
        <w:rPr>
          <w:color w:val="000000" w:themeColor="text1"/>
        </w:rPr>
        <w:t xml:space="preserve">The clinician then combines the evidence with clinical expertise, patient preference, and implements it to practice </w:t>
      </w:r>
      <w:r w:rsidR="29C42EFD" w:rsidRPr="00F27663">
        <w:rPr>
          <w:color w:val="000000" w:themeColor="text1"/>
        </w:rPr>
        <w:t xml:space="preserve">(Duke University Medical Center Library &amp; UNC Health Sciences Library, 2018).  </w:t>
      </w:r>
      <w:r w:rsidR="1FEDDE40" w:rsidRPr="00F27663">
        <w:rPr>
          <w:color w:val="000000" w:themeColor="text1"/>
        </w:rPr>
        <w:t xml:space="preserve">The final step in the process is assessing the adherence to the process and determining if the intended outcomes were reached </w:t>
      </w:r>
      <w:r w:rsidR="29C42EFD" w:rsidRPr="00F27663">
        <w:rPr>
          <w:color w:val="000000" w:themeColor="text1"/>
        </w:rPr>
        <w:t>(Duke University Medical Center Library &amp; UNC Health Sciences Library, 2018).</w:t>
      </w:r>
    </w:p>
    <w:p w14:paraId="099E97EC" w14:textId="3CE68FFF" w:rsidR="00EF1454" w:rsidRPr="00A37891" w:rsidRDefault="4E5A3D04" w:rsidP="4E5A3D04">
      <w:pPr>
        <w:overflowPunct w:val="0"/>
        <w:autoSpaceDE w:val="0"/>
        <w:autoSpaceDN w:val="0"/>
        <w:adjustRightInd w:val="0"/>
        <w:spacing w:after="160" w:line="480" w:lineRule="auto"/>
        <w:ind w:firstLine="720"/>
        <w:contextualSpacing/>
      </w:pPr>
      <w:r w:rsidRPr="00F27663">
        <w:rPr>
          <w:color w:val="000000" w:themeColor="text1"/>
        </w:rPr>
        <w:t xml:space="preserve">Of the available EBP models, the John Hopkins EBP Model is an ideal framework for translating evidence into practice.    This model is comprised of a three-step process called PET: practice question, evidence, and translation (see Appendix D).  This model's objective is to ensure the latest evidence and best practices are quickly and appropriately integrated into patient care (John Hopkins Medicine, 2017).    First the practice problem must be identified and defined for development of the evidence-based practice question.  The evidence is then gathered and recommendations for change are based upon synthesis of the evidence.   The fit, feasibility, and </w:t>
      </w:r>
      <w:r w:rsidRPr="00F27663">
        <w:rPr>
          <w:color w:val="000000" w:themeColor="text1"/>
        </w:rPr>
        <w:lastRenderedPageBreak/>
        <w:t xml:space="preserve">appropriateness of the recommendation for translation are then determined for creation of an action plan.  Resources and support for implementation must then be secured for implementation of the action plan.  </w:t>
      </w:r>
      <w:r w:rsidRPr="00933448">
        <w:rPr>
          <w:color w:val="000000" w:themeColor="text1"/>
        </w:rPr>
        <w:t xml:space="preserve">After implementation the outcomes must be evaluated, and outcomes must be reported to stakeholders and the findings are disseminated.  </w:t>
      </w:r>
    </w:p>
    <w:p w14:paraId="49C15A55" w14:textId="75729C34" w:rsidR="00EF1454" w:rsidRPr="007D3E0F" w:rsidRDefault="270DDC39" w:rsidP="270DDC39">
      <w:pPr>
        <w:overflowPunct w:val="0"/>
        <w:autoSpaceDE w:val="0"/>
        <w:autoSpaceDN w:val="0"/>
        <w:adjustRightInd w:val="0"/>
        <w:spacing w:line="480" w:lineRule="auto"/>
        <w:ind w:firstLine="720"/>
        <w:contextualSpacing/>
        <w:rPr>
          <w:color w:val="1F1C1D"/>
        </w:rPr>
      </w:pPr>
      <w:r w:rsidRPr="008B569A">
        <w:rPr>
          <w:b/>
          <w:bCs/>
          <w:color w:val="000000" w:themeColor="text1"/>
        </w:rPr>
        <w:t xml:space="preserve">Application to practice change.  </w:t>
      </w:r>
      <w:r w:rsidRPr="008B569A">
        <w:rPr>
          <w:color w:val="000000" w:themeColor="text1"/>
        </w:rPr>
        <w:t xml:space="preserve">This theory served as a guide for promoting evidence-based practice change.  The process </w:t>
      </w:r>
      <w:r w:rsidRPr="00933448">
        <w:rPr>
          <w:color w:val="000000" w:themeColor="text1"/>
        </w:rPr>
        <w:t xml:space="preserve">started with defining the problem and developing an EBP question exercising the P.I.C.O. model.  The EBP question was then utilized to gather the evidence for further appraisal and synthesis.  The evidence was presented to the providers with the recommendations for the protocol.    An action plan was developed by employing the John </w:t>
      </w:r>
      <w:proofErr w:type="spellStart"/>
      <w:r w:rsidRPr="00933448">
        <w:rPr>
          <w:color w:val="000000" w:themeColor="text1"/>
        </w:rPr>
        <w:t>Hopkin's</w:t>
      </w:r>
      <w:proofErr w:type="spellEnd"/>
      <w:r w:rsidRPr="00933448">
        <w:rPr>
          <w:color w:val="000000" w:themeColor="text1"/>
        </w:rPr>
        <w:t xml:space="preserve"> EBP model action plan tool (see Appendices E).   The steps in the tool were followed to ensure successful translation including securement of a project leader, identification o</w:t>
      </w:r>
      <w:r w:rsidRPr="00A37891">
        <w:rPr>
          <w:color w:val="000000" w:themeColor="text1"/>
        </w:rPr>
        <w:t xml:space="preserve">f </w:t>
      </w:r>
      <w:r w:rsidRPr="004B2DA2">
        <w:rPr>
          <w:color w:val="000000" w:themeColor="text1"/>
        </w:rPr>
        <w:t xml:space="preserve">change champions, considering requirement of additional members for translation activities, identification of critical milestones and related tasks, and identification of pre and post measures for observation </w:t>
      </w:r>
      <w:r w:rsidRPr="00933448">
        <w:rPr>
          <w:color w:val="000000" w:themeColor="text1"/>
        </w:rPr>
        <w:t xml:space="preserve">(Dang &amp; </w:t>
      </w:r>
      <w:proofErr w:type="spellStart"/>
      <w:r w:rsidRPr="00933448">
        <w:rPr>
          <w:color w:val="000000" w:themeColor="text1"/>
        </w:rPr>
        <w:t>Dearholt</w:t>
      </w:r>
      <w:proofErr w:type="spellEnd"/>
      <w:r w:rsidRPr="00933448">
        <w:rPr>
          <w:color w:val="000000" w:themeColor="text1"/>
        </w:rPr>
        <w:t>, 2017).  Support from the EHR department</w:t>
      </w:r>
      <w:r w:rsidRPr="270DDC39">
        <w:rPr>
          <w:color w:val="000000" w:themeColor="text1"/>
        </w:rPr>
        <w:t xml:space="preserve"> manager, medical scribes, and nurses was obtained for assistance in implementation.   Outcomes were evaluated weekly and feedback was provided to the stakeholders every four weeks.  Final outcomes were evaluated and any appropriate changes for future application were identified for dissemination of findings.</w:t>
      </w:r>
    </w:p>
    <w:p w14:paraId="402CCE40" w14:textId="77777777" w:rsidR="00EF1454" w:rsidRPr="007D3E0F" w:rsidRDefault="693C9F63" w:rsidP="693C9F63">
      <w:pPr>
        <w:overflowPunct w:val="0"/>
        <w:autoSpaceDE w:val="0"/>
        <w:autoSpaceDN w:val="0"/>
        <w:adjustRightInd w:val="0"/>
        <w:spacing w:line="480" w:lineRule="auto"/>
        <w:contextualSpacing/>
        <w:rPr>
          <w:rFonts w:asciiTheme="minorHAnsi" w:eastAsiaTheme="minorEastAsia" w:hAnsiTheme="minorHAnsi" w:cstheme="minorBidi"/>
        </w:rPr>
      </w:pPr>
      <w:r w:rsidRPr="007D3E0F">
        <w:rPr>
          <w:b/>
          <w:bCs/>
        </w:rPr>
        <w:t xml:space="preserve">Summary </w:t>
      </w:r>
    </w:p>
    <w:p w14:paraId="4AF21BB7" w14:textId="452884A1" w:rsidR="00543CBE" w:rsidRPr="00F27663" w:rsidRDefault="693C9F63" w:rsidP="693C9F63">
      <w:pPr>
        <w:spacing w:line="480" w:lineRule="auto"/>
        <w:ind w:firstLine="720"/>
        <w:rPr>
          <w:color w:val="000000" w:themeColor="text1"/>
        </w:rPr>
      </w:pPr>
      <w:r w:rsidRPr="00F27663">
        <w:rPr>
          <w:color w:val="000000" w:themeColor="text1"/>
        </w:rPr>
        <w:t xml:space="preserve">Scientific knowledge is ever evolving and is now readily available to health practitioners.   This knowledge can be utilized systematically by practitioners to solve problems and measure outcomes.  To do so practitioners must have the skills and resources for implementation. There </w:t>
      </w:r>
      <w:r w:rsidRPr="00F27663">
        <w:rPr>
          <w:color w:val="000000" w:themeColor="text1"/>
        </w:rPr>
        <w:lastRenderedPageBreak/>
        <w:t xml:space="preserve">are numerous tools available to aid in efficient and successful incorporation of the best available evidence into practice.   </w:t>
      </w:r>
    </w:p>
    <w:p w14:paraId="00EA0FE4" w14:textId="33A722FB" w:rsidR="4E5A3D04" w:rsidRDefault="4E5A3D04">
      <w:r>
        <w:br w:type="page"/>
      </w:r>
    </w:p>
    <w:p w14:paraId="6C44957A" w14:textId="77777777" w:rsidR="00AF3592" w:rsidRDefault="00AF3592" w:rsidP="00AF3592">
      <w:pPr>
        <w:spacing w:line="480" w:lineRule="auto"/>
        <w:jc w:val="center"/>
        <w:rPr>
          <w:b/>
          <w:bCs/>
        </w:rPr>
      </w:pPr>
      <w:r w:rsidRPr="00224C9B">
        <w:rPr>
          <w:b/>
          <w:bCs/>
        </w:rPr>
        <w:lastRenderedPageBreak/>
        <w:t>Chapter Four:  Pre-implementation Planning</w:t>
      </w:r>
    </w:p>
    <w:p w14:paraId="694188D6" w14:textId="242BEB24" w:rsidR="00AF3592" w:rsidRPr="00933448" w:rsidRDefault="270DDC39" w:rsidP="270DDC39">
      <w:pPr>
        <w:spacing w:line="480" w:lineRule="auto"/>
        <w:ind w:firstLine="720"/>
        <w:rPr>
          <w:color w:val="000000" w:themeColor="text1"/>
        </w:rPr>
      </w:pPr>
      <w:r w:rsidRPr="00933448">
        <w:rPr>
          <w:color w:val="000000" w:themeColor="text1"/>
        </w:rPr>
        <w:t>To ensure successful implementation, it was essential that the necessary tools and resources were identified and a plan for execution was made.  Each component of implementation from organizational readiness, key players, costs, and evaluation methods</w:t>
      </w:r>
      <w:r w:rsidR="008A0349">
        <w:rPr>
          <w:color w:val="000000" w:themeColor="text1"/>
        </w:rPr>
        <w:t xml:space="preserve"> as such, </w:t>
      </w:r>
      <w:r w:rsidR="00204E70">
        <w:rPr>
          <w:color w:val="000000" w:themeColor="text1"/>
        </w:rPr>
        <w:t xml:space="preserve">had </w:t>
      </w:r>
      <w:r w:rsidRPr="00933448">
        <w:rPr>
          <w:color w:val="000000" w:themeColor="text1"/>
        </w:rPr>
        <w:t xml:space="preserve">to be determined.  Once each of these factors were addressed the project was then ready to proceed to implementation.   </w:t>
      </w:r>
    </w:p>
    <w:p w14:paraId="122B7AC6" w14:textId="77777777" w:rsidR="00AF3592" w:rsidRPr="004B2DA2" w:rsidRDefault="00AF3592" w:rsidP="00AF3592">
      <w:pPr>
        <w:pStyle w:val="APA"/>
        <w:ind w:firstLine="0"/>
        <w:outlineLvl w:val="0"/>
        <w:rPr>
          <w:b/>
          <w:bCs/>
          <w:color w:val="000000" w:themeColor="text1"/>
        </w:rPr>
      </w:pPr>
      <w:r w:rsidRPr="00A37891">
        <w:rPr>
          <w:b/>
          <w:bCs/>
          <w:color w:val="000000" w:themeColor="text1"/>
          <w:szCs w:val="24"/>
        </w:rPr>
        <w:t>Project Purpose</w:t>
      </w:r>
      <w:r w:rsidRPr="004B2DA2">
        <w:rPr>
          <w:b/>
          <w:bCs/>
          <w:color w:val="000000" w:themeColor="text1"/>
        </w:rPr>
        <w:t xml:space="preserve"> </w:t>
      </w:r>
    </w:p>
    <w:p w14:paraId="2911A92A" w14:textId="169BA371" w:rsidR="00AF3592" w:rsidRPr="00933448" w:rsidRDefault="270DDC39" w:rsidP="270DDC39">
      <w:pPr>
        <w:spacing w:line="480" w:lineRule="auto"/>
        <w:ind w:firstLine="720"/>
        <w:rPr>
          <w:color w:val="000000" w:themeColor="text1"/>
        </w:rPr>
      </w:pPr>
      <w:r w:rsidRPr="008B569A">
        <w:rPr>
          <w:color w:val="000000" w:themeColor="text1"/>
        </w:rPr>
        <w:t xml:space="preserve">The purpose of this project </w:t>
      </w:r>
      <w:r w:rsidRPr="00933448">
        <w:rPr>
          <w:color w:val="000000" w:themeColor="text1"/>
        </w:rPr>
        <w:t xml:space="preserve">was to promote provider adherence with evidence-based practice related to vitamin </w:t>
      </w:r>
      <w:r w:rsidR="00BA4D0A" w:rsidRPr="00933448">
        <w:rPr>
          <w:color w:val="000000" w:themeColor="text1"/>
        </w:rPr>
        <w:t>D</w:t>
      </w:r>
      <w:r w:rsidR="00BA4D0A">
        <w:rPr>
          <w:color w:val="000000" w:themeColor="text1"/>
        </w:rPr>
        <w:t xml:space="preserve"> </w:t>
      </w:r>
      <w:r w:rsidR="00BA4D0A" w:rsidRPr="00933448">
        <w:rPr>
          <w:color w:val="000000" w:themeColor="text1"/>
        </w:rPr>
        <w:t>screening</w:t>
      </w:r>
      <w:r w:rsidR="00A15D9F">
        <w:rPr>
          <w:color w:val="000000" w:themeColor="text1"/>
        </w:rPr>
        <w:t xml:space="preserve"> </w:t>
      </w:r>
      <w:r w:rsidRPr="00933448">
        <w:rPr>
          <w:color w:val="000000" w:themeColor="text1"/>
        </w:rPr>
        <w:t>and supplementation for MS patients by implementing a standardized protocol.   The goal was to achieve adherence to evidence-based practice and standardization of patient care coordination for reduction in undetected and untreated vitamin D deficiencies.  The lack of routine vitamin D screening enabled an opportunity for deficiencies to go undetected and untreated which the evidence clearly demonstrates can result in adverse outcomes in MS patients.  Establishing a protocol for routine screening and supplementation would aid in standardization of patient care for improved screening of vitamin D deficiency in MS patients at the MS clinic (see Appendices</w:t>
      </w:r>
      <w:r w:rsidR="00886363" w:rsidRPr="00933448">
        <w:rPr>
          <w:color w:val="000000" w:themeColor="text1"/>
        </w:rPr>
        <w:t xml:space="preserve"> F</w:t>
      </w:r>
      <w:r w:rsidRPr="00933448">
        <w:rPr>
          <w:color w:val="000000" w:themeColor="text1"/>
        </w:rPr>
        <w:t xml:space="preserve">).  The </w:t>
      </w:r>
      <w:r w:rsidR="005314F8" w:rsidRPr="00933448">
        <w:rPr>
          <w:color w:val="000000" w:themeColor="text1"/>
        </w:rPr>
        <w:t xml:space="preserve">plan was for </w:t>
      </w:r>
      <w:r w:rsidRPr="00933448">
        <w:rPr>
          <w:color w:val="000000" w:themeColor="text1"/>
        </w:rPr>
        <w:t xml:space="preserve">MS Clinic providers </w:t>
      </w:r>
      <w:r w:rsidR="005314F8" w:rsidRPr="00933448">
        <w:rPr>
          <w:color w:val="000000" w:themeColor="text1"/>
        </w:rPr>
        <w:t>to implement</w:t>
      </w:r>
      <w:r w:rsidRPr="00933448">
        <w:rPr>
          <w:color w:val="000000" w:themeColor="text1"/>
        </w:rPr>
        <w:t xml:space="preserve"> a routine screening and supplementation protocol based on current literature for increased identification of vitamin D deficiencies and subsequent treatment in MS patients.</w:t>
      </w:r>
    </w:p>
    <w:p w14:paraId="259382AE" w14:textId="77777777" w:rsidR="00AF3592" w:rsidRPr="00F27663" w:rsidRDefault="00AF3592" w:rsidP="00AF3592">
      <w:pPr>
        <w:pStyle w:val="APA"/>
        <w:ind w:firstLine="0"/>
        <w:rPr>
          <w:b/>
          <w:bCs/>
          <w:color w:val="000000" w:themeColor="text1"/>
          <w:szCs w:val="24"/>
        </w:rPr>
      </w:pPr>
      <w:r w:rsidRPr="00A37891">
        <w:rPr>
          <w:b/>
          <w:bCs/>
          <w:color w:val="000000" w:themeColor="text1"/>
          <w:szCs w:val="24"/>
        </w:rPr>
        <w:t>Project Management</w:t>
      </w:r>
    </w:p>
    <w:p w14:paraId="27091F8F" w14:textId="77777777" w:rsidR="00AF3592" w:rsidRPr="007D3E0F" w:rsidRDefault="00AF3592" w:rsidP="00AF3592">
      <w:pPr>
        <w:spacing w:line="480" w:lineRule="auto"/>
        <w:ind w:firstLine="720"/>
      </w:pPr>
      <w:r w:rsidRPr="00F27663">
        <w:rPr>
          <w:b/>
          <w:bCs/>
          <w:color w:val="000000" w:themeColor="text1"/>
        </w:rPr>
        <w:t>Organizational readiness for change</w:t>
      </w:r>
      <w:r w:rsidRPr="00F27663">
        <w:rPr>
          <w:color w:val="000000" w:themeColor="text1"/>
        </w:rPr>
        <w:t xml:space="preserve">. Weiner (2009) described the importance of establishing organizational readiness for change for change management.  He noted readiness for change is marked by an organization’s change commitment and change efficacy; which are qualities characterized by an organizational members' shared decision to implement a change and </w:t>
      </w:r>
      <w:r w:rsidRPr="00F27663">
        <w:rPr>
          <w:color w:val="000000" w:themeColor="text1"/>
        </w:rPr>
        <w:lastRenderedPageBreak/>
        <w:t xml:space="preserve">their shared belief in their collective capacity to do so (Weiner, 2009).   According to Weiner (2009) readiness for change is dependent upon their value of the change in addition to perceived task demands, resource availability, and situational factors.  High readiness for change positively affects implementation, producing greater effort, persistence, and more cooperative behavior (Weiner, 2009).  </w:t>
      </w:r>
      <w:r w:rsidRPr="006A077B">
        <w:rPr>
          <w:color w:val="000000" w:themeColor="text1"/>
        </w:rPr>
        <w:t>Meetings with each of the providers and the director of strategic initiative confirmed their support, understanding of the value of the project, and validated this quality improvement initiative aligned with the organization’s goal to provide patient focused and quality driven care.</w:t>
      </w:r>
      <w:r w:rsidRPr="00F27663">
        <w:rPr>
          <w:color w:val="000000" w:themeColor="text1"/>
        </w:rPr>
        <w:t xml:space="preserve">   The organization’s regard for a collaborative working environment was also a positive indicator for organizational readiness.  The organizational dedication to staying abreast to current evidence-based practices was apparent by the providers’ regular engagement in neurology specialty conferences.  The multitude of services available within the facility positively contribute to the providers’ belief in their ability to care for their patients.  Their knowledge of available resources for implementation of the initiative such as utilization of existing laboratory services, application of existing health information technology system capabilities, and assistance from support staff including nurses and medical scribes in promoting the initiative provided an assuring indicator for implementation.  Given the positive appraisal of these key determinants of implementation capability of the organization it was apparent they were ready for change.   </w:t>
      </w:r>
    </w:p>
    <w:p w14:paraId="240C7C54" w14:textId="4563310F" w:rsidR="00AF3592" w:rsidRPr="007D3E0F" w:rsidRDefault="00AF3592" w:rsidP="00AF3592">
      <w:pPr>
        <w:spacing w:line="480" w:lineRule="auto"/>
        <w:ind w:firstLine="720"/>
      </w:pPr>
      <w:r w:rsidRPr="007D3E0F">
        <w:rPr>
          <w:b/>
          <w:bCs/>
        </w:rPr>
        <w:t>Inter-professional collaboration</w:t>
      </w:r>
      <w:r w:rsidRPr="007D3E0F">
        <w:t xml:space="preserve">.   </w:t>
      </w:r>
      <w:r w:rsidRPr="00F27663">
        <w:rPr>
          <w:color w:val="000000" w:themeColor="text1"/>
        </w:rPr>
        <w:t xml:space="preserve">Collaboration within the health care team is essential to facilitate EBP.  In fact, Grossman and Bautista (2002) recommend collaboration to assist in quality improvement implementation within healthcare organizations.  Determining the roles and responsibilities for patient care team members in promoting success of the protocol initiative was essential.  </w:t>
      </w:r>
      <w:r w:rsidRPr="00A621EA">
        <w:rPr>
          <w:color w:val="000000" w:themeColor="text1"/>
        </w:rPr>
        <w:t xml:space="preserve">Clinical support staff including certified medical scribes, a medical assistant, and </w:t>
      </w:r>
      <w:r w:rsidRPr="00A621EA">
        <w:rPr>
          <w:color w:val="000000" w:themeColor="text1"/>
        </w:rPr>
        <w:lastRenderedPageBreak/>
        <w:t xml:space="preserve">nurses were provided information on the role of vitamin D status in MS patients to best </w:t>
      </w:r>
      <w:r>
        <w:rPr>
          <w:color w:val="000000" w:themeColor="text1"/>
        </w:rPr>
        <w:t xml:space="preserve">support </w:t>
      </w:r>
      <w:r w:rsidRPr="00A621EA">
        <w:rPr>
          <w:color w:val="000000" w:themeColor="text1"/>
        </w:rPr>
        <w:t>them in the protocol initiative</w:t>
      </w:r>
      <w:r>
        <w:rPr>
          <w:color w:val="000000" w:themeColor="text1"/>
        </w:rPr>
        <w:t xml:space="preserve"> and for use as</w:t>
      </w:r>
      <w:r w:rsidRPr="00A621EA">
        <w:rPr>
          <w:color w:val="000000" w:themeColor="text1"/>
        </w:rPr>
        <w:t xml:space="preserve"> patient education reference resources</w:t>
      </w:r>
      <w:r>
        <w:rPr>
          <w:color w:val="000000" w:themeColor="text1"/>
        </w:rPr>
        <w:t xml:space="preserve"> (see Appendix </w:t>
      </w:r>
      <w:r w:rsidR="00886363">
        <w:rPr>
          <w:color w:val="000000" w:themeColor="text1"/>
        </w:rPr>
        <w:t>G</w:t>
      </w:r>
      <w:r>
        <w:rPr>
          <w:color w:val="000000" w:themeColor="text1"/>
        </w:rPr>
        <w:t>)</w:t>
      </w:r>
      <w:r w:rsidRPr="00A621EA">
        <w:rPr>
          <w:color w:val="000000" w:themeColor="text1"/>
        </w:rPr>
        <w:t xml:space="preserve">.  </w:t>
      </w:r>
      <w:r w:rsidRPr="00F27663">
        <w:rPr>
          <w:color w:val="000000" w:themeColor="text1"/>
        </w:rPr>
        <w:t xml:space="preserve">To reduce resistance to change it was important to gain all stakeholders’ support and ensure that the staff understood the reasoning for the change which would offer a promising strategy for providing high quality care for their patients (Agency for Healthcare Research and Quality, 2014).  </w:t>
      </w:r>
      <w:r w:rsidRPr="00A621EA">
        <w:rPr>
          <w:color w:val="000000" w:themeColor="text1"/>
        </w:rPr>
        <w:t>Roles were outlined to ensure staff members had a clear understanding on how and if their duties would change.</w:t>
      </w:r>
      <w:r w:rsidRPr="00F27663">
        <w:rPr>
          <w:color w:val="000000" w:themeColor="text1"/>
        </w:rPr>
        <w:t xml:space="preserve">   For the project, the medical assistant and nurse’s responsibilities would not change from their regular daily operations. </w:t>
      </w:r>
    </w:p>
    <w:p w14:paraId="0E0A7205" w14:textId="6CDD39CD" w:rsidR="00AF3592" w:rsidRPr="00F27663" w:rsidRDefault="270DDC39" w:rsidP="270DDC39">
      <w:pPr>
        <w:spacing w:line="480" w:lineRule="auto"/>
        <w:ind w:firstLine="720"/>
        <w:rPr>
          <w:color w:val="000000" w:themeColor="text1"/>
        </w:rPr>
      </w:pPr>
      <w:r w:rsidRPr="270DDC39">
        <w:rPr>
          <w:color w:val="000000" w:themeColor="text1"/>
        </w:rPr>
        <w:t xml:space="preserve">The medical assistant, MA, continued to be responsible for medication reconciliation during each patient encounter ensuring the most accurate list was documented in the patient's chart including name, dosage, frequency, and route of medications, vitamins, and supplements.   Additionally, the MA also remained accountable for reporting any prescription or supplement related issues to the nurse and provider. The nurses </w:t>
      </w:r>
      <w:r w:rsidRPr="00933448">
        <w:rPr>
          <w:color w:val="000000" w:themeColor="text1"/>
        </w:rPr>
        <w:t>continued</w:t>
      </w:r>
      <w:r w:rsidRPr="270DDC39">
        <w:rPr>
          <w:color w:val="000000" w:themeColor="text1"/>
        </w:rPr>
        <w:t xml:space="preserve"> to reconcile medications, inform patients of laboratory results, educate patients on the need for supplementation, and advocate for patients regarding any appropriate orders or prescription needed.   </w:t>
      </w:r>
    </w:p>
    <w:p w14:paraId="41C4D294" w14:textId="4845F425" w:rsidR="00AF3592" w:rsidRPr="00224C9B" w:rsidRDefault="00AF3592" w:rsidP="00AF3592">
      <w:pPr>
        <w:spacing w:line="480" w:lineRule="auto"/>
        <w:ind w:firstLine="720"/>
      </w:pPr>
      <w:r w:rsidRPr="00F27663">
        <w:rPr>
          <w:color w:val="000000" w:themeColor="text1"/>
        </w:rPr>
        <w:t xml:space="preserve">The routine data entry responsibilities of the certified medical scribe specialists, CMSS, remained, however they acquired the new responsibility of assisting the provider in protocol screening.  The CMSS continued to accompany their provider to capture and enter health information into the EHR during patient office visits including the history of the patient's present illness, review of systems, physical examinations, lab values, testing results, progress notes, and continued care plan and medication lists (AHIMA, 2012).  Given high level access and capabilities within patient records in electronic systems, CMSS may be the first to see alerts and warnings generated by clinical decision support software (Proctor, 2014). Medical scribes have </w:t>
      </w:r>
      <w:r w:rsidRPr="00F27663">
        <w:rPr>
          <w:color w:val="000000" w:themeColor="text1"/>
        </w:rPr>
        <w:lastRenderedPageBreak/>
        <w:t>been shown to increase productivity for physicians by 10% and ease clerical burdens of CPOE and EHRs through clinical documentation and practice efficiencies (The American College of Medical Scribe Specialists, 2016).   Additionally, CMSS can facilitate computerized provider order entry (CPOE) support, including laboratory, radiology, and e-prescribing, and assist providers with clinical decision support (CDS) functions.   The CMSS aided in provider order entry for the vitamin D lab</w:t>
      </w:r>
      <w:r w:rsidR="00BE530C">
        <w:rPr>
          <w:color w:val="000000" w:themeColor="text1"/>
        </w:rPr>
        <w:t xml:space="preserve"> </w:t>
      </w:r>
      <w:r w:rsidRPr="00F27663">
        <w:rPr>
          <w:color w:val="000000" w:themeColor="text1"/>
        </w:rPr>
        <w:t xml:space="preserve">work when appropriate.  </w:t>
      </w:r>
    </w:p>
    <w:p w14:paraId="36CF4A6A" w14:textId="77777777" w:rsidR="00AF3592" w:rsidRPr="00F27663" w:rsidRDefault="00AF3592" w:rsidP="00AF3592">
      <w:pPr>
        <w:spacing w:line="480" w:lineRule="auto"/>
        <w:ind w:firstLine="720"/>
        <w:rPr>
          <w:color w:val="000000" w:themeColor="text1"/>
        </w:rPr>
      </w:pPr>
      <w:r w:rsidRPr="00F27663">
        <w:rPr>
          <w:color w:val="000000" w:themeColor="text1"/>
        </w:rPr>
        <w:t xml:space="preserve">  Possible benefits to protocol-based care implementation include a more streamlined service delivery for patients, increased autonomy for nurses, reduced provider workload</w:t>
      </w:r>
      <w:r>
        <w:rPr>
          <w:color w:val="000000" w:themeColor="text1"/>
        </w:rPr>
        <w:t>, and improved and consistent communication with the plan of care</w:t>
      </w:r>
      <w:r w:rsidRPr="00F27663">
        <w:rPr>
          <w:color w:val="000000" w:themeColor="text1"/>
        </w:rPr>
        <w:t xml:space="preserve">.  The intervention empowered the nurses to assess and educate patients, reconcile medications, and discharge patients under protocols without having to wait for physician input or written orders.   Engaging support staff in the initiative also helped to combat any perceived barrier of increased provider workload. </w:t>
      </w:r>
    </w:p>
    <w:p w14:paraId="49668565" w14:textId="65F44710" w:rsidR="00AF3592" w:rsidRDefault="00AF3592" w:rsidP="00AF3592">
      <w:pPr>
        <w:spacing w:line="480" w:lineRule="auto"/>
        <w:ind w:firstLine="720"/>
      </w:pPr>
      <w:r w:rsidRPr="0F9C91B5">
        <w:rPr>
          <w:b/>
          <w:bCs/>
        </w:rPr>
        <w:t>Risk management assessment</w:t>
      </w:r>
      <w:r w:rsidRPr="0F9C91B5">
        <w:t xml:space="preserve">. </w:t>
      </w:r>
      <w:r w:rsidRPr="00F27663">
        <w:rPr>
          <w:color w:val="000000" w:themeColor="text1"/>
        </w:rPr>
        <w:t xml:space="preserve">Queensland Government (2016) recognized utilization of SWOT analysis as a common part of strategic planning to aid in process change.  SWOT analysis is a time and cost-efficient tool to help identify and understand key issues affecting an organization which can enable strength building, weakness minimization, opportunity seizing, and threat counteracting (Queensland Government, 2016).    A SWOT analysis was conducted for the project organization (see Appendices </w:t>
      </w:r>
      <w:r w:rsidR="00886363">
        <w:rPr>
          <w:color w:val="000000" w:themeColor="text1"/>
        </w:rPr>
        <w:t>H</w:t>
      </w:r>
      <w:r w:rsidRPr="00F27663">
        <w:rPr>
          <w:color w:val="000000" w:themeColor="text1"/>
        </w:rPr>
        <w:t xml:space="preserve">) to determine the health and resource needs, concerns, values, and assets of the organization.  </w:t>
      </w:r>
    </w:p>
    <w:p w14:paraId="7D185911" w14:textId="69D6D238" w:rsidR="00AF3592" w:rsidRPr="00933448" w:rsidRDefault="270DDC39" w:rsidP="270DDC39">
      <w:pPr>
        <w:spacing w:line="480" w:lineRule="auto"/>
        <w:ind w:firstLine="720"/>
        <w:rPr>
          <w:color w:val="000000" w:themeColor="text1"/>
        </w:rPr>
      </w:pPr>
      <w:r w:rsidRPr="270DDC39">
        <w:rPr>
          <w:color w:val="000000" w:themeColor="text1"/>
        </w:rPr>
        <w:t xml:space="preserve">This organization operates at a high level of efficiency due to their outstanding facilities, vast service availability, exceptional staff, and strong commitment to excellent patient care.  Fortunately, this </w:t>
      </w:r>
      <w:r w:rsidRPr="00933448">
        <w:rPr>
          <w:color w:val="000000" w:themeColor="text1"/>
        </w:rPr>
        <w:t>organization had many strengths</w:t>
      </w:r>
      <w:r w:rsidRPr="270DDC39">
        <w:rPr>
          <w:color w:val="000000" w:themeColor="text1"/>
        </w:rPr>
        <w:t xml:space="preserve"> to combat external threats.  For instance, their positive customer and public perception as </w:t>
      </w:r>
      <w:r w:rsidRPr="00933448">
        <w:rPr>
          <w:color w:val="000000" w:themeColor="text1"/>
        </w:rPr>
        <w:t xml:space="preserve">well as ability to accept numerous insurances helped </w:t>
      </w:r>
      <w:r w:rsidRPr="00933448">
        <w:rPr>
          <w:color w:val="000000" w:themeColor="text1"/>
        </w:rPr>
        <w:lastRenderedPageBreak/>
        <w:t xml:space="preserve">to minimize competition with other nearby neurology specialty clinics. Obstacles in obtaining shared patient medical information from other EHR systems and reimbursement challenges could be overcome due to committed medical records and financial services staff. Likewise, with the assistance of supportive staff for order and prescription entry, providers were able to efficiently utilize the seemingly short appointment times (Proctor, 2014).  </w:t>
      </w:r>
    </w:p>
    <w:p w14:paraId="2A1DD82A" w14:textId="73D356CF" w:rsidR="00AF3592" w:rsidRPr="00933448" w:rsidRDefault="270DDC39" w:rsidP="270DDC39">
      <w:pPr>
        <w:spacing w:line="480" w:lineRule="auto"/>
        <w:ind w:firstLine="720"/>
        <w:rPr>
          <w:rFonts w:eastAsia="Calibri"/>
          <w:color w:val="000000" w:themeColor="text1"/>
        </w:rPr>
      </w:pPr>
      <w:r w:rsidRPr="00933448">
        <w:rPr>
          <w:rFonts w:eastAsia="Calibri"/>
          <w:color w:val="000000" w:themeColor="text1"/>
        </w:rPr>
        <w:t xml:space="preserve">Opportunities for improvement included utilization of available clinical decision support application within the EHR to aid with standardization of care. Given the changes in the population needs with growing evidence supporting best practices there was an opportunity for standardization of MS patient care.  </w:t>
      </w:r>
    </w:p>
    <w:p w14:paraId="55FA87D1" w14:textId="754E8E65" w:rsidR="00AF3592" w:rsidRPr="00933448" w:rsidRDefault="01B5E863" w:rsidP="01B5E863">
      <w:pPr>
        <w:spacing w:after="200" w:line="480" w:lineRule="auto"/>
        <w:ind w:firstLine="720"/>
        <w:rPr>
          <w:color w:val="000000" w:themeColor="text1"/>
        </w:rPr>
      </w:pPr>
      <w:r w:rsidRPr="00A37891">
        <w:rPr>
          <w:b/>
          <w:bCs/>
        </w:rPr>
        <w:t>Organizational approval process</w:t>
      </w:r>
      <w:r w:rsidRPr="00A37891">
        <w:t xml:space="preserve">.  </w:t>
      </w:r>
      <w:r w:rsidRPr="004B2DA2">
        <w:rPr>
          <w:color w:val="000000" w:themeColor="text1"/>
        </w:rPr>
        <w:t>The process for organizational approval was completed through discussions w</w:t>
      </w:r>
      <w:r w:rsidRPr="008B569A">
        <w:rPr>
          <w:color w:val="000000" w:themeColor="text1"/>
        </w:rPr>
        <w:t xml:space="preserve">ith the director of strategic initiatives and the project site champion.   A verbal proposal was given to </w:t>
      </w:r>
      <w:r w:rsidRPr="00933448">
        <w:rPr>
          <w:color w:val="000000" w:themeColor="text1"/>
        </w:rPr>
        <w:t>both organizational members. A letter of support was then provided by the organization</w:t>
      </w:r>
      <w:r w:rsidR="00E86B2D">
        <w:rPr>
          <w:color w:val="000000" w:themeColor="text1"/>
        </w:rPr>
        <w:t>.</w:t>
      </w:r>
    </w:p>
    <w:p w14:paraId="07393E7C" w14:textId="69293430" w:rsidR="00AF3592" w:rsidRPr="00933448" w:rsidRDefault="270DDC39" w:rsidP="270DDC39">
      <w:pPr>
        <w:pStyle w:val="APAAbstract"/>
        <w:ind w:firstLine="720"/>
        <w:rPr>
          <w:color w:val="000000" w:themeColor="text1"/>
        </w:rPr>
      </w:pPr>
      <w:r w:rsidRPr="00933448">
        <w:rPr>
          <w:b/>
          <w:bCs/>
        </w:rPr>
        <w:t>Information technology</w:t>
      </w:r>
      <w:r w:rsidRPr="00933448">
        <w:t xml:space="preserve">.  </w:t>
      </w:r>
      <w:r w:rsidRPr="00933448">
        <w:rPr>
          <w:color w:val="000000" w:themeColor="text1"/>
        </w:rPr>
        <w:t>Various forms of information technology were utilized within</w:t>
      </w:r>
      <w:r w:rsidRPr="270DDC39">
        <w:rPr>
          <w:color w:val="000000" w:themeColor="text1"/>
        </w:rPr>
        <w:t xml:space="preserve"> the project.   Email was used for corresponding with each of the interdisciplinary team members to exchange information and coordinate meetings.  The electronic health record system was utilized by the provider and support staff for vitamin D order entry, laboratory results reporting, and for vitamin D supplementation prescribing. EHR chart alerts were used as an aid to prompt providers in test ordering for patients who met the criteria for routine vitamin D screening and </w:t>
      </w:r>
      <w:r w:rsidRPr="00933448">
        <w:rPr>
          <w:color w:val="000000" w:themeColor="text1"/>
        </w:rPr>
        <w:t xml:space="preserve">supplementation. This alert displayed the date and value of the last vitamin D level completed and prompted the provider to take the appropriate actions according to the protocol for test ordering.  Excel was utilized for completion of observational checks, storing of data, data analysis and creating of frequency polygon.   </w:t>
      </w:r>
    </w:p>
    <w:p w14:paraId="3A1EE18E" w14:textId="77777777" w:rsidR="00AF3592" w:rsidRPr="00A37891" w:rsidRDefault="00AF3592" w:rsidP="00AF3592">
      <w:pPr>
        <w:spacing w:line="480" w:lineRule="auto"/>
        <w:rPr>
          <w:b/>
          <w:bCs/>
        </w:rPr>
      </w:pPr>
      <w:r w:rsidRPr="00A37891">
        <w:rPr>
          <w:b/>
          <w:bCs/>
        </w:rPr>
        <w:lastRenderedPageBreak/>
        <w:t>Cost Analysis of Materials Needed for Project</w:t>
      </w:r>
    </w:p>
    <w:p w14:paraId="4DBFDB81" w14:textId="674E9BC1" w:rsidR="00AF3592" w:rsidRPr="006B42BE" w:rsidRDefault="270DDC39" w:rsidP="270DDC39">
      <w:pPr>
        <w:spacing w:line="480" w:lineRule="auto"/>
        <w:ind w:firstLine="720"/>
        <w:rPr>
          <w:color w:val="000000" w:themeColor="text1"/>
        </w:rPr>
      </w:pPr>
      <w:r w:rsidRPr="008B569A">
        <w:rPr>
          <w:color w:val="000000" w:themeColor="text1"/>
        </w:rPr>
        <w:t xml:space="preserve">Due to established electronic health records system already in place, there </w:t>
      </w:r>
      <w:r w:rsidRPr="00933448">
        <w:rPr>
          <w:color w:val="000000" w:themeColor="text1"/>
        </w:rPr>
        <w:t>was little demand for monetary budget needs.  Cost for printing educational materials and protocol documents were</w:t>
      </w:r>
      <w:r w:rsidR="00BE530C" w:rsidRPr="00933448">
        <w:rPr>
          <w:color w:val="000000" w:themeColor="text1"/>
        </w:rPr>
        <w:t xml:space="preserve"> minimal.</w:t>
      </w:r>
      <w:r w:rsidRPr="00933448">
        <w:rPr>
          <w:color w:val="000000" w:themeColor="text1"/>
        </w:rPr>
        <w:t xml:space="preserve"> Time was the largest resource required.  Costs associated with time included: conducting chart audits, development of the chart alert within the EHR, provider and</w:t>
      </w:r>
      <w:r w:rsidRPr="270DDC39">
        <w:rPr>
          <w:color w:val="000000" w:themeColor="text1"/>
        </w:rPr>
        <w:t xml:space="preserve"> staff education, follow up meetings with providers and staff, protocol implementation, and data collection and analysis.  </w:t>
      </w:r>
    </w:p>
    <w:p w14:paraId="5454B250" w14:textId="77777777" w:rsidR="00AF3592" w:rsidRPr="00933448" w:rsidRDefault="00AF3592" w:rsidP="00AF3592">
      <w:pPr>
        <w:spacing w:line="480" w:lineRule="auto"/>
        <w:rPr>
          <w:b/>
          <w:bCs/>
        </w:rPr>
      </w:pPr>
      <w:r w:rsidRPr="007D3E0F">
        <w:rPr>
          <w:b/>
          <w:bCs/>
        </w:rPr>
        <w:t xml:space="preserve">Plans for Institutional Review </w:t>
      </w:r>
      <w:r w:rsidRPr="00933448">
        <w:rPr>
          <w:b/>
          <w:bCs/>
        </w:rPr>
        <w:t>Board Approval</w:t>
      </w:r>
    </w:p>
    <w:p w14:paraId="504987B8" w14:textId="32BAAF8E" w:rsidR="00AF3592" w:rsidRPr="008B569A" w:rsidRDefault="00AF3592" w:rsidP="00AF3592">
      <w:pPr>
        <w:spacing w:line="480" w:lineRule="auto"/>
        <w:ind w:firstLine="720"/>
        <w:rPr>
          <w:color w:val="000000" w:themeColor="text1"/>
        </w:rPr>
      </w:pPr>
      <w:r w:rsidRPr="00A37891">
        <w:rPr>
          <w:color w:val="000000" w:themeColor="text1"/>
        </w:rPr>
        <w:t xml:space="preserve">Before any research project involving human subjects can be </w:t>
      </w:r>
      <w:r w:rsidRPr="004B2DA2">
        <w:rPr>
          <w:color w:val="000000" w:themeColor="text1"/>
        </w:rPr>
        <w:t>initiated, it must first be reviewed and approved b</w:t>
      </w:r>
      <w:r w:rsidRPr="008B569A">
        <w:rPr>
          <w:color w:val="000000" w:themeColor="text1"/>
        </w:rPr>
        <w:t xml:space="preserve">y an institutional review board (IRB).  CITI training was completed </w:t>
      </w:r>
      <w:r w:rsidR="00886363" w:rsidRPr="00933448">
        <w:rPr>
          <w:color w:val="000000" w:themeColor="text1"/>
        </w:rPr>
        <w:t xml:space="preserve">by the project lead </w:t>
      </w:r>
      <w:r w:rsidRPr="00933448">
        <w:rPr>
          <w:color w:val="000000" w:themeColor="text1"/>
        </w:rPr>
        <w:t>for education and training on the protection of human research subjects as required.</w:t>
      </w:r>
      <w:r w:rsidRPr="00A37891">
        <w:rPr>
          <w:color w:val="000000" w:themeColor="text1"/>
        </w:rPr>
        <w:t xml:space="preserve">  To determine whether IRB approval was necessary</w:t>
      </w:r>
      <w:r w:rsidRPr="004B2DA2">
        <w:rPr>
          <w:color w:val="000000" w:themeColor="text1"/>
        </w:rPr>
        <w:t>, an IRB QI/Program Evaluation Self</w:t>
      </w:r>
      <w:r w:rsidRPr="008B569A">
        <w:rPr>
          <w:color w:val="000000" w:themeColor="text1"/>
        </w:rPr>
        <w:t>-Certification Tool Guidance document was completed.  The university IRB deemed the project as quality improvement and no further review was required (see Appendix K).</w:t>
      </w:r>
    </w:p>
    <w:p w14:paraId="2FE883D3" w14:textId="77777777" w:rsidR="00AF3592" w:rsidRPr="008B569A" w:rsidRDefault="00AF3592" w:rsidP="00AF3592">
      <w:pPr>
        <w:spacing w:line="480" w:lineRule="auto"/>
        <w:rPr>
          <w:b/>
          <w:bCs/>
        </w:rPr>
      </w:pPr>
      <w:r w:rsidRPr="008B569A">
        <w:rPr>
          <w:b/>
          <w:bCs/>
        </w:rPr>
        <w:t>Plan for Project Evaluation</w:t>
      </w:r>
    </w:p>
    <w:p w14:paraId="0615F14D" w14:textId="149FC00E" w:rsidR="00AF3592" w:rsidRPr="00933448" w:rsidRDefault="270DDC39" w:rsidP="270DDC39">
      <w:pPr>
        <w:spacing w:line="480" w:lineRule="auto"/>
        <w:ind w:firstLine="720"/>
        <w:rPr>
          <w:color w:val="000000" w:themeColor="text1"/>
        </w:rPr>
      </w:pPr>
      <w:r w:rsidRPr="008B569A">
        <w:rPr>
          <w:b/>
          <w:bCs/>
          <w:color w:val="000000" w:themeColor="text1"/>
        </w:rPr>
        <w:t>Demographics</w:t>
      </w:r>
      <w:r w:rsidRPr="008B569A">
        <w:rPr>
          <w:color w:val="000000" w:themeColor="text1"/>
        </w:rPr>
        <w:t xml:space="preserve">.  Information being collected </w:t>
      </w:r>
      <w:r w:rsidRPr="00933448">
        <w:rPr>
          <w:color w:val="000000" w:themeColor="text1"/>
        </w:rPr>
        <w:t>included performance measures’ data for P</w:t>
      </w:r>
      <w:r w:rsidR="0025044A">
        <w:rPr>
          <w:color w:val="000000" w:themeColor="text1"/>
        </w:rPr>
        <w:t>rovider One, Provider Two</w:t>
      </w:r>
      <w:r w:rsidRPr="00933448">
        <w:rPr>
          <w:color w:val="000000" w:themeColor="text1"/>
        </w:rPr>
        <w:t xml:space="preserve">, and Provider </w:t>
      </w:r>
      <w:r w:rsidR="0025044A">
        <w:rPr>
          <w:color w:val="000000" w:themeColor="text1"/>
        </w:rPr>
        <w:t>Three</w:t>
      </w:r>
      <w:r w:rsidRPr="00933448">
        <w:rPr>
          <w:color w:val="000000" w:themeColor="text1"/>
        </w:rPr>
        <w:t xml:space="preserve">. Performance measures included the frequency in which components of the protocol were met by the provider. The performance measurement were displayed as frequencies </w:t>
      </w:r>
      <w:r w:rsidR="00002D4E">
        <w:rPr>
          <w:color w:val="000000" w:themeColor="text1"/>
        </w:rPr>
        <w:t xml:space="preserve">and percentages </w:t>
      </w:r>
      <w:r w:rsidRPr="00933448">
        <w:rPr>
          <w:color w:val="000000" w:themeColor="text1"/>
        </w:rPr>
        <w:t xml:space="preserve">for each component of the protocol met. </w:t>
      </w:r>
    </w:p>
    <w:p w14:paraId="12D6BA91" w14:textId="45265A6E" w:rsidR="00AF3592" w:rsidRPr="00A37891" w:rsidRDefault="270DDC39" w:rsidP="270DDC39">
      <w:pPr>
        <w:spacing w:line="480" w:lineRule="auto"/>
        <w:ind w:firstLine="720"/>
        <w:rPr>
          <w:color w:val="000000" w:themeColor="text1"/>
        </w:rPr>
      </w:pPr>
      <w:r w:rsidRPr="00933448">
        <w:rPr>
          <w:b/>
          <w:bCs/>
          <w:color w:val="000000" w:themeColor="text1"/>
        </w:rPr>
        <w:t>Outcome measurement</w:t>
      </w:r>
      <w:r w:rsidRPr="00933448">
        <w:rPr>
          <w:color w:val="000000" w:themeColor="text1"/>
        </w:rPr>
        <w:t>. Provider compliance with the protocol for screening and sup</w:t>
      </w:r>
      <w:r w:rsidRPr="00A37891">
        <w:rPr>
          <w:color w:val="000000" w:themeColor="text1"/>
        </w:rPr>
        <w:t xml:space="preserve">plementation </w:t>
      </w:r>
      <w:r w:rsidRPr="00933448">
        <w:rPr>
          <w:color w:val="000000" w:themeColor="text1"/>
        </w:rPr>
        <w:t>was evaluated weekly.  Chart audits and utilization of quality reports were</w:t>
      </w:r>
      <w:r w:rsidRPr="270DDC39">
        <w:rPr>
          <w:color w:val="000000" w:themeColor="text1"/>
        </w:rPr>
        <w:t xml:space="preserve"> reviewed to obtain </w:t>
      </w:r>
      <w:r w:rsidRPr="00933448">
        <w:rPr>
          <w:color w:val="000000" w:themeColor="text1"/>
        </w:rPr>
        <w:t xml:space="preserve">data post implementation period. Data collection and trending included: patients meeting criteria where testing was not ordered, patients meeting criteria where testing </w:t>
      </w:r>
      <w:r w:rsidRPr="00933448">
        <w:rPr>
          <w:color w:val="000000" w:themeColor="text1"/>
        </w:rPr>
        <w:lastRenderedPageBreak/>
        <w:t xml:space="preserve">was ordered, patients with deficiency whom were prescribed replacement supplementation, patients with deficiency whom were not prescribed replacement, and provider compliance with the protocol guidelines for supplementation.  </w:t>
      </w:r>
    </w:p>
    <w:p w14:paraId="52C00ADE" w14:textId="75B42D89" w:rsidR="00AF3592" w:rsidRPr="00933448" w:rsidRDefault="270DDC39" w:rsidP="270DDC39">
      <w:pPr>
        <w:spacing w:line="480" w:lineRule="auto"/>
        <w:ind w:firstLine="720"/>
        <w:rPr>
          <w:color w:val="000000" w:themeColor="text1"/>
        </w:rPr>
      </w:pPr>
      <w:r w:rsidRPr="008B569A">
        <w:rPr>
          <w:b/>
          <w:bCs/>
          <w:i/>
          <w:iCs/>
          <w:color w:val="000000" w:themeColor="text1"/>
        </w:rPr>
        <w:t>Evaluation tool.</w:t>
      </w:r>
      <w:r w:rsidRPr="008B569A">
        <w:rPr>
          <w:color w:val="000000" w:themeColor="text1"/>
        </w:rPr>
        <w:t xml:space="preserve">  A check sheet (see Appendi</w:t>
      </w:r>
      <w:r w:rsidR="00886363" w:rsidRPr="008B569A">
        <w:rPr>
          <w:color w:val="000000" w:themeColor="text1"/>
        </w:rPr>
        <w:t>x</w:t>
      </w:r>
      <w:r w:rsidRPr="008B569A">
        <w:rPr>
          <w:color w:val="000000" w:themeColor="text1"/>
        </w:rPr>
        <w:t xml:space="preserve"> </w:t>
      </w:r>
      <w:r w:rsidR="00886363" w:rsidRPr="008B569A">
        <w:rPr>
          <w:color w:val="000000" w:themeColor="text1"/>
        </w:rPr>
        <w:t>J</w:t>
      </w:r>
      <w:r w:rsidRPr="008B569A">
        <w:rPr>
          <w:color w:val="000000" w:themeColor="text1"/>
        </w:rPr>
        <w:t xml:space="preserve">) </w:t>
      </w:r>
      <w:r w:rsidRPr="00933448">
        <w:rPr>
          <w:color w:val="000000" w:themeColor="text1"/>
        </w:rPr>
        <w:t>was utilized for collection and observation</w:t>
      </w:r>
      <w:r w:rsidR="00BE530C" w:rsidRPr="00933448">
        <w:rPr>
          <w:color w:val="000000" w:themeColor="text1"/>
        </w:rPr>
        <w:t xml:space="preserve"> of</w:t>
      </w:r>
      <w:r w:rsidRPr="00933448">
        <w:rPr>
          <w:color w:val="000000" w:themeColor="text1"/>
        </w:rPr>
        <w:t xml:space="preserve"> </w:t>
      </w:r>
      <w:r w:rsidR="00BE530C" w:rsidRPr="00933448">
        <w:rPr>
          <w:color w:val="000000" w:themeColor="text1"/>
        </w:rPr>
        <w:t xml:space="preserve">data. </w:t>
      </w:r>
      <w:r w:rsidRPr="00933448">
        <w:rPr>
          <w:color w:val="000000" w:themeColor="text1"/>
        </w:rPr>
        <w:t xml:space="preserve">Observational counts were obtained via weekly chart audits and documented for individual compliance and improvement.  The process included a continual evaluation to identify potential barriers to providers’ success with compliance.  Resources and strengths were reassessed to determine any necessary strategies to overcome barriers.  </w:t>
      </w:r>
    </w:p>
    <w:p w14:paraId="2C6DB759" w14:textId="67C3174A" w:rsidR="00AF3592" w:rsidRPr="00A37891" w:rsidRDefault="270DDC39" w:rsidP="270DDC39">
      <w:pPr>
        <w:spacing w:line="480" w:lineRule="auto"/>
        <w:ind w:firstLine="720"/>
        <w:rPr>
          <w:color w:val="000000" w:themeColor="text1"/>
        </w:rPr>
      </w:pPr>
      <w:r w:rsidRPr="00933448">
        <w:rPr>
          <w:b/>
          <w:bCs/>
          <w:i/>
          <w:iCs/>
          <w:color w:val="000000" w:themeColor="text1"/>
        </w:rPr>
        <w:t>Data analysis</w:t>
      </w:r>
      <w:r w:rsidRPr="00933448">
        <w:rPr>
          <w:b/>
          <w:bCs/>
          <w:color w:val="000000" w:themeColor="text1"/>
        </w:rPr>
        <w:t xml:space="preserve">.  </w:t>
      </w:r>
      <w:r w:rsidRPr="00933448">
        <w:rPr>
          <w:color w:val="000000" w:themeColor="text1"/>
        </w:rPr>
        <w:t xml:space="preserve">Descriptive statistics including frequencies and percentages were utilized when evaluating provider compliance.  Counts were used to represent instances of data collected and documented on a check sheet.  Data collected on the check sheets </w:t>
      </w:r>
      <w:r w:rsidR="00D37C78" w:rsidRPr="00933448">
        <w:rPr>
          <w:color w:val="000000" w:themeColor="text1"/>
        </w:rPr>
        <w:t>were then</w:t>
      </w:r>
      <w:r w:rsidR="00BE530C" w:rsidRPr="00933448">
        <w:rPr>
          <w:color w:val="000000" w:themeColor="text1"/>
        </w:rPr>
        <w:t xml:space="preserve"> </w:t>
      </w:r>
      <w:r w:rsidRPr="00933448">
        <w:rPr>
          <w:color w:val="000000" w:themeColor="text1"/>
        </w:rPr>
        <w:t>entered on an excel spread sheet for data analysis.  The denominator consisted of the number of</w:t>
      </w:r>
      <w:r w:rsidRPr="270DDC39">
        <w:rPr>
          <w:color w:val="000000" w:themeColor="text1"/>
        </w:rPr>
        <w:t xml:space="preserve"> patients with the diagnosis of MS seen by each of the providers in the clinic each week (HRSA, 2011).  An inclusion parameter for the denominator was patients with MS whom vitamin D testing had not been completed in the past year; whereas not having a diagnosis of MS or having a diagnosis of MS and vitamin D completion in the past year indicated in the chart were exclusion parameters (HRSA, 2011).  The numerator represented MS patients who had not completed vitamin D testing in the past year for which vitamin D </w:t>
      </w:r>
      <w:r w:rsidRPr="00933448">
        <w:rPr>
          <w:color w:val="000000" w:themeColor="text1"/>
        </w:rPr>
        <w:t>testing was ordered by the provider for completion at their office visit encounter (HRSA, 2011).  Each measure was calculated by dividing the numerator by the denominator, then multiplying it by 100 to symbolize the percentage of compliance (HRSA, 2011).  Thus, the number of MS patients with no vitamin D testing in the past year for which vitamin D testing was ordered was compared to the number of patients for which vitamin D testing was not ordered.  The result</w:t>
      </w:r>
      <w:r w:rsidR="00814506">
        <w:rPr>
          <w:color w:val="000000" w:themeColor="text1"/>
        </w:rPr>
        <w:t>s</w:t>
      </w:r>
      <w:r w:rsidRPr="00933448">
        <w:rPr>
          <w:color w:val="000000" w:themeColor="text1"/>
        </w:rPr>
        <w:t xml:space="preserve"> </w:t>
      </w:r>
      <w:r w:rsidR="00814506">
        <w:rPr>
          <w:color w:val="000000" w:themeColor="text1"/>
        </w:rPr>
        <w:t>were</w:t>
      </w:r>
      <w:r w:rsidRPr="00933448">
        <w:rPr>
          <w:color w:val="000000" w:themeColor="text1"/>
        </w:rPr>
        <w:t xml:space="preserve"> then multiplied by 100 to depict the </w:t>
      </w:r>
      <w:r w:rsidRPr="00933448">
        <w:rPr>
          <w:color w:val="000000" w:themeColor="text1"/>
        </w:rPr>
        <w:lastRenderedPageBreak/>
        <w:t xml:space="preserve">percentages for the time period evaluated.  Data collected was evaluated to assess provider compliance with the protocol and to determine improvement in provider performance over a 12-week period. </w:t>
      </w:r>
    </w:p>
    <w:p w14:paraId="081F9CDD" w14:textId="3DC03D8B" w:rsidR="00AF3592" w:rsidRPr="00F27663" w:rsidRDefault="00AF3592" w:rsidP="00AF3592">
      <w:pPr>
        <w:spacing w:after="160" w:line="480" w:lineRule="auto"/>
        <w:ind w:firstLine="720"/>
        <w:rPr>
          <w:color w:val="000000" w:themeColor="text1"/>
        </w:rPr>
      </w:pPr>
      <w:r w:rsidRPr="008B569A">
        <w:rPr>
          <w:b/>
          <w:bCs/>
          <w:color w:val="000000" w:themeColor="text1"/>
        </w:rPr>
        <w:t>Data management</w:t>
      </w:r>
      <w:r w:rsidRPr="008B569A">
        <w:rPr>
          <w:color w:val="000000" w:themeColor="text1"/>
        </w:rPr>
        <w:t>.  Data was collected on each provider through a combination of quality reports obtained through the EHR and weekly chart audits.</w:t>
      </w:r>
      <w:r w:rsidRPr="008B569A">
        <w:rPr>
          <w:bCs/>
          <w:color w:val="000000" w:themeColor="text1"/>
        </w:rPr>
        <w:t xml:space="preserve">  Each week the project site provided daily reports identifying patients with a diagnosis of MS that were seen by the three providers.  </w:t>
      </w:r>
      <w:r w:rsidRPr="008B569A">
        <w:rPr>
          <w:color w:val="000000" w:themeColor="text1"/>
        </w:rPr>
        <w:t xml:space="preserve">These quality reports determined which </w:t>
      </w:r>
      <w:r w:rsidRPr="00933448">
        <w:rPr>
          <w:color w:val="000000" w:themeColor="text1"/>
        </w:rPr>
        <w:t>charts</w:t>
      </w:r>
      <w:r w:rsidR="00BE530C" w:rsidRPr="00933448">
        <w:rPr>
          <w:color w:val="000000" w:themeColor="text1"/>
        </w:rPr>
        <w:t xml:space="preserve"> were t</w:t>
      </w:r>
      <w:r w:rsidRPr="00933448">
        <w:rPr>
          <w:color w:val="000000" w:themeColor="text1"/>
        </w:rPr>
        <w:t>o be reviewed</w:t>
      </w:r>
      <w:r w:rsidR="00BE530C" w:rsidRPr="00933448">
        <w:rPr>
          <w:color w:val="000000" w:themeColor="text1"/>
        </w:rPr>
        <w:t>. T</w:t>
      </w:r>
      <w:r w:rsidRPr="00933448">
        <w:rPr>
          <w:color w:val="000000" w:themeColor="text1"/>
        </w:rPr>
        <w:t>he quality reports were shredded upon completion</w:t>
      </w:r>
      <w:r w:rsidRPr="00A37891">
        <w:rPr>
          <w:color w:val="000000" w:themeColor="text1"/>
        </w:rPr>
        <w:t xml:space="preserve"> of the chart review and count obtainment. No identifyi</w:t>
      </w:r>
      <w:r w:rsidRPr="004B2DA2">
        <w:rPr>
          <w:color w:val="000000" w:themeColor="text1"/>
        </w:rPr>
        <w:t xml:space="preserve">ng information was collected on the check sheet. </w:t>
      </w:r>
      <w:r w:rsidRPr="008B569A">
        <w:rPr>
          <w:color w:val="000000" w:themeColor="text1"/>
        </w:rPr>
        <w:t xml:space="preserve"> Data collected </w:t>
      </w:r>
      <w:r w:rsidR="005A4AF4">
        <w:rPr>
          <w:color w:val="000000" w:themeColor="text1"/>
        </w:rPr>
        <w:t>were</w:t>
      </w:r>
      <w:r w:rsidR="005A4AF4" w:rsidRPr="008B569A">
        <w:rPr>
          <w:color w:val="000000" w:themeColor="text1"/>
        </w:rPr>
        <w:t xml:space="preserve"> entered</w:t>
      </w:r>
      <w:r w:rsidRPr="008B569A">
        <w:rPr>
          <w:color w:val="000000" w:themeColor="text1"/>
        </w:rPr>
        <w:t xml:space="preserve"> on an excel document</w:t>
      </w:r>
      <w:r>
        <w:rPr>
          <w:color w:val="000000" w:themeColor="text1"/>
        </w:rPr>
        <w:t xml:space="preserve"> and </w:t>
      </w:r>
      <w:r w:rsidRPr="00F27663">
        <w:rPr>
          <w:color w:val="000000" w:themeColor="text1"/>
        </w:rPr>
        <w:t>stored electronically</w:t>
      </w:r>
      <w:r>
        <w:rPr>
          <w:color w:val="000000" w:themeColor="text1"/>
        </w:rPr>
        <w:t xml:space="preserve"> </w:t>
      </w:r>
      <w:r>
        <w:t>on a password protected computer in locked office</w:t>
      </w:r>
      <w:r w:rsidRPr="00F27663">
        <w:rPr>
          <w:color w:val="000000" w:themeColor="text1"/>
        </w:rPr>
        <w:t xml:space="preserve">. A copy of the excel document check sheet was also stored on Microsoft OneDrive.  The providers were de-identified and coded as Provider One, Provider Two and Provider Three for displaying of outcome data.  </w:t>
      </w:r>
    </w:p>
    <w:p w14:paraId="49C294FF" w14:textId="6CE89583" w:rsidR="270DDC39" w:rsidRDefault="270DDC39" w:rsidP="270DDC39">
      <w:pPr>
        <w:spacing w:line="480" w:lineRule="auto"/>
        <w:rPr>
          <w:b/>
          <w:bCs/>
          <w:color w:val="000000" w:themeColor="text1"/>
        </w:rPr>
      </w:pPr>
      <w:r w:rsidRPr="270DDC39">
        <w:rPr>
          <w:b/>
          <w:bCs/>
          <w:color w:val="000000" w:themeColor="text1"/>
        </w:rPr>
        <w:t>Summary</w:t>
      </w:r>
    </w:p>
    <w:p w14:paraId="635C6D4D" w14:textId="77777777" w:rsidR="00AF3592" w:rsidRPr="00F27663" w:rsidRDefault="00AF3592" w:rsidP="00AF3592">
      <w:pPr>
        <w:spacing w:line="480" w:lineRule="auto"/>
        <w:ind w:firstLine="720"/>
        <w:rPr>
          <w:color w:val="000000" w:themeColor="text1"/>
        </w:rPr>
      </w:pPr>
      <w:r w:rsidRPr="00F27663">
        <w:rPr>
          <w:color w:val="000000" w:themeColor="text1"/>
        </w:rPr>
        <w:t xml:space="preserve">The tools and resources for implementation were identified and plans for successful implementation were outlined.   As each of the pre-implementation components has been addressed, the project could now proceed to the implementation stage.  </w:t>
      </w:r>
    </w:p>
    <w:p w14:paraId="6BDA1CBB" w14:textId="77777777" w:rsidR="00AF3592" w:rsidRDefault="00AF3592" w:rsidP="00AF3592">
      <w:pPr>
        <w:rPr>
          <w:b/>
          <w:color w:val="000000" w:themeColor="text1"/>
        </w:rPr>
      </w:pPr>
      <w:r>
        <w:rPr>
          <w:b/>
          <w:color w:val="000000" w:themeColor="text1"/>
        </w:rPr>
        <w:br w:type="page"/>
      </w:r>
    </w:p>
    <w:p w14:paraId="048E5996" w14:textId="77777777" w:rsidR="00B95382" w:rsidRPr="001126C6" w:rsidRDefault="00B95382" w:rsidP="00B95382">
      <w:pPr>
        <w:pStyle w:val="APA"/>
        <w:ind w:firstLine="0"/>
        <w:jc w:val="center"/>
        <w:rPr>
          <w:b/>
          <w:color w:val="000000" w:themeColor="text1"/>
          <w:szCs w:val="24"/>
        </w:rPr>
      </w:pPr>
      <w:r w:rsidRPr="00F27663">
        <w:rPr>
          <w:b/>
          <w:color w:val="000000" w:themeColor="text1"/>
          <w:szCs w:val="24"/>
        </w:rPr>
        <w:lastRenderedPageBreak/>
        <w:t>Chapter Five: Implementation Process</w:t>
      </w:r>
    </w:p>
    <w:p w14:paraId="640F71A8" w14:textId="77777777" w:rsidR="00B95382" w:rsidRPr="00F27663" w:rsidRDefault="00B95382" w:rsidP="00B95382">
      <w:pPr>
        <w:pStyle w:val="APA"/>
        <w:rPr>
          <w:b/>
          <w:color w:val="000000" w:themeColor="text1"/>
          <w:szCs w:val="24"/>
        </w:rPr>
      </w:pPr>
      <w:r>
        <w:t xml:space="preserve">This chapter describes the implementation of the evidenced based quality improvement project. The setting, participants involved, and the recruitment process are described.  The implementation process is reviewed and variations in the plan are explained.   </w:t>
      </w:r>
    </w:p>
    <w:p w14:paraId="3F8833A4" w14:textId="77777777" w:rsidR="00B95382" w:rsidRPr="00F27663" w:rsidRDefault="00B95382" w:rsidP="00B95382">
      <w:pPr>
        <w:pStyle w:val="APA"/>
        <w:ind w:firstLine="0"/>
        <w:rPr>
          <w:b/>
          <w:color w:val="000000" w:themeColor="text1"/>
          <w:szCs w:val="24"/>
        </w:rPr>
      </w:pPr>
      <w:r w:rsidRPr="00F27663">
        <w:rPr>
          <w:b/>
          <w:color w:val="000000" w:themeColor="text1"/>
          <w:szCs w:val="24"/>
        </w:rPr>
        <w:t>Setting</w:t>
      </w:r>
    </w:p>
    <w:p w14:paraId="6731ECD9" w14:textId="77777777" w:rsidR="00B95382" w:rsidRPr="00933448" w:rsidRDefault="00B95382" w:rsidP="00B95382">
      <w:pPr>
        <w:pStyle w:val="APA"/>
        <w:ind w:firstLine="0"/>
        <w:rPr>
          <w:color w:val="000000" w:themeColor="text1"/>
        </w:rPr>
      </w:pPr>
      <w:r w:rsidRPr="00F27663">
        <w:rPr>
          <w:b/>
          <w:color w:val="000000" w:themeColor="text1"/>
          <w:szCs w:val="24"/>
        </w:rPr>
        <w:tab/>
      </w:r>
      <w:r w:rsidRPr="02BE99E2">
        <w:rPr>
          <w:color w:val="000000" w:themeColor="text1"/>
        </w:rPr>
        <w:t xml:space="preserve">A neurology specialty clinic in a large metropolitan area was chosen as the setting for various reasons. First, the clinic provides sub-specialty care with a MS subspecialty clinic for a large population of MS patients.  The need for intervention at this location was evident by the absence of a </w:t>
      </w:r>
      <w:r w:rsidRPr="02BE99E2">
        <w:rPr>
          <w:color w:val="333333"/>
        </w:rPr>
        <w:t>protocol for standardized vitamin D screening or supplementation for MS patients at the MS clinic</w:t>
      </w:r>
      <w:r w:rsidRPr="02BE99E2">
        <w:rPr>
          <w:color w:val="000000" w:themeColor="text1"/>
        </w:rPr>
        <w:t xml:space="preserve">.  </w:t>
      </w:r>
      <w:r w:rsidRPr="00933448">
        <w:rPr>
          <w:color w:val="000000" w:themeColor="text1"/>
        </w:rPr>
        <w:t>The MS clinic saw 925 multiple sclerosis patients from September to December 2018</w:t>
      </w:r>
      <w:r w:rsidRPr="00210C6D">
        <w:rPr>
          <w:color w:val="000000" w:themeColor="text1"/>
        </w:rPr>
        <w:t>; of those patients only 173 (18.7%) received vitamin D test orders for completion.</w:t>
      </w:r>
    </w:p>
    <w:p w14:paraId="01582B9C" w14:textId="77777777" w:rsidR="00B95382" w:rsidRPr="00A37891" w:rsidRDefault="00B95382" w:rsidP="00B95382">
      <w:pPr>
        <w:pStyle w:val="APA"/>
        <w:ind w:firstLine="0"/>
        <w:rPr>
          <w:b/>
          <w:color w:val="000000" w:themeColor="text1"/>
          <w:szCs w:val="24"/>
        </w:rPr>
      </w:pPr>
      <w:r w:rsidRPr="00A37891">
        <w:rPr>
          <w:b/>
          <w:color w:val="000000" w:themeColor="text1"/>
          <w:szCs w:val="24"/>
        </w:rPr>
        <w:t>Participants</w:t>
      </w:r>
    </w:p>
    <w:p w14:paraId="2E8DACEE" w14:textId="77777777" w:rsidR="00B95382" w:rsidRPr="00A37891" w:rsidRDefault="00B95382" w:rsidP="00B95382">
      <w:pPr>
        <w:pStyle w:val="APA"/>
        <w:rPr>
          <w:color w:val="000000" w:themeColor="text1"/>
        </w:rPr>
      </w:pPr>
      <w:r w:rsidRPr="008B569A">
        <w:rPr>
          <w:color w:val="000000" w:themeColor="text1"/>
        </w:rPr>
        <w:t xml:space="preserve">The participants </w:t>
      </w:r>
      <w:r w:rsidRPr="00933448">
        <w:rPr>
          <w:color w:val="000000" w:themeColor="text1"/>
        </w:rPr>
        <w:t xml:space="preserve">included the MS clinic staff members.  </w:t>
      </w:r>
      <w:r w:rsidRPr="00210C6D">
        <w:rPr>
          <w:color w:val="000000" w:themeColor="text1"/>
        </w:rPr>
        <w:t>The providers and clinic staff consisted of two medical doctors, one family nurse practitioner, two nurses, one medical assistant, and one certified medical scribe.</w:t>
      </w:r>
      <w:r w:rsidRPr="00933448">
        <w:rPr>
          <w:color w:val="000000" w:themeColor="text1"/>
        </w:rPr>
        <w:t xml:space="preserve">  Each were educated on the protocol for optimal implementation. This evidence-based protocol initiative was tailored</w:t>
      </w:r>
      <w:r w:rsidRPr="00933448">
        <w:rPr>
          <w:color w:val="000000" w:themeColor="text1"/>
          <w:szCs w:val="24"/>
        </w:rPr>
        <w:t xml:space="preserve"> </w:t>
      </w:r>
      <w:r w:rsidRPr="00933448">
        <w:rPr>
          <w:color w:val="000000" w:themeColor="text1"/>
        </w:rPr>
        <w:t xml:space="preserve">to the care of MS patients.  Population inclusion criteria included patients with a diagnosis of MS whom vitamin D testing had not been completed in the past year.  Exclusion criteria included patients without a diagnosis of MS or patients with a diagnosis of MS whom had vitamin D testing completed in the past year. </w:t>
      </w:r>
    </w:p>
    <w:p w14:paraId="0C2FF537" w14:textId="77777777" w:rsidR="00B95382" w:rsidRPr="008B569A" w:rsidRDefault="00B95382" w:rsidP="00B95382">
      <w:pPr>
        <w:pStyle w:val="APA"/>
        <w:ind w:firstLine="0"/>
        <w:rPr>
          <w:b/>
          <w:bCs/>
          <w:color w:val="000000" w:themeColor="text1"/>
        </w:rPr>
      </w:pPr>
      <w:r w:rsidRPr="008B569A">
        <w:rPr>
          <w:b/>
          <w:bCs/>
          <w:color w:val="000000" w:themeColor="text1"/>
        </w:rPr>
        <w:t>Recruitment</w:t>
      </w:r>
    </w:p>
    <w:p w14:paraId="26DEFA4A" w14:textId="5CABE9FC" w:rsidR="00B95382" w:rsidRPr="00FF0403" w:rsidRDefault="00B95382" w:rsidP="00B95382">
      <w:pPr>
        <w:pStyle w:val="APA"/>
        <w:rPr>
          <w:color w:val="000000" w:themeColor="text1"/>
        </w:rPr>
      </w:pPr>
      <w:r w:rsidRPr="00933448">
        <w:rPr>
          <w:color w:val="000000" w:themeColor="text1"/>
        </w:rPr>
        <w:t xml:space="preserve">Providers and staff were recruited from the MS sub-specialty clinic.  These staff members were chosen as majority of their patient population consisted of MS patients whom they provided </w:t>
      </w:r>
      <w:r w:rsidRPr="00933448">
        <w:rPr>
          <w:color w:val="000000" w:themeColor="text1"/>
        </w:rPr>
        <w:lastRenderedPageBreak/>
        <w:t xml:space="preserve">care and treatment management and </w:t>
      </w:r>
      <w:r>
        <w:rPr>
          <w:color w:val="000000" w:themeColor="text1"/>
        </w:rPr>
        <w:t xml:space="preserve">the absence of </w:t>
      </w:r>
      <w:r w:rsidRPr="00933448">
        <w:rPr>
          <w:color w:val="000000" w:themeColor="text1"/>
        </w:rPr>
        <w:t xml:space="preserve">a standardized approach for assessing vitamin D status or supplementation within the clinic.  Due to their direct patient care with the MS patients, providers and members of their support staff team including nurses, medical assistant, and certified medical scribes were also included.  The mutual goal of patient focused, and quality driven care affirmed the </w:t>
      </w:r>
      <w:r w:rsidR="00BA4D0A" w:rsidRPr="00933448">
        <w:rPr>
          <w:color w:val="000000" w:themeColor="text1"/>
        </w:rPr>
        <w:t>provider’s</w:t>
      </w:r>
      <w:r w:rsidRPr="00933448">
        <w:rPr>
          <w:color w:val="000000" w:themeColor="text1"/>
        </w:rPr>
        <w:t xml:space="preserve"> stake in the initiative.  The support staff participation buy in was largely endorsed by the support from the providers and director of strategic initiative.</w:t>
      </w:r>
      <w:r w:rsidRPr="270DDC39">
        <w:rPr>
          <w:color w:val="000000" w:themeColor="text1"/>
        </w:rPr>
        <w:t xml:space="preserve">  </w:t>
      </w:r>
    </w:p>
    <w:p w14:paraId="5334A6A9" w14:textId="77777777" w:rsidR="00B95382" w:rsidRPr="00933448" w:rsidRDefault="00B95382" w:rsidP="00B95382">
      <w:pPr>
        <w:pStyle w:val="APA"/>
        <w:rPr>
          <w:color w:val="000000" w:themeColor="text1"/>
        </w:rPr>
      </w:pPr>
      <w:r w:rsidRPr="00933448">
        <w:rPr>
          <w:color w:val="000000" w:themeColor="text1"/>
        </w:rPr>
        <w:t xml:space="preserve">The provider responsible for the patient's care in addition to their certified medical scribe specialist determined appropriate patients who met criteria for testing per the protocol during each patient visit. Furthermore, the responsible provider, certified medical scribe specialist, nurse, and or medical assistance had the ability to identify patients who met criteria for supplementation per the protocol guidelines.  A list was provided by project site for patient chart review. </w:t>
      </w:r>
    </w:p>
    <w:p w14:paraId="25EA8550" w14:textId="77777777" w:rsidR="00B95382" w:rsidRPr="004B2DA2" w:rsidRDefault="00B95382" w:rsidP="00B95382">
      <w:pPr>
        <w:pStyle w:val="APA"/>
        <w:ind w:firstLine="0"/>
        <w:rPr>
          <w:b/>
          <w:color w:val="000000" w:themeColor="text1"/>
          <w:szCs w:val="24"/>
        </w:rPr>
      </w:pPr>
      <w:r w:rsidRPr="00A37891">
        <w:rPr>
          <w:b/>
          <w:color w:val="000000" w:themeColor="text1"/>
          <w:szCs w:val="24"/>
        </w:rPr>
        <w:t>Implementation Process</w:t>
      </w:r>
      <w:r w:rsidRPr="00A37891">
        <w:rPr>
          <w:color w:val="000000" w:themeColor="text1"/>
          <w:szCs w:val="24"/>
        </w:rPr>
        <w:t xml:space="preserve"> </w:t>
      </w:r>
    </w:p>
    <w:p w14:paraId="31091D0A" w14:textId="77777777" w:rsidR="00B95382" w:rsidRPr="00733647" w:rsidRDefault="00B95382" w:rsidP="00B95382">
      <w:pPr>
        <w:spacing w:line="480" w:lineRule="auto"/>
        <w:ind w:firstLine="720"/>
        <w:rPr>
          <w:color w:val="000000" w:themeColor="text1"/>
        </w:rPr>
      </w:pPr>
      <w:r w:rsidRPr="008B569A">
        <w:rPr>
          <w:color w:val="000000" w:themeColor="text1"/>
        </w:rPr>
        <w:t xml:space="preserve">Education was </w:t>
      </w:r>
      <w:r w:rsidRPr="00933448">
        <w:rPr>
          <w:color w:val="000000" w:themeColor="text1"/>
        </w:rPr>
        <w:t>initially provided to the three MS clinic providers regarding current evidence-based findings and review of the draft protocol. A protocol was finalized upon provider agreement of the value for definition of vitamin D deficiency and subsequent recommended supplementation dosing based upon the serum vitamin D levels. This protocol served as an evidenced based guide for laboratory test ordering, monitoring, and supplementation within the EHR physician order entry system.  The providers were re-educated on the protocol prior to the 12-week implementation period and during the review sessions every four weeks.</w:t>
      </w:r>
      <w:r w:rsidRPr="270DDC39">
        <w:rPr>
          <w:color w:val="000000" w:themeColor="text1"/>
        </w:rPr>
        <w:t xml:space="preserve"> </w:t>
      </w:r>
    </w:p>
    <w:p w14:paraId="45ABCD58" w14:textId="77777777" w:rsidR="00B95382" w:rsidRPr="00F27663" w:rsidRDefault="00B95382" w:rsidP="00B95382">
      <w:pPr>
        <w:pStyle w:val="APA"/>
        <w:rPr>
          <w:color w:val="000000" w:themeColor="text1"/>
        </w:rPr>
      </w:pPr>
      <w:r w:rsidRPr="02BE99E2">
        <w:rPr>
          <w:color w:val="000000" w:themeColor="text1"/>
        </w:rPr>
        <w:t xml:space="preserve">  </w:t>
      </w:r>
      <w:r w:rsidRPr="00933448">
        <w:rPr>
          <w:color w:val="000000" w:themeColor="text1"/>
        </w:rPr>
        <w:t xml:space="preserve">The providers and clinical staff were educated, via one on one meetings, on the use of the protocol as well as the use of the educational materials which were made available.  </w:t>
      </w:r>
      <w:r w:rsidRPr="00210C6D">
        <w:rPr>
          <w:color w:val="000000" w:themeColor="text1"/>
        </w:rPr>
        <w:lastRenderedPageBreak/>
        <w:t>Informational handouts were made available as a patient education resource from the Vitamin D Council regarding vitamin D, testing, and needs (see Appendix G). Provider performance and compliance with the protocol were assessed throughout the 12 weeks through weekly chart review.</w:t>
      </w:r>
      <w:r w:rsidRPr="00933448">
        <w:rPr>
          <w:color w:val="000000" w:themeColor="text1"/>
        </w:rPr>
        <w:t xml:space="preserve">  Outcomes were evaluated weekly and feedback was provided to the providers every four weeks. The process underwent continual evaluation to identify potential barriers to providers’ success with compliance.  Resources and strengths were reassessed to determine any necessary strategies to overcome barriers. Evaluation for any necessary changes to the protocol </w:t>
      </w:r>
      <w:r>
        <w:rPr>
          <w:color w:val="000000" w:themeColor="text1"/>
        </w:rPr>
        <w:t xml:space="preserve">were </w:t>
      </w:r>
      <w:r w:rsidRPr="00933448">
        <w:rPr>
          <w:color w:val="000000" w:themeColor="text1"/>
        </w:rPr>
        <w:t>completed during the reviews with follow up meetings with the providers and staff.</w:t>
      </w:r>
      <w:r>
        <w:rPr>
          <w:color w:val="000000" w:themeColor="text1"/>
        </w:rPr>
        <w:t xml:space="preserve">  </w:t>
      </w:r>
    </w:p>
    <w:p w14:paraId="6AF17219" w14:textId="77777777" w:rsidR="00B95382" w:rsidRPr="003F688C" w:rsidRDefault="00B95382" w:rsidP="00B95382">
      <w:pPr>
        <w:pStyle w:val="APA"/>
        <w:ind w:firstLine="0"/>
        <w:contextualSpacing/>
        <w:rPr>
          <w:b/>
          <w:bCs/>
          <w:color w:val="000000" w:themeColor="text1"/>
        </w:rPr>
      </w:pPr>
      <w:r w:rsidRPr="270DDC39">
        <w:rPr>
          <w:b/>
          <w:bCs/>
          <w:color w:val="000000" w:themeColor="text1"/>
        </w:rPr>
        <w:t xml:space="preserve">Plan Variation </w:t>
      </w:r>
    </w:p>
    <w:p w14:paraId="4BB30DB6" w14:textId="3B31B1FC" w:rsidR="00B95382" w:rsidRPr="00933448" w:rsidRDefault="00B95382" w:rsidP="00B95382">
      <w:pPr>
        <w:pStyle w:val="APA"/>
        <w:rPr>
          <w:color w:val="000000" w:themeColor="text1"/>
        </w:rPr>
      </w:pPr>
      <w:r w:rsidRPr="00210C6D">
        <w:rPr>
          <w:color w:val="000000" w:themeColor="text1"/>
        </w:rPr>
        <w:t xml:space="preserve">During week seven, there was an unforeseen issue with the site’s EHR which resulted in the EHR unexpectedly not being available, with the system being down, data was unable to be collected during this time.  Given the interruption in ability to evaluate the improvement for this week, the implementation period was extended by one week.  </w:t>
      </w:r>
      <w:r w:rsidRPr="00933448">
        <w:rPr>
          <w:color w:val="000000" w:themeColor="text1"/>
        </w:rPr>
        <w:t>Additionally, the vitamin D indicator alert within the EHR was affected when the system went down.  The providers noted that the indicator was no longer working.  This occurred during weeks 8-10.  The</w:t>
      </w:r>
      <w:r w:rsidR="00AE0879">
        <w:rPr>
          <w:color w:val="000000" w:themeColor="text1"/>
        </w:rPr>
        <w:t xml:space="preserve"> </w:t>
      </w:r>
      <w:r w:rsidR="00182C20">
        <w:rPr>
          <w:color w:val="000000" w:themeColor="text1"/>
        </w:rPr>
        <w:t>EHR staff</w:t>
      </w:r>
      <w:r w:rsidRPr="00933448">
        <w:rPr>
          <w:color w:val="000000" w:themeColor="text1"/>
        </w:rPr>
        <w:t xml:space="preserve"> were </w:t>
      </w:r>
      <w:r>
        <w:rPr>
          <w:color w:val="000000" w:themeColor="text1"/>
        </w:rPr>
        <w:t xml:space="preserve">notified </w:t>
      </w:r>
      <w:r w:rsidRPr="00933448">
        <w:rPr>
          <w:color w:val="000000" w:themeColor="text1"/>
        </w:rPr>
        <w:t xml:space="preserve">of the issue for further investigation and resolution.  The indicator’s function was restored for utilization for weeks 11 and 12. </w:t>
      </w:r>
    </w:p>
    <w:p w14:paraId="2F21D6DC" w14:textId="77777777" w:rsidR="00B95382" w:rsidRPr="00210C6D" w:rsidRDefault="00B95382" w:rsidP="00B95382">
      <w:pPr>
        <w:pStyle w:val="APA"/>
        <w:ind w:firstLine="0"/>
        <w:contextualSpacing/>
        <w:rPr>
          <w:b/>
          <w:bCs/>
          <w:color w:val="000000" w:themeColor="text1"/>
        </w:rPr>
      </w:pPr>
      <w:r w:rsidRPr="00210C6D">
        <w:rPr>
          <w:b/>
          <w:bCs/>
          <w:color w:val="000000" w:themeColor="text1"/>
        </w:rPr>
        <w:t>Summary</w:t>
      </w:r>
    </w:p>
    <w:p w14:paraId="0F66CC2C" w14:textId="77777777" w:rsidR="00B95382" w:rsidRDefault="00B95382" w:rsidP="00B95382">
      <w:pPr>
        <w:spacing w:line="480" w:lineRule="auto"/>
        <w:ind w:firstLine="720"/>
        <w:rPr>
          <w:b/>
          <w:bCs/>
          <w:color w:val="000000" w:themeColor="text1"/>
        </w:rPr>
      </w:pPr>
      <w:r w:rsidRPr="00210C6D">
        <w:rPr>
          <w:color w:val="000000" w:themeColor="text1"/>
        </w:rPr>
        <w:t xml:space="preserve">Once the setting and participants were defined and recruited, the implementation process was able to be initiated for data collection and evaluation.  The implementation of the project involved education, utilization of the vitamin D EHR indicator, and application of the protocol to practice for the providers.  Unforeseen technical difficulties arose; however, the implementation plan was adjusted accordingly for further evaluation.  </w:t>
      </w:r>
    </w:p>
    <w:p w14:paraId="62381774" w14:textId="75B35EFE" w:rsidR="00610AD2" w:rsidRPr="00B95382" w:rsidRDefault="01B5E863" w:rsidP="00B95382">
      <w:pPr>
        <w:spacing w:line="480" w:lineRule="auto"/>
        <w:ind w:firstLine="720"/>
        <w:jc w:val="center"/>
      </w:pPr>
      <w:r w:rsidRPr="01B5E863">
        <w:rPr>
          <w:rStyle w:val="normaltextrun"/>
          <w:b/>
          <w:bCs/>
        </w:rPr>
        <w:lastRenderedPageBreak/>
        <w:t>Chapter Six:  Evaluation of the Practice Change Initiative</w:t>
      </w:r>
    </w:p>
    <w:p w14:paraId="6CFC6219" w14:textId="11A41CA6" w:rsidR="01B5E863" w:rsidRDefault="00BD320D" w:rsidP="01B5E863">
      <w:pPr>
        <w:pStyle w:val="paragraph"/>
        <w:spacing w:before="0" w:beforeAutospacing="0" w:after="0" w:afterAutospacing="0" w:line="480" w:lineRule="auto"/>
        <w:ind w:firstLine="720"/>
      </w:pPr>
      <w:r>
        <w:rPr>
          <w:rStyle w:val="normaltextrun"/>
        </w:rPr>
        <w:t>Weekly c</w:t>
      </w:r>
      <w:r w:rsidR="01B5E863" w:rsidRPr="01B5E863">
        <w:rPr>
          <w:rStyle w:val="normaltextrun"/>
        </w:rPr>
        <w:t xml:space="preserve">hart auditing was conducted for the 12 weeks of the implementation period for data collection.  </w:t>
      </w:r>
      <w:r>
        <w:rPr>
          <w:rStyle w:val="normaltextrun"/>
        </w:rPr>
        <w:t xml:space="preserve">Data collected </w:t>
      </w:r>
      <w:r w:rsidR="01B5E863" w:rsidRPr="01B5E863">
        <w:rPr>
          <w:rStyle w:val="normaltextrun"/>
        </w:rPr>
        <w:t>for analysis of outcomes and identification of strategies for future application</w:t>
      </w:r>
      <w:r>
        <w:rPr>
          <w:rStyle w:val="normaltextrun"/>
        </w:rPr>
        <w:t xml:space="preserve"> will be discussed in this chapter</w:t>
      </w:r>
      <w:r w:rsidR="01B5E863" w:rsidRPr="01B5E863">
        <w:rPr>
          <w:rStyle w:val="normaltextrun"/>
        </w:rPr>
        <w:t xml:space="preserve">.  </w:t>
      </w:r>
    </w:p>
    <w:p w14:paraId="23145FED" w14:textId="77777777" w:rsidR="00610AD2" w:rsidRDefault="01B5E863" w:rsidP="01B5E863">
      <w:pPr>
        <w:pStyle w:val="paragraph"/>
        <w:spacing w:before="0" w:beforeAutospacing="0" w:after="0" w:afterAutospacing="0" w:line="480" w:lineRule="auto"/>
        <w:textAlignment w:val="baseline"/>
        <w:rPr>
          <w:rFonts w:ascii="Segoe UI" w:hAnsi="Segoe UI" w:cs="Segoe UI"/>
          <w:sz w:val="18"/>
          <w:szCs w:val="18"/>
        </w:rPr>
      </w:pPr>
      <w:r w:rsidRPr="01B5E863">
        <w:rPr>
          <w:rStyle w:val="normaltextrun"/>
          <w:b/>
          <w:bCs/>
        </w:rPr>
        <w:t>Participant Demographics</w:t>
      </w:r>
      <w:r w:rsidRPr="01B5E863">
        <w:rPr>
          <w:rStyle w:val="eop"/>
        </w:rPr>
        <w:t> </w:t>
      </w:r>
    </w:p>
    <w:p w14:paraId="4EF19B3E" w14:textId="2B2E345A" w:rsidR="007F5BB1" w:rsidRDefault="007F5BB1" w:rsidP="007F5BB1">
      <w:pPr>
        <w:pStyle w:val="paragraph"/>
        <w:spacing w:before="0" w:beforeAutospacing="0" w:after="0" w:afterAutospacing="0" w:line="480" w:lineRule="auto"/>
        <w:ind w:firstLine="720"/>
        <w:rPr>
          <w:rStyle w:val="eop"/>
        </w:rPr>
      </w:pPr>
      <w:r w:rsidRPr="01B5E863">
        <w:rPr>
          <w:rStyle w:val="eop"/>
        </w:rPr>
        <w:t>The providers consisted of two physicians and one nurse practitioner.</w:t>
      </w:r>
      <w:r>
        <w:rPr>
          <w:rStyle w:val="eop"/>
        </w:rPr>
        <w:t xml:space="preserve">  </w:t>
      </w:r>
      <w:r w:rsidRPr="01B5E863">
        <w:rPr>
          <w:rStyle w:val="eop"/>
        </w:rPr>
        <w:t xml:space="preserve">  </w:t>
      </w:r>
      <w:r>
        <w:rPr>
          <w:rStyle w:val="eop"/>
        </w:rPr>
        <w:t xml:space="preserve">The three providers were MS subspecialist providing care within a MS clinic in a large metropolitan area.  The providers had more than 50 years of combined experience in caring for patients with neurological diseases.  Two of the </w:t>
      </w:r>
      <w:r w:rsidR="00BA4D0A">
        <w:rPr>
          <w:rStyle w:val="eop"/>
        </w:rPr>
        <w:t>provider’s</w:t>
      </w:r>
      <w:r>
        <w:rPr>
          <w:rStyle w:val="eop"/>
        </w:rPr>
        <w:t xml:space="preserve"> regular clinic schedule were Monday, Thursday, and Friday, whereas the other provider’s schedule was Monday through Friday.  Throughout the implementation period there were 19 days where a provider was out of office.  </w:t>
      </w:r>
    </w:p>
    <w:p w14:paraId="25DD8AE4" w14:textId="77777777" w:rsidR="007F5BB1" w:rsidRDefault="007F5BB1" w:rsidP="007F5BB1">
      <w:pPr>
        <w:pStyle w:val="paragraph"/>
        <w:spacing w:before="0" w:beforeAutospacing="0" w:after="0" w:afterAutospacing="0" w:line="480" w:lineRule="auto"/>
        <w:ind w:firstLine="720"/>
        <w:rPr>
          <w:rStyle w:val="eop"/>
        </w:rPr>
      </w:pPr>
      <w:r>
        <w:rPr>
          <w:rStyle w:val="eop"/>
        </w:rPr>
        <w:t xml:space="preserve">The population comprised of patients under the care of the three providers for the diagnosis of MS seen in office from January to April 2019.  A total of </w:t>
      </w:r>
      <w:r>
        <w:rPr>
          <w:color w:val="000000" w:themeColor="text1"/>
        </w:rPr>
        <w:t>726</w:t>
      </w:r>
      <w:r w:rsidRPr="02BE99E2">
        <w:rPr>
          <w:color w:val="000000" w:themeColor="text1"/>
        </w:rPr>
        <w:t xml:space="preserve"> multiple sclerosis patients</w:t>
      </w:r>
      <w:r>
        <w:rPr>
          <w:color w:val="000000" w:themeColor="text1"/>
        </w:rPr>
        <w:t xml:space="preserve"> were seen in the clinic</w:t>
      </w:r>
      <w:r w:rsidRPr="02BE99E2">
        <w:rPr>
          <w:color w:val="000000" w:themeColor="text1"/>
        </w:rPr>
        <w:t xml:space="preserve"> </w:t>
      </w:r>
      <w:r>
        <w:rPr>
          <w:color w:val="000000" w:themeColor="text1"/>
        </w:rPr>
        <w:t xml:space="preserve">during this time.  </w:t>
      </w:r>
    </w:p>
    <w:p w14:paraId="1B5C9AC8" w14:textId="77777777" w:rsidR="00610AD2" w:rsidRDefault="01B5E863" w:rsidP="01B5E863">
      <w:pPr>
        <w:pStyle w:val="paragraph"/>
        <w:spacing w:before="0" w:beforeAutospacing="0" w:after="0" w:afterAutospacing="0" w:line="480" w:lineRule="auto"/>
        <w:textAlignment w:val="baseline"/>
        <w:rPr>
          <w:rFonts w:ascii="Segoe UI" w:hAnsi="Segoe UI" w:cs="Segoe UI"/>
          <w:sz w:val="18"/>
          <w:szCs w:val="18"/>
        </w:rPr>
      </w:pPr>
      <w:r w:rsidRPr="01B5E863">
        <w:rPr>
          <w:rStyle w:val="normaltextrun"/>
          <w:b/>
          <w:bCs/>
        </w:rPr>
        <w:t>Intended Outcome(s)</w:t>
      </w:r>
      <w:r w:rsidRPr="01B5E863">
        <w:rPr>
          <w:rStyle w:val="eop"/>
        </w:rPr>
        <w:t> </w:t>
      </w:r>
    </w:p>
    <w:p w14:paraId="788B672C" w14:textId="32F752AA" w:rsidR="007F5BB1" w:rsidRDefault="007F5BB1" w:rsidP="007F5BB1">
      <w:pPr>
        <w:spacing w:line="480" w:lineRule="auto"/>
        <w:ind w:firstLine="720"/>
        <w:textAlignment w:val="baseline"/>
      </w:pPr>
      <w:r w:rsidRPr="743CB264">
        <w:rPr>
          <w:rStyle w:val="eop"/>
        </w:rPr>
        <w:t xml:space="preserve">The objective </w:t>
      </w:r>
      <w:r w:rsidR="002C02BA">
        <w:rPr>
          <w:rStyle w:val="eop"/>
        </w:rPr>
        <w:t xml:space="preserve">of the project </w:t>
      </w:r>
      <w:r w:rsidRPr="743CB264">
        <w:rPr>
          <w:rStyle w:val="eop"/>
        </w:rPr>
        <w:t>was</w:t>
      </w:r>
      <w:r>
        <w:rPr>
          <w:rStyle w:val="eop"/>
        </w:rPr>
        <w:t xml:space="preserve"> </w:t>
      </w:r>
      <w:r w:rsidRPr="743CB264">
        <w:rPr>
          <w:rStyle w:val="eop"/>
        </w:rPr>
        <w:t xml:space="preserve">to implement a routine screening and supplementation protocol to achieve adherence to evidence-based practice and standardization of patient care coordination for reduction in undetected and untreated vitamin D deficiencies. </w:t>
      </w:r>
      <w:r w:rsidRPr="743CB264">
        <w:t xml:space="preserve">Ensuring MS patients have adequate vitamin D levels optimizes patient quality and decreases harmful complications associated vitamin D deficiency such as possible disease progression, disability, diminished health related quality of life, and increased health care resource utilization and cost (long term goal). </w:t>
      </w:r>
    </w:p>
    <w:p w14:paraId="704FCA4B" w14:textId="77777777" w:rsidR="00B03AF3" w:rsidRDefault="00B03AF3">
      <w:pPr>
        <w:rPr>
          <w:rStyle w:val="normaltextrun"/>
          <w:b/>
          <w:bCs/>
        </w:rPr>
      </w:pPr>
      <w:r>
        <w:rPr>
          <w:rStyle w:val="normaltextrun"/>
          <w:b/>
          <w:bCs/>
        </w:rPr>
        <w:br w:type="page"/>
      </w:r>
    </w:p>
    <w:p w14:paraId="111C3206" w14:textId="29BDC588" w:rsidR="00610AD2" w:rsidRDefault="01B5E863" w:rsidP="01B5E863">
      <w:pPr>
        <w:pStyle w:val="paragraph"/>
        <w:spacing w:before="0" w:beforeAutospacing="0" w:after="0" w:afterAutospacing="0" w:line="480" w:lineRule="auto"/>
        <w:textAlignment w:val="baseline"/>
        <w:rPr>
          <w:rStyle w:val="eop"/>
        </w:rPr>
      </w:pPr>
      <w:r w:rsidRPr="01B5E863">
        <w:rPr>
          <w:rStyle w:val="normaltextrun"/>
          <w:b/>
          <w:bCs/>
        </w:rPr>
        <w:lastRenderedPageBreak/>
        <w:t>Findings</w:t>
      </w:r>
      <w:r w:rsidRPr="01B5E863">
        <w:rPr>
          <w:rStyle w:val="eop"/>
        </w:rPr>
        <w:t> </w:t>
      </w:r>
    </w:p>
    <w:p w14:paraId="5D5657B7" w14:textId="77777777" w:rsidR="007F5BB1" w:rsidRDefault="007F5BB1" w:rsidP="007F5BB1">
      <w:pPr>
        <w:pStyle w:val="paragraph"/>
        <w:spacing w:before="0" w:beforeAutospacing="0" w:after="0" w:afterAutospacing="0" w:line="480" w:lineRule="auto"/>
        <w:ind w:firstLine="720"/>
        <w:textAlignment w:val="baseline"/>
        <w:rPr>
          <w:color w:val="000000" w:themeColor="text1"/>
        </w:rPr>
      </w:pPr>
      <w:r>
        <w:rPr>
          <w:color w:val="000000" w:themeColor="text1"/>
        </w:rPr>
        <w:t>Of the 726</w:t>
      </w:r>
      <w:r w:rsidRPr="02BE99E2">
        <w:rPr>
          <w:color w:val="000000" w:themeColor="text1"/>
        </w:rPr>
        <w:t xml:space="preserve"> multiple sclerosis patients</w:t>
      </w:r>
      <w:r>
        <w:rPr>
          <w:color w:val="000000" w:themeColor="text1"/>
        </w:rPr>
        <w:t xml:space="preserve"> seen in the MS clinic</w:t>
      </w:r>
      <w:r w:rsidRPr="02BE99E2">
        <w:rPr>
          <w:color w:val="000000" w:themeColor="text1"/>
        </w:rPr>
        <w:t xml:space="preserve"> from </w:t>
      </w:r>
      <w:r>
        <w:rPr>
          <w:color w:val="000000" w:themeColor="text1"/>
        </w:rPr>
        <w:t>January 7 through</w:t>
      </w:r>
      <w:r w:rsidRPr="02BE99E2">
        <w:rPr>
          <w:color w:val="000000" w:themeColor="text1"/>
        </w:rPr>
        <w:t xml:space="preserve"> </w:t>
      </w:r>
      <w:r>
        <w:rPr>
          <w:color w:val="000000" w:themeColor="text1"/>
        </w:rPr>
        <w:t>April</w:t>
      </w:r>
      <w:r w:rsidRPr="002A01F3">
        <w:rPr>
          <w:color w:val="000000" w:themeColor="text1"/>
        </w:rPr>
        <w:t xml:space="preserve"> </w:t>
      </w:r>
      <w:r>
        <w:rPr>
          <w:color w:val="000000" w:themeColor="text1"/>
        </w:rPr>
        <w:t>5,</w:t>
      </w:r>
      <w:r w:rsidRPr="002A01F3">
        <w:rPr>
          <w:color w:val="000000" w:themeColor="text1"/>
        </w:rPr>
        <w:t xml:space="preserve"> </w:t>
      </w:r>
      <w:r w:rsidRPr="02BE99E2">
        <w:rPr>
          <w:color w:val="000000" w:themeColor="text1"/>
        </w:rPr>
        <w:t>201</w:t>
      </w:r>
      <w:r>
        <w:rPr>
          <w:color w:val="000000" w:themeColor="text1"/>
        </w:rPr>
        <w:t>9</w:t>
      </w:r>
      <w:r w:rsidRPr="02BE99E2">
        <w:rPr>
          <w:color w:val="000000" w:themeColor="text1"/>
        </w:rPr>
        <w:t>; 1</w:t>
      </w:r>
      <w:r>
        <w:rPr>
          <w:color w:val="000000" w:themeColor="text1"/>
        </w:rPr>
        <w:t xml:space="preserve">51 </w:t>
      </w:r>
      <w:r w:rsidRPr="007D6DC0">
        <w:rPr>
          <w:color w:val="000000" w:themeColor="text1"/>
        </w:rPr>
        <w:t>(20.8%)</w:t>
      </w:r>
      <w:r w:rsidRPr="02BE99E2">
        <w:rPr>
          <w:color w:val="000000" w:themeColor="text1"/>
        </w:rPr>
        <w:t xml:space="preserve"> vitamin D tests were ordered for completion</w:t>
      </w:r>
      <w:r>
        <w:rPr>
          <w:color w:val="000000" w:themeColor="text1"/>
        </w:rPr>
        <w:t xml:space="preserve">.  This was an improvement from 18.7% completion in the previous four months. </w:t>
      </w:r>
    </w:p>
    <w:p w14:paraId="546FF865" w14:textId="7F21DEAC" w:rsidR="007F5BB1" w:rsidRDefault="007F5BB1" w:rsidP="007F5BB1">
      <w:pPr>
        <w:pStyle w:val="paragraph"/>
        <w:spacing w:before="0" w:beforeAutospacing="0" w:after="0" w:afterAutospacing="0" w:line="480" w:lineRule="auto"/>
        <w:ind w:firstLine="720"/>
        <w:textAlignment w:val="baseline"/>
        <w:rPr>
          <w:color w:val="000000" w:themeColor="text1"/>
        </w:rPr>
      </w:pPr>
      <w:r>
        <w:rPr>
          <w:color w:val="000000" w:themeColor="text1"/>
        </w:rPr>
        <w:t>There w</w:t>
      </w:r>
      <w:r w:rsidR="00A80F9B">
        <w:rPr>
          <w:color w:val="000000" w:themeColor="text1"/>
        </w:rPr>
        <w:t>ere</w:t>
      </w:r>
      <w:r>
        <w:rPr>
          <w:color w:val="000000" w:themeColor="text1"/>
        </w:rPr>
        <w:t xml:space="preserve"> a total of 333 (46%) patients out of the 726 MS patients whom a vitamin D order had not been placed in over a year.   There were</w:t>
      </w:r>
      <w:r w:rsidR="00B95382">
        <w:rPr>
          <w:rStyle w:val="CommentReference"/>
        </w:rPr>
        <w:t xml:space="preserve"> </w:t>
      </w:r>
      <w:r w:rsidR="00B95382">
        <w:rPr>
          <w:color w:val="000000" w:themeColor="text1"/>
        </w:rPr>
        <w:t>82</w:t>
      </w:r>
      <w:r>
        <w:rPr>
          <w:color w:val="000000" w:themeColor="text1"/>
        </w:rPr>
        <w:t xml:space="preserve"> (54%) vitamin D deficiencies identified and 62 (76%) vitamin D supplement prescriptions.    Table 1 displays an improvement seen in both the number of vitamin D orders placed and the number of high dose vitamin D prescriptions provided from weeks 1-4 to weeks 4-8.  There was a slight decrease in both the number of vitamin D orders placed and the number of high dose vitamin D prescriptions provided from weeks 4-8 to weeks 9-12, however these numbers were still </w:t>
      </w:r>
      <w:r w:rsidR="00A80F9B">
        <w:rPr>
          <w:color w:val="000000" w:themeColor="text1"/>
        </w:rPr>
        <w:t xml:space="preserve">an improvement </w:t>
      </w:r>
      <w:r>
        <w:rPr>
          <w:color w:val="000000" w:themeColor="text1"/>
        </w:rPr>
        <w:t xml:space="preserve">from the initial weeks 1-4.  </w:t>
      </w:r>
    </w:p>
    <w:p w14:paraId="669930A0" w14:textId="77777777" w:rsidR="007F5BB1" w:rsidRPr="00520262" w:rsidRDefault="007F5BB1" w:rsidP="007F5BB1">
      <w:pPr>
        <w:pStyle w:val="paragraph"/>
        <w:spacing w:before="0" w:beforeAutospacing="0" w:after="0" w:afterAutospacing="0" w:line="480" w:lineRule="auto"/>
        <w:textAlignment w:val="baseline"/>
        <w:rPr>
          <w:b/>
          <w:bCs/>
          <w:color w:val="000000" w:themeColor="text1"/>
          <w:u w:val="single"/>
        </w:rPr>
      </w:pPr>
      <w:r w:rsidRPr="00520262">
        <w:rPr>
          <w:b/>
          <w:bCs/>
          <w:color w:val="000000" w:themeColor="text1"/>
          <w:u w:val="single"/>
        </w:rPr>
        <w:t>Table 1: Patients Seen Without Vitamin D Order in Over a Year</w:t>
      </w:r>
    </w:p>
    <w:tbl>
      <w:tblPr>
        <w:tblStyle w:val="MediumShading2-Accent5"/>
        <w:tblW w:w="5000" w:type="pct"/>
        <w:tblLook w:val="0660" w:firstRow="1" w:lastRow="1" w:firstColumn="0" w:lastColumn="0" w:noHBand="1" w:noVBand="1"/>
      </w:tblPr>
      <w:tblGrid>
        <w:gridCol w:w="1872"/>
        <w:gridCol w:w="1872"/>
        <w:gridCol w:w="1872"/>
        <w:gridCol w:w="1872"/>
        <w:gridCol w:w="1872"/>
      </w:tblGrid>
      <w:tr w:rsidR="007F5BB1" w14:paraId="58FED845" w14:textId="77777777" w:rsidTr="00204E70">
        <w:trPr>
          <w:cnfStyle w:val="100000000000" w:firstRow="1" w:lastRow="0" w:firstColumn="0" w:lastColumn="0" w:oddVBand="0" w:evenVBand="0" w:oddHBand="0" w:evenHBand="0" w:firstRowFirstColumn="0" w:firstRowLastColumn="0" w:lastRowFirstColumn="0" w:lastRowLastColumn="0"/>
        </w:trPr>
        <w:tc>
          <w:tcPr>
            <w:tcW w:w="1000" w:type="pct"/>
            <w:noWrap/>
          </w:tcPr>
          <w:p w14:paraId="1DEB6695" w14:textId="77777777" w:rsidR="007F5BB1" w:rsidRDefault="007F5BB1" w:rsidP="00204E70">
            <w:r>
              <w:t>Time Period</w:t>
            </w:r>
          </w:p>
        </w:tc>
        <w:tc>
          <w:tcPr>
            <w:tcW w:w="1000" w:type="pct"/>
          </w:tcPr>
          <w:p w14:paraId="6ACB30A7" w14:textId="77777777" w:rsidR="007F5BB1" w:rsidRDefault="007F5BB1" w:rsidP="00204E70">
            <w:pPr>
              <w:rPr>
                <w:b w:val="0"/>
                <w:bCs w:val="0"/>
              </w:rPr>
            </w:pPr>
            <w:r>
              <w:t xml:space="preserve"># </w:t>
            </w:r>
            <w:proofErr w:type="spellStart"/>
            <w:r>
              <w:t>Pts</w:t>
            </w:r>
            <w:proofErr w:type="spellEnd"/>
            <w:r>
              <w:t xml:space="preserve"> w/o Vitamin D Lab</w:t>
            </w:r>
          </w:p>
          <w:p w14:paraId="10165E4C" w14:textId="77777777" w:rsidR="007F5BB1" w:rsidRDefault="007F5BB1" w:rsidP="00204E70">
            <w:pPr>
              <w:rPr>
                <w:b w:val="0"/>
                <w:bCs w:val="0"/>
              </w:rPr>
            </w:pPr>
          </w:p>
          <w:p w14:paraId="452C452D" w14:textId="77777777" w:rsidR="007F5BB1" w:rsidRDefault="007F5BB1" w:rsidP="00204E70">
            <w:pPr>
              <w:rPr>
                <w:b w:val="0"/>
                <w:bCs w:val="0"/>
              </w:rPr>
            </w:pPr>
          </w:p>
          <w:p w14:paraId="4E66B8B2" w14:textId="77777777" w:rsidR="007F5BB1" w:rsidRDefault="007F5BB1" w:rsidP="00204E70">
            <w:r>
              <w:t xml:space="preserve"> n </w:t>
            </w:r>
          </w:p>
        </w:tc>
        <w:tc>
          <w:tcPr>
            <w:tcW w:w="1000" w:type="pct"/>
          </w:tcPr>
          <w:p w14:paraId="55C86D56" w14:textId="77777777" w:rsidR="007F5BB1" w:rsidRDefault="007F5BB1" w:rsidP="00204E70">
            <w:pPr>
              <w:rPr>
                <w:b w:val="0"/>
                <w:bCs w:val="0"/>
              </w:rPr>
            </w:pPr>
            <w:r>
              <w:t># Vitamin D Orders Placed</w:t>
            </w:r>
          </w:p>
          <w:p w14:paraId="051772EF" w14:textId="77777777" w:rsidR="007F5BB1" w:rsidRDefault="007F5BB1" w:rsidP="00204E70">
            <w:pPr>
              <w:rPr>
                <w:b w:val="0"/>
                <w:bCs w:val="0"/>
              </w:rPr>
            </w:pPr>
          </w:p>
          <w:p w14:paraId="6FA0E382" w14:textId="77777777" w:rsidR="007F5BB1" w:rsidRDefault="007F5BB1" w:rsidP="00204E70">
            <w:pPr>
              <w:rPr>
                <w:b w:val="0"/>
                <w:bCs w:val="0"/>
              </w:rPr>
            </w:pPr>
          </w:p>
          <w:p w14:paraId="0A44E445" w14:textId="77777777" w:rsidR="007F5BB1" w:rsidRDefault="007F5BB1" w:rsidP="00204E70">
            <w:r>
              <w:t xml:space="preserve">   </w:t>
            </w:r>
            <w:proofErr w:type="gramStart"/>
            <w:r>
              <w:t>n</w:t>
            </w:r>
            <w:proofErr w:type="gramEnd"/>
            <w:r>
              <w:t xml:space="preserve">    (%)</w:t>
            </w:r>
          </w:p>
        </w:tc>
        <w:tc>
          <w:tcPr>
            <w:tcW w:w="1000" w:type="pct"/>
          </w:tcPr>
          <w:p w14:paraId="0FF5F03A" w14:textId="77777777" w:rsidR="007F5BB1" w:rsidRDefault="007F5BB1" w:rsidP="00204E70">
            <w:pPr>
              <w:rPr>
                <w:b w:val="0"/>
                <w:bCs w:val="0"/>
              </w:rPr>
            </w:pPr>
            <w:r>
              <w:t># Vitamin D Deficiencies</w:t>
            </w:r>
          </w:p>
          <w:p w14:paraId="690DADA5" w14:textId="77777777" w:rsidR="007F5BB1" w:rsidRDefault="007F5BB1" w:rsidP="00204E70">
            <w:pPr>
              <w:rPr>
                <w:b w:val="0"/>
                <w:bCs w:val="0"/>
              </w:rPr>
            </w:pPr>
          </w:p>
          <w:p w14:paraId="4CCB8535" w14:textId="77777777" w:rsidR="007F5BB1" w:rsidRDefault="007F5BB1" w:rsidP="00204E70">
            <w:pPr>
              <w:rPr>
                <w:b w:val="0"/>
                <w:bCs w:val="0"/>
              </w:rPr>
            </w:pPr>
          </w:p>
          <w:p w14:paraId="36C21C2B" w14:textId="77777777" w:rsidR="007F5BB1" w:rsidRDefault="007F5BB1" w:rsidP="00204E70">
            <w:r>
              <w:t xml:space="preserve">   </w:t>
            </w:r>
            <w:proofErr w:type="gramStart"/>
            <w:r>
              <w:t>n</w:t>
            </w:r>
            <w:proofErr w:type="gramEnd"/>
            <w:r>
              <w:t xml:space="preserve">   (%)</w:t>
            </w:r>
          </w:p>
        </w:tc>
        <w:tc>
          <w:tcPr>
            <w:tcW w:w="1000" w:type="pct"/>
          </w:tcPr>
          <w:p w14:paraId="4FBF7643" w14:textId="77777777" w:rsidR="007F5BB1" w:rsidRDefault="007F5BB1" w:rsidP="00204E70">
            <w:pPr>
              <w:rPr>
                <w:b w:val="0"/>
                <w:bCs w:val="0"/>
              </w:rPr>
            </w:pPr>
            <w:r>
              <w:t xml:space="preserve"># High Dose Vitamin D Prescriptions Provided </w:t>
            </w:r>
          </w:p>
          <w:p w14:paraId="7F28BD9B" w14:textId="77777777" w:rsidR="007F5BB1" w:rsidRDefault="007F5BB1" w:rsidP="00204E70">
            <w:r>
              <w:t xml:space="preserve">   </w:t>
            </w:r>
            <w:proofErr w:type="gramStart"/>
            <w:r>
              <w:t>n</w:t>
            </w:r>
            <w:proofErr w:type="gramEnd"/>
            <w:r>
              <w:t xml:space="preserve">   (%)</w:t>
            </w:r>
          </w:p>
        </w:tc>
      </w:tr>
      <w:tr w:rsidR="007F5BB1" w14:paraId="36DE5BDA" w14:textId="77777777" w:rsidTr="00204E70">
        <w:tc>
          <w:tcPr>
            <w:tcW w:w="1000" w:type="pct"/>
            <w:noWrap/>
          </w:tcPr>
          <w:p w14:paraId="43BBBDBC" w14:textId="77777777" w:rsidR="007F5BB1" w:rsidRDefault="007F5BB1" w:rsidP="00204E70">
            <w:r>
              <w:t>Weeks 1-4</w:t>
            </w:r>
          </w:p>
        </w:tc>
        <w:tc>
          <w:tcPr>
            <w:tcW w:w="1000" w:type="pct"/>
          </w:tcPr>
          <w:p w14:paraId="146ABA01" w14:textId="77777777" w:rsidR="007F5BB1" w:rsidRDefault="007F5BB1" w:rsidP="00204E70">
            <w:pPr>
              <w:pStyle w:val="DecimalAligned"/>
            </w:pPr>
            <w:r>
              <w:t>138</w:t>
            </w:r>
          </w:p>
        </w:tc>
        <w:tc>
          <w:tcPr>
            <w:tcW w:w="1000" w:type="pct"/>
          </w:tcPr>
          <w:p w14:paraId="5D6E70A2" w14:textId="77777777" w:rsidR="007F5BB1" w:rsidRDefault="007F5BB1" w:rsidP="00204E70">
            <w:pPr>
              <w:pStyle w:val="DecimalAligned"/>
            </w:pPr>
            <w:r>
              <w:t>47 (34%)</w:t>
            </w:r>
          </w:p>
        </w:tc>
        <w:tc>
          <w:tcPr>
            <w:tcW w:w="1000" w:type="pct"/>
          </w:tcPr>
          <w:p w14:paraId="70E3E07F" w14:textId="77777777" w:rsidR="007F5BB1" w:rsidRDefault="007F5BB1" w:rsidP="00204E70">
            <w:pPr>
              <w:pStyle w:val="DecimalAligned"/>
            </w:pPr>
            <w:r>
              <w:t>29 (62%)</w:t>
            </w:r>
          </w:p>
        </w:tc>
        <w:tc>
          <w:tcPr>
            <w:tcW w:w="1000" w:type="pct"/>
          </w:tcPr>
          <w:p w14:paraId="71286CAF" w14:textId="77777777" w:rsidR="007F5BB1" w:rsidRDefault="007F5BB1" w:rsidP="00204E70">
            <w:pPr>
              <w:pStyle w:val="DecimalAligned"/>
            </w:pPr>
            <w:r>
              <w:t>12 (41%)</w:t>
            </w:r>
          </w:p>
        </w:tc>
      </w:tr>
      <w:tr w:rsidR="007F5BB1" w14:paraId="79FBC624" w14:textId="77777777" w:rsidTr="00204E70">
        <w:tc>
          <w:tcPr>
            <w:tcW w:w="1000" w:type="pct"/>
            <w:noWrap/>
          </w:tcPr>
          <w:p w14:paraId="0B7691CA" w14:textId="77777777" w:rsidR="007F5BB1" w:rsidRDefault="007F5BB1" w:rsidP="00204E70">
            <w:r>
              <w:t>Weeks 5-8</w:t>
            </w:r>
          </w:p>
        </w:tc>
        <w:tc>
          <w:tcPr>
            <w:tcW w:w="1000" w:type="pct"/>
          </w:tcPr>
          <w:p w14:paraId="5EC3B2D2" w14:textId="77777777" w:rsidR="007F5BB1" w:rsidRDefault="007F5BB1" w:rsidP="00204E70">
            <w:pPr>
              <w:pStyle w:val="DecimalAligned"/>
            </w:pPr>
            <w:r>
              <w:t>131</w:t>
            </w:r>
          </w:p>
        </w:tc>
        <w:tc>
          <w:tcPr>
            <w:tcW w:w="1000" w:type="pct"/>
          </w:tcPr>
          <w:p w14:paraId="14B00439" w14:textId="77777777" w:rsidR="007F5BB1" w:rsidRDefault="007F5BB1" w:rsidP="00204E70">
            <w:pPr>
              <w:pStyle w:val="DecimalAligned"/>
            </w:pPr>
            <w:r>
              <w:t>73 (56%)</w:t>
            </w:r>
          </w:p>
        </w:tc>
        <w:tc>
          <w:tcPr>
            <w:tcW w:w="1000" w:type="pct"/>
          </w:tcPr>
          <w:p w14:paraId="3F9EC1B1" w14:textId="77777777" w:rsidR="007F5BB1" w:rsidRDefault="007F5BB1" w:rsidP="00204E70">
            <w:pPr>
              <w:pStyle w:val="DecimalAligned"/>
            </w:pPr>
            <w:r>
              <w:t>41 (56%)</w:t>
            </w:r>
          </w:p>
        </w:tc>
        <w:tc>
          <w:tcPr>
            <w:tcW w:w="1000" w:type="pct"/>
          </w:tcPr>
          <w:p w14:paraId="48798BFA" w14:textId="77777777" w:rsidR="007F5BB1" w:rsidRDefault="007F5BB1" w:rsidP="00204E70">
            <w:pPr>
              <w:pStyle w:val="DecimalAligned"/>
            </w:pPr>
            <w:r>
              <w:t>40 (98%)</w:t>
            </w:r>
          </w:p>
        </w:tc>
      </w:tr>
      <w:tr w:rsidR="007F5BB1" w14:paraId="34462381" w14:textId="77777777" w:rsidTr="00204E70">
        <w:tc>
          <w:tcPr>
            <w:tcW w:w="1000" w:type="pct"/>
            <w:noWrap/>
          </w:tcPr>
          <w:p w14:paraId="4AED487E" w14:textId="77777777" w:rsidR="007F5BB1" w:rsidRDefault="007F5BB1" w:rsidP="00204E70">
            <w:r>
              <w:t xml:space="preserve">Weeks 9-12 </w:t>
            </w:r>
          </w:p>
        </w:tc>
        <w:tc>
          <w:tcPr>
            <w:tcW w:w="1000" w:type="pct"/>
          </w:tcPr>
          <w:p w14:paraId="0C02D588" w14:textId="77777777" w:rsidR="007F5BB1" w:rsidRDefault="007F5BB1" w:rsidP="00204E70">
            <w:pPr>
              <w:pStyle w:val="DecimalAligned"/>
            </w:pPr>
            <w:r>
              <w:t>64</w:t>
            </w:r>
          </w:p>
        </w:tc>
        <w:tc>
          <w:tcPr>
            <w:tcW w:w="1000" w:type="pct"/>
          </w:tcPr>
          <w:p w14:paraId="63C66805" w14:textId="77777777" w:rsidR="007F5BB1" w:rsidRDefault="007F5BB1" w:rsidP="00204E70">
            <w:pPr>
              <w:pStyle w:val="DecimalAligned"/>
            </w:pPr>
            <w:r>
              <w:t>31 (48%)</w:t>
            </w:r>
          </w:p>
        </w:tc>
        <w:tc>
          <w:tcPr>
            <w:tcW w:w="1000" w:type="pct"/>
          </w:tcPr>
          <w:p w14:paraId="4D9168B3" w14:textId="77777777" w:rsidR="007F5BB1" w:rsidRDefault="007F5BB1" w:rsidP="00204E70">
            <w:pPr>
              <w:pStyle w:val="DecimalAligned"/>
            </w:pPr>
            <w:r>
              <w:t>12 (39%)</w:t>
            </w:r>
          </w:p>
        </w:tc>
        <w:tc>
          <w:tcPr>
            <w:tcW w:w="1000" w:type="pct"/>
          </w:tcPr>
          <w:p w14:paraId="5E6A6F8C" w14:textId="77777777" w:rsidR="007F5BB1" w:rsidRDefault="007F5BB1" w:rsidP="00204E70">
            <w:pPr>
              <w:pStyle w:val="DecimalAligned"/>
            </w:pPr>
            <w:r>
              <w:t>10 (83%)</w:t>
            </w:r>
          </w:p>
        </w:tc>
      </w:tr>
      <w:tr w:rsidR="007F5BB1" w14:paraId="5CD44C82" w14:textId="77777777" w:rsidTr="00204E70">
        <w:trPr>
          <w:cnfStyle w:val="010000000000" w:firstRow="0" w:lastRow="1" w:firstColumn="0" w:lastColumn="0" w:oddVBand="0" w:evenVBand="0" w:oddHBand="0" w:evenHBand="0" w:firstRowFirstColumn="0" w:firstRowLastColumn="0" w:lastRowFirstColumn="0" w:lastRowLastColumn="0"/>
        </w:trPr>
        <w:tc>
          <w:tcPr>
            <w:tcW w:w="1000" w:type="pct"/>
            <w:noWrap/>
          </w:tcPr>
          <w:p w14:paraId="01CCD6F2" w14:textId="77777777" w:rsidR="007F5BB1" w:rsidRDefault="007F5BB1" w:rsidP="00204E70">
            <w:r>
              <w:t>Total</w:t>
            </w:r>
          </w:p>
        </w:tc>
        <w:tc>
          <w:tcPr>
            <w:tcW w:w="1000" w:type="pct"/>
          </w:tcPr>
          <w:p w14:paraId="2A5EB58B" w14:textId="77777777" w:rsidR="007F5BB1" w:rsidRDefault="007F5BB1" w:rsidP="00204E70">
            <w:pPr>
              <w:pStyle w:val="DecimalAligned"/>
            </w:pPr>
            <w:r>
              <w:t>333</w:t>
            </w:r>
          </w:p>
        </w:tc>
        <w:tc>
          <w:tcPr>
            <w:tcW w:w="1000" w:type="pct"/>
          </w:tcPr>
          <w:p w14:paraId="0E674EBF" w14:textId="77777777" w:rsidR="007F5BB1" w:rsidRDefault="007F5BB1" w:rsidP="00204E70">
            <w:pPr>
              <w:pStyle w:val="DecimalAligned"/>
            </w:pPr>
            <w:r>
              <w:t>151 (45%)</w:t>
            </w:r>
          </w:p>
        </w:tc>
        <w:tc>
          <w:tcPr>
            <w:tcW w:w="1000" w:type="pct"/>
          </w:tcPr>
          <w:p w14:paraId="2C44B72D" w14:textId="77777777" w:rsidR="007F5BB1" w:rsidRDefault="007F5BB1" w:rsidP="00204E70">
            <w:pPr>
              <w:pStyle w:val="DecimalAligned"/>
            </w:pPr>
            <w:r>
              <w:t>82 (54%)</w:t>
            </w:r>
          </w:p>
        </w:tc>
        <w:tc>
          <w:tcPr>
            <w:tcW w:w="1000" w:type="pct"/>
          </w:tcPr>
          <w:p w14:paraId="6333FF41" w14:textId="77777777" w:rsidR="007F5BB1" w:rsidRDefault="007F5BB1" w:rsidP="00204E70">
            <w:pPr>
              <w:pStyle w:val="DecimalAligned"/>
            </w:pPr>
            <w:r>
              <w:t>62 (76%)</w:t>
            </w:r>
          </w:p>
        </w:tc>
      </w:tr>
    </w:tbl>
    <w:p w14:paraId="112F21E9" w14:textId="77777777" w:rsidR="007F5BB1" w:rsidRDefault="007F5BB1" w:rsidP="007F5BB1">
      <w:pPr>
        <w:pStyle w:val="paragraph"/>
        <w:spacing w:before="0" w:beforeAutospacing="0" w:after="0" w:afterAutospacing="0" w:line="480" w:lineRule="auto"/>
        <w:ind w:firstLine="720"/>
        <w:rPr>
          <w:color w:val="000000" w:themeColor="text1"/>
        </w:rPr>
      </w:pPr>
    </w:p>
    <w:p w14:paraId="03C0E35D" w14:textId="0C929FB0" w:rsidR="007F5BB1" w:rsidRDefault="00532EFF" w:rsidP="007F5BB1">
      <w:pPr>
        <w:pStyle w:val="paragraph"/>
        <w:spacing w:before="0" w:beforeAutospacing="0" w:after="0" w:afterAutospacing="0" w:line="480" w:lineRule="auto"/>
        <w:ind w:firstLine="720"/>
        <w:rPr>
          <w:color w:val="000000" w:themeColor="text1"/>
        </w:rPr>
      </w:pPr>
      <w:r>
        <w:rPr>
          <w:color w:val="000000" w:themeColor="text1"/>
        </w:rPr>
        <w:t xml:space="preserve">Through weekly chart audits, individual </w:t>
      </w:r>
      <w:r w:rsidR="00BA4D0A">
        <w:rPr>
          <w:color w:val="000000" w:themeColor="text1"/>
        </w:rPr>
        <w:t>provider’s</w:t>
      </w:r>
      <w:r>
        <w:rPr>
          <w:color w:val="000000" w:themeColor="text1"/>
        </w:rPr>
        <w:t xml:space="preserve"> compliance to vitamin D ordering and vitamin D supplementation were tracked and reviewed monthly with the provider (Appendix L).</w:t>
      </w:r>
      <w:r w:rsidR="00B95382">
        <w:rPr>
          <w:color w:val="000000" w:themeColor="text1"/>
        </w:rPr>
        <w:t xml:space="preserve">  </w:t>
      </w:r>
      <w:r w:rsidR="007F5BB1">
        <w:rPr>
          <w:color w:val="000000" w:themeColor="text1"/>
        </w:rPr>
        <w:t xml:space="preserve">Provider </w:t>
      </w:r>
      <w:r w:rsidR="007F5BB1" w:rsidRPr="743CB264">
        <w:rPr>
          <w:color w:val="000000" w:themeColor="text1"/>
        </w:rPr>
        <w:t xml:space="preserve">compliance </w:t>
      </w:r>
      <w:r w:rsidR="007F5BB1">
        <w:rPr>
          <w:color w:val="000000" w:themeColor="text1"/>
        </w:rPr>
        <w:t xml:space="preserve">in use of </w:t>
      </w:r>
      <w:r w:rsidR="007F5BB1" w:rsidRPr="743CB264">
        <w:rPr>
          <w:color w:val="000000" w:themeColor="text1"/>
        </w:rPr>
        <w:t xml:space="preserve">protocol for both vitamin D ordering and vitamin D </w:t>
      </w:r>
      <w:r w:rsidR="007F5BB1" w:rsidRPr="743CB264">
        <w:rPr>
          <w:color w:val="000000" w:themeColor="text1"/>
        </w:rPr>
        <w:lastRenderedPageBreak/>
        <w:t>supplementation increased from weeks 1-4 to weeks 4-8 as illustrated in Table 2</w:t>
      </w:r>
      <w:r w:rsidR="00B95382">
        <w:rPr>
          <w:color w:val="000000" w:themeColor="text1"/>
        </w:rPr>
        <w:t xml:space="preserve"> and Appendix L</w:t>
      </w:r>
      <w:r w:rsidR="007F5BB1" w:rsidRPr="743CB264">
        <w:rPr>
          <w:color w:val="000000" w:themeColor="text1"/>
        </w:rPr>
        <w:t>.    A slight decrease in total provider compliance</w:t>
      </w:r>
      <w:r w:rsidR="007F5BB1">
        <w:rPr>
          <w:color w:val="000000" w:themeColor="text1"/>
        </w:rPr>
        <w:t xml:space="preserve"> was noted </w:t>
      </w:r>
      <w:r w:rsidR="007F5BB1" w:rsidRPr="743CB264">
        <w:rPr>
          <w:color w:val="000000" w:themeColor="text1"/>
        </w:rPr>
        <w:t xml:space="preserve">in both vitamin D ordering and vitamin D supplementation from weeks 4-8 to weeks 9-12, however the data remained improved from weeks 1-4.  </w:t>
      </w:r>
    </w:p>
    <w:p w14:paraId="19DF10F9" w14:textId="77777777" w:rsidR="007F5BB1" w:rsidRPr="00520262" w:rsidRDefault="007F5BB1" w:rsidP="007F5BB1">
      <w:pPr>
        <w:pStyle w:val="paragraph"/>
        <w:spacing w:before="0" w:beforeAutospacing="0" w:after="0" w:afterAutospacing="0" w:line="480" w:lineRule="auto"/>
        <w:textAlignment w:val="baseline"/>
        <w:rPr>
          <w:b/>
          <w:bCs/>
          <w:color w:val="000000" w:themeColor="text1"/>
          <w:u w:val="single"/>
        </w:rPr>
      </w:pPr>
      <w:r w:rsidRPr="00520262">
        <w:rPr>
          <w:b/>
          <w:bCs/>
          <w:color w:val="000000" w:themeColor="text1"/>
          <w:u w:val="single"/>
        </w:rPr>
        <w:t xml:space="preserve">Table </w:t>
      </w:r>
      <w:r>
        <w:rPr>
          <w:b/>
          <w:bCs/>
          <w:color w:val="000000" w:themeColor="text1"/>
          <w:u w:val="single"/>
        </w:rPr>
        <w:t>2</w:t>
      </w:r>
      <w:r w:rsidRPr="00520262">
        <w:rPr>
          <w:b/>
          <w:bCs/>
          <w:color w:val="000000" w:themeColor="text1"/>
          <w:u w:val="single"/>
        </w:rPr>
        <w:t xml:space="preserve">: </w:t>
      </w:r>
      <w:r>
        <w:rPr>
          <w:b/>
          <w:bCs/>
          <w:color w:val="000000" w:themeColor="text1"/>
          <w:u w:val="single"/>
        </w:rPr>
        <w:t>Providers Adherence to the Protocol</w:t>
      </w:r>
    </w:p>
    <w:tbl>
      <w:tblPr>
        <w:tblStyle w:val="MediumShading2-Accent5"/>
        <w:tblW w:w="3000" w:type="pct"/>
        <w:tblLook w:val="0660" w:firstRow="1" w:lastRow="1" w:firstColumn="0" w:lastColumn="0" w:noHBand="1" w:noVBand="1"/>
      </w:tblPr>
      <w:tblGrid>
        <w:gridCol w:w="1837"/>
        <w:gridCol w:w="1836"/>
        <w:gridCol w:w="1943"/>
      </w:tblGrid>
      <w:tr w:rsidR="007F5BB1" w14:paraId="5345FF41" w14:textId="77777777" w:rsidTr="00204E70">
        <w:trPr>
          <w:cnfStyle w:val="100000000000" w:firstRow="1" w:lastRow="0" w:firstColumn="0" w:lastColumn="0" w:oddVBand="0" w:evenVBand="0" w:oddHBand="0" w:evenHBand="0" w:firstRowFirstColumn="0" w:firstRowLastColumn="0" w:lastRowFirstColumn="0" w:lastRowLastColumn="0"/>
        </w:trPr>
        <w:tc>
          <w:tcPr>
            <w:tcW w:w="1668" w:type="pct"/>
            <w:tcBorders>
              <w:top w:val="nil"/>
              <w:bottom w:val="nil"/>
            </w:tcBorders>
            <w:noWrap/>
          </w:tcPr>
          <w:p w14:paraId="1D9ADE0D" w14:textId="77777777" w:rsidR="007F5BB1" w:rsidRDefault="007F5BB1" w:rsidP="00204E70">
            <w:r>
              <w:t>Time Period</w:t>
            </w:r>
          </w:p>
        </w:tc>
        <w:tc>
          <w:tcPr>
            <w:tcW w:w="1667" w:type="pct"/>
            <w:tcBorders>
              <w:top w:val="nil"/>
              <w:bottom w:val="nil"/>
            </w:tcBorders>
          </w:tcPr>
          <w:p w14:paraId="59455809" w14:textId="77777777" w:rsidR="007F5BB1" w:rsidRDefault="007F5BB1" w:rsidP="00204E70">
            <w:pPr>
              <w:rPr>
                <w:b w:val="0"/>
                <w:bCs w:val="0"/>
              </w:rPr>
            </w:pPr>
            <w:r>
              <w:t>Ordering</w:t>
            </w:r>
          </w:p>
          <w:p w14:paraId="544F3DC4" w14:textId="77777777" w:rsidR="007F5BB1" w:rsidRDefault="007F5BB1" w:rsidP="00204E70">
            <w:pPr>
              <w:rPr>
                <w:b w:val="0"/>
                <w:bCs w:val="0"/>
              </w:rPr>
            </w:pPr>
          </w:p>
          <w:p w14:paraId="7F0162A3" w14:textId="77777777" w:rsidR="007F5BB1" w:rsidRDefault="007F5BB1" w:rsidP="00204E70">
            <w:r>
              <w:t xml:space="preserve">   </w:t>
            </w:r>
            <w:proofErr w:type="gramStart"/>
            <w:r>
              <w:t>n</w:t>
            </w:r>
            <w:proofErr w:type="gramEnd"/>
            <w:r>
              <w:t xml:space="preserve">   (%)</w:t>
            </w:r>
          </w:p>
        </w:tc>
        <w:tc>
          <w:tcPr>
            <w:tcW w:w="1665" w:type="pct"/>
            <w:tcBorders>
              <w:top w:val="nil"/>
              <w:bottom w:val="nil"/>
            </w:tcBorders>
          </w:tcPr>
          <w:p w14:paraId="733210A1" w14:textId="77777777" w:rsidR="007F5BB1" w:rsidRDefault="007F5BB1" w:rsidP="00204E70">
            <w:pPr>
              <w:rPr>
                <w:b w:val="0"/>
                <w:bCs w:val="0"/>
              </w:rPr>
            </w:pPr>
            <w:r>
              <w:t>Vitamin D Supplementation</w:t>
            </w:r>
          </w:p>
          <w:p w14:paraId="62B4F5C9" w14:textId="77777777" w:rsidR="007F5BB1" w:rsidRDefault="007F5BB1" w:rsidP="00204E70">
            <w:r>
              <w:t xml:space="preserve">   </w:t>
            </w:r>
            <w:proofErr w:type="gramStart"/>
            <w:r>
              <w:t>n</w:t>
            </w:r>
            <w:proofErr w:type="gramEnd"/>
            <w:r>
              <w:t xml:space="preserve">    (%)</w:t>
            </w:r>
          </w:p>
        </w:tc>
      </w:tr>
      <w:tr w:rsidR="007F5BB1" w14:paraId="6AB961DF" w14:textId="77777777" w:rsidTr="00204E70">
        <w:tc>
          <w:tcPr>
            <w:tcW w:w="1668" w:type="pct"/>
            <w:tcBorders>
              <w:top w:val="nil"/>
              <w:bottom w:val="nil"/>
            </w:tcBorders>
            <w:noWrap/>
          </w:tcPr>
          <w:p w14:paraId="3F5E3548" w14:textId="77777777" w:rsidR="007F5BB1" w:rsidRDefault="007F5BB1" w:rsidP="00204E70">
            <w:r>
              <w:t>Weeks 1-4</w:t>
            </w:r>
          </w:p>
        </w:tc>
        <w:tc>
          <w:tcPr>
            <w:tcW w:w="1667" w:type="pct"/>
            <w:tcBorders>
              <w:top w:val="nil"/>
              <w:bottom w:val="nil"/>
            </w:tcBorders>
          </w:tcPr>
          <w:p w14:paraId="1C2EEEBD" w14:textId="77777777" w:rsidR="007F5BB1" w:rsidRDefault="007F5BB1" w:rsidP="00204E70">
            <w:pPr>
              <w:pStyle w:val="DecimalAligned"/>
            </w:pPr>
            <w:r>
              <w:t>47 (34%)</w:t>
            </w:r>
          </w:p>
        </w:tc>
        <w:tc>
          <w:tcPr>
            <w:tcW w:w="1665" w:type="pct"/>
            <w:tcBorders>
              <w:top w:val="nil"/>
              <w:bottom w:val="nil"/>
            </w:tcBorders>
          </w:tcPr>
          <w:p w14:paraId="4F898B7F" w14:textId="77777777" w:rsidR="007F5BB1" w:rsidRDefault="007F5BB1" w:rsidP="00204E70">
            <w:pPr>
              <w:pStyle w:val="DecimalAligned"/>
            </w:pPr>
            <w:r>
              <w:t>12 (41%)</w:t>
            </w:r>
          </w:p>
        </w:tc>
      </w:tr>
      <w:tr w:rsidR="007F5BB1" w14:paraId="337B293A" w14:textId="77777777" w:rsidTr="00204E70">
        <w:tc>
          <w:tcPr>
            <w:tcW w:w="1668" w:type="pct"/>
            <w:tcBorders>
              <w:top w:val="nil"/>
              <w:bottom w:val="nil"/>
            </w:tcBorders>
            <w:noWrap/>
          </w:tcPr>
          <w:p w14:paraId="64ECA6F0" w14:textId="77777777" w:rsidR="007F5BB1" w:rsidRDefault="007F5BB1" w:rsidP="00204E70">
            <w:r>
              <w:t>Weeks 5-8</w:t>
            </w:r>
          </w:p>
        </w:tc>
        <w:tc>
          <w:tcPr>
            <w:tcW w:w="1667" w:type="pct"/>
            <w:tcBorders>
              <w:top w:val="nil"/>
              <w:bottom w:val="nil"/>
            </w:tcBorders>
          </w:tcPr>
          <w:p w14:paraId="65CD39D9" w14:textId="77777777" w:rsidR="007F5BB1" w:rsidRDefault="007F5BB1" w:rsidP="00204E70">
            <w:pPr>
              <w:pStyle w:val="DecimalAligned"/>
            </w:pPr>
            <w:r>
              <w:t>73 (56%)</w:t>
            </w:r>
          </w:p>
        </w:tc>
        <w:tc>
          <w:tcPr>
            <w:tcW w:w="1665" w:type="pct"/>
            <w:tcBorders>
              <w:top w:val="nil"/>
              <w:bottom w:val="nil"/>
            </w:tcBorders>
          </w:tcPr>
          <w:p w14:paraId="0D3132EB" w14:textId="77777777" w:rsidR="007F5BB1" w:rsidRDefault="007F5BB1" w:rsidP="00204E70">
            <w:pPr>
              <w:pStyle w:val="DecimalAligned"/>
            </w:pPr>
            <w:r>
              <w:t>40 (98%)</w:t>
            </w:r>
          </w:p>
        </w:tc>
      </w:tr>
      <w:tr w:rsidR="007F5BB1" w14:paraId="17B8773A" w14:textId="77777777" w:rsidTr="00204E70">
        <w:trPr>
          <w:cnfStyle w:val="010000000000" w:firstRow="0" w:lastRow="1" w:firstColumn="0" w:lastColumn="0" w:oddVBand="0" w:evenVBand="0" w:oddHBand="0" w:evenHBand="0" w:firstRowFirstColumn="0" w:firstRowLastColumn="0" w:lastRowFirstColumn="0" w:lastRowLastColumn="0"/>
          <w:trHeight w:val="585"/>
        </w:trPr>
        <w:tc>
          <w:tcPr>
            <w:tcW w:w="1668" w:type="pct"/>
            <w:tcBorders>
              <w:top w:val="nil"/>
              <w:bottom w:val="nil"/>
            </w:tcBorders>
            <w:noWrap/>
          </w:tcPr>
          <w:p w14:paraId="16E97754" w14:textId="77777777" w:rsidR="007F5BB1" w:rsidRDefault="007F5BB1" w:rsidP="00204E70">
            <w:r>
              <w:t xml:space="preserve">Weeks 9-12 </w:t>
            </w:r>
          </w:p>
        </w:tc>
        <w:tc>
          <w:tcPr>
            <w:tcW w:w="1667" w:type="pct"/>
            <w:tcBorders>
              <w:top w:val="nil"/>
              <w:bottom w:val="nil"/>
            </w:tcBorders>
          </w:tcPr>
          <w:p w14:paraId="1593A284" w14:textId="77777777" w:rsidR="007F5BB1" w:rsidRDefault="007F5BB1" w:rsidP="00204E70">
            <w:pPr>
              <w:pStyle w:val="DecimalAligned"/>
            </w:pPr>
            <w:r>
              <w:t>31 (48%)</w:t>
            </w:r>
          </w:p>
        </w:tc>
        <w:tc>
          <w:tcPr>
            <w:tcW w:w="1665" w:type="pct"/>
            <w:tcBorders>
              <w:top w:val="nil"/>
              <w:bottom w:val="nil"/>
            </w:tcBorders>
          </w:tcPr>
          <w:p w14:paraId="5BCE62FD" w14:textId="77777777" w:rsidR="007F5BB1" w:rsidRDefault="007F5BB1" w:rsidP="00204E70">
            <w:pPr>
              <w:pStyle w:val="DecimalAligned"/>
            </w:pPr>
            <w:r>
              <w:t>10 (83%)</w:t>
            </w:r>
          </w:p>
        </w:tc>
      </w:tr>
    </w:tbl>
    <w:p w14:paraId="1873C59B" w14:textId="77777777" w:rsidR="007F5BB1" w:rsidRDefault="007F5BB1" w:rsidP="002A01F3">
      <w:pPr>
        <w:pStyle w:val="paragraph"/>
        <w:spacing w:before="0" w:beforeAutospacing="0" w:after="0" w:afterAutospacing="0" w:line="480" w:lineRule="auto"/>
        <w:ind w:firstLine="720"/>
        <w:textAlignment w:val="baseline"/>
        <w:rPr>
          <w:rFonts w:ascii="Segoe UI" w:hAnsi="Segoe UI" w:cs="Segoe UI"/>
          <w:sz w:val="18"/>
          <w:szCs w:val="18"/>
        </w:rPr>
      </w:pPr>
    </w:p>
    <w:p w14:paraId="56461394" w14:textId="0ADE82EB" w:rsidR="007F5BB1" w:rsidRDefault="01B5E863" w:rsidP="01B5E863">
      <w:pPr>
        <w:pStyle w:val="paragraph"/>
        <w:spacing w:before="0" w:beforeAutospacing="0" w:after="0" w:afterAutospacing="0" w:line="480" w:lineRule="auto"/>
        <w:textAlignment w:val="baseline"/>
        <w:rPr>
          <w:rStyle w:val="normaltextrun"/>
          <w:b/>
          <w:bCs/>
        </w:rPr>
      </w:pPr>
      <w:r w:rsidRPr="01B5E863">
        <w:rPr>
          <w:rStyle w:val="normaltextrun"/>
          <w:b/>
          <w:bCs/>
        </w:rPr>
        <w:t>Summar</w:t>
      </w:r>
      <w:r w:rsidR="007F5BB1">
        <w:rPr>
          <w:rStyle w:val="normaltextrun"/>
          <w:b/>
          <w:bCs/>
        </w:rPr>
        <w:t>y</w:t>
      </w:r>
    </w:p>
    <w:p w14:paraId="21480693" w14:textId="5FEBC2DA" w:rsidR="007F5BB1" w:rsidRDefault="007F5BB1" w:rsidP="007F5BB1">
      <w:pPr>
        <w:spacing w:line="480" w:lineRule="auto"/>
        <w:ind w:firstLine="720"/>
      </w:pPr>
      <w:r>
        <w:rPr>
          <w:color w:val="000000" w:themeColor="text1"/>
        </w:rPr>
        <w:t>De</w:t>
      </w:r>
      <w:r w:rsidRPr="00091BFC">
        <w:rPr>
          <w:color w:val="000000" w:themeColor="text1"/>
        </w:rPr>
        <w:t xml:space="preserve">spite the unforeseen </w:t>
      </w:r>
      <w:r w:rsidRPr="00091BFC">
        <w:t>technical difficulties</w:t>
      </w:r>
      <w:r w:rsidRPr="00091BFC">
        <w:rPr>
          <w:color w:val="000000" w:themeColor="text1"/>
        </w:rPr>
        <w:t xml:space="preserve"> with the EHR, the providers reported distinctive benefit from the vitamin D indicator alert within the EHR during the implementation period.  </w:t>
      </w:r>
      <w:r w:rsidRPr="00091BFC">
        <w:t xml:space="preserve">Provider education, feedback, and the vitamin D indicator alert within the EHR were associated with increased adherence to evidenced based practice for routine screening and supplementation of vitamin D in MS patients.  </w:t>
      </w:r>
      <w:r>
        <w:br w:type="page"/>
      </w:r>
    </w:p>
    <w:p w14:paraId="40FA4FAA" w14:textId="290CC0BB" w:rsidR="003246C7" w:rsidRDefault="00920113" w:rsidP="007F5BB1">
      <w:pPr>
        <w:spacing w:after="160" w:line="480" w:lineRule="auto"/>
        <w:contextualSpacing/>
        <w:jc w:val="center"/>
        <w:rPr>
          <w:szCs w:val="20"/>
        </w:rPr>
      </w:pPr>
      <w:r w:rsidRPr="00D957BC">
        <w:rPr>
          <w:rFonts w:eastAsia="Calibri"/>
          <w:b/>
        </w:rPr>
        <w:lastRenderedPageBreak/>
        <w:t>Chapter Seven:</w:t>
      </w:r>
      <w:r>
        <w:rPr>
          <w:rFonts w:eastAsia="Calibri"/>
          <w:b/>
        </w:rPr>
        <w:t xml:space="preserve"> </w:t>
      </w:r>
      <w:r w:rsidRPr="00D957BC">
        <w:rPr>
          <w:rFonts w:eastAsia="Calibri"/>
          <w:b/>
        </w:rPr>
        <w:t xml:space="preserve"> Implications for Nursing Practic</w:t>
      </w:r>
      <w:r w:rsidR="000C60B5">
        <w:rPr>
          <w:color w:val="000000" w:themeColor="text1"/>
        </w:rPr>
        <w:t>e</w:t>
      </w:r>
    </w:p>
    <w:p w14:paraId="41A719A2" w14:textId="124C1784" w:rsidR="008B1B53" w:rsidRDefault="00920113" w:rsidP="00933448">
      <w:pPr>
        <w:spacing w:after="160" w:line="480" w:lineRule="auto"/>
        <w:contextualSpacing/>
        <w:rPr>
          <w:rFonts w:eastAsia="Calibri"/>
          <w:b/>
        </w:rPr>
      </w:pPr>
      <w:r w:rsidRPr="00D957BC">
        <w:rPr>
          <w:rFonts w:eastAsia="Calibri"/>
          <w:b/>
        </w:rPr>
        <w:t>Practice Implication</w:t>
      </w:r>
      <w:r w:rsidR="001F3ADB">
        <w:rPr>
          <w:rFonts w:eastAsia="Calibri"/>
          <w:b/>
        </w:rPr>
        <w:t xml:space="preserve">s    </w:t>
      </w:r>
    </w:p>
    <w:p w14:paraId="4E87FA86" w14:textId="5DCEF643" w:rsidR="003246C7" w:rsidRPr="007F5BB1" w:rsidRDefault="003246C7" w:rsidP="007F5BB1">
      <w:pPr>
        <w:spacing w:after="160" w:line="480" w:lineRule="auto"/>
        <w:ind w:firstLine="720"/>
        <w:contextualSpacing/>
        <w:rPr>
          <w:szCs w:val="20"/>
        </w:rPr>
      </w:pPr>
      <w:r w:rsidRPr="003F4134">
        <w:rPr>
          <w:color w:val="000000" w:themeColor="text1"/>
        </w:rPr>
        <w:t xml:space="preserve">The implications for nursing practice </w:t>
      </w:r>
      <w:r>
        <w:rPr>
          <w:color w:val="000000" w:themeColor="text1"/>
        </w:rPr>
        <w:t>illuminated</w:t>
      </w:r>
      <w:r w:rsidRPr="003F4134">
        <w:rPr>
          <w:color w:val="000000" w:themeColor="text1"/>
        </w:rPr>
        <w:t xml:space="preserve"> by this project include</w:t>
      </w:r>
      <w:r>
        <w:rPr>
          <w:color w:val="000000" w:themeColor="text1"/>
        </w:rPr>
        <w:t xml:space="preserve"> enhancing population health through utilization of applicable preventive screenings, </w:t>
      </w:r>
      <w:r w:rsidRPr="00701F59">
        <w:rPr>
          <w:color w:val="000000" w:themeColor="text1"/>
        </w:rPr>
        <w:t>particularly</w:t>
      </w:r>
      <w:r>
        <w:rPr>
          <w:color w:val="000000" w:themeColor="text1"/>
        </w:rPr>
        <w:t xml:space="preserve"> routine vitamin D screening for the MS population.  The project revealed that use of education, chart alerts, and feedback resulted in increased screening compliance.    Although there were ebbs and flows during the implementation period, the providers were able to improve the vitamin D screening rate for MS patients from 18% to 20%.</w:t>
      </w:r>
    </w:p>
    <w:p w14:paraId="709710B6" w14:textId="6FFA1A74" w:rsidR="00920113" w:rsidRPr="009F5462" w:rsidRDefault="0096758C" w:rsidP="007F5BB1">
      <w:pPr>
        <w:spacing w:after="160" w:line="480" w:lineRule="auto"/>
        <w:ind w:firstLine="720"/>
        <w:contextualSpacing/>
        <w:rPr>
          <w:rFonts w:eastAsia="Calibri"/>
        </w:rPr>
      </w:pPr>
      <w:r w:rsidRPr="004E7B42">
        <w:rPr>
          <w:color w:val="000000" w:themeColor="text1"/>
        </w:rPr>
        <w:t xml:space="preserve">The Essentials of Doctoral Education for Advanced Nursing Practice, also known as the DNP Essentials, define the core competencies universal to advanced practice roles (AACN, 2006).  These eight essentials, detailed below, provide the construct for DNP curriculum, the framework for the DNP scholarly project, and the foundation for future practice scholarship.  </w:t>
      </w:r>
    </w:p>
    <w:p w14:paraId="4C00CC0B" w14:textId="1700BA2F" w:rsidR="00E128FB" w:rsidRDefault="00920113" w:rsidP="00E258BB">
      <w:pPr>
        <w:spacing w:after="160" w:line="480" w:lineRule="auto"/>
        <w:ind w:firstLine="720"/>
        <w:contextualSpacing/>
        <w:rPr>
          <w:rFonts w:eastAsia="Calibri"/>
        </w:rPr>
      </w:pPr>
      <w:r w:rsidRPr="00D957BC">
        <w:rPr>
          <w:rFonts w:eastAsia="Calibri"/>
          <w:b/>
        </w:rPr>
        <w:t>Essential I:  Scientific underpinnings for practice</w:t>
      </w:r>
      <w:r w:rsidR="00E258BB">
        <w:rPr>
          <w:rFonts w:eastAsia="Calibri"/>
          <w:b/>
        </w:rPr>
        <w:t xml:space="preserve">.  </w:t>
      </w:r>
      <w:r w:rsidR="00E258BB">
        <w:rPr>
          <w:rFonts w:eastAsia="Calibri"/>
          <w:bCs/>
        </w:rPr>
        <w:t>Th</w:t>
      </w:r>
      <w:r w:rsidR="00E258BB">
        <w:rPr>
          <w:rFonts w:eastAsia="Calibri"/>
        </w:rPr>
        <w:t xml:space="preserve">e </w:t>
      </w:r>
      <w:r w:rsidR="00E128FB" w:rsidRPr="00936412">
        <w:rPr>
          <w:rFonts w:eastAsia="Calibri"/>
        </w:rPr>
        <w:t xml:space="preserve">first DNP </w:t>
      </w:r>
      <w:r w:rsidR="00E128FB">
        <w:rPr>
          <w:rFonts w:eastAsia="Calibri"/>
        </w:rPr>
        <w:t>E</w:t>
      </w:r>
      <w:r w:rsidR="00E128FB" w:rsidRPr="00936412">
        <w:rPr>
          <w:rFonts w:eastAsia="Calibri"/>
        </w:rPr>
        <w:t>ssential</w:t>
      </w:r>
      <w:r w:rsidR="00E128FB">
        <w:rPr>
          <w:rFonts w:eastAsia="Calibri"/>
        </w:rPr>
        <w:t xml:space="preserve">, scientific underpinnings for practice, involves translation of knowledge gathered from the sciences to benefit patients in practice environments (AACN, 2006).  Information obtained from literature review provided the evidence to guide practice.  </w:t>
      </w:r>
      <w:r w:rsidR="00E128FB">
        <w:rPr>
          <w:rFonts w:eastAsia="Calibri"/>
          <w:color w:val="000000" w:themeColor="text1"/>
        </w:rPr>
        <w:t>T</w:t>
      </w:r>
      <w:r w:rsidR="00E128FB" w:rsidRPr="002D1E45">
        <w:rPr>
          <w:rFonts w:eastAsia="Calibri"/>
          <w:color w:val="000000" w:themeColor="text1"/>
        </w:rPr>
        <w:t xml:space="preserve">he </w:t>
      </w:r>
      <w:r w:rsidR="00E128FB">
        <w:rPr>
          <w:rFonts w:eastAsia="Calibri"/>
          <w:color w:val="000000" w:themeColor="text1"/>
        </w:rPr>
        <w:t>discoveries from the literature review</w:t>
      </w:r>
      <w:r w:rsidR="00E128FB" w:rsidRPr="002D1E45">
        <w:rPr>
          <w:rFonts w:eastAsia="Calibri"/>
          <w:color w:val="000000" w:themeColor="text1"/>
        </w:rPr>
        <w:t xml:space="preserve"> </w:t>
      </w:r>
      <w:r w:rsidR="00E128FB" w:rsidRPr="00F576D7">
        <w:rPr>
          <w:rFonts w:eastAsia="Calibri"/>
          <w:color w:val="000000" w:themeColor="text1"/>
        </w:rPr>
        <w:t>revealed</w:t>
      </w:r>
      <w:r w:rsidR="00E128FB" w:rsidRPr="002D1E45">
        <w:rPr>
          <w:rFonts w:eastAsia="Calibri"/>
          <w:color w:val="000000" w:themeColor="text1"/>
        </w:rPr>
        <w:t xml:space="preserve"> </w:t>
      </w:r>
      <w:r w:rsidR="00E128FB">
        <w:rPr>
          <w:rFonts w:eastAsia="Calibri"/>
          <w:color w:val="000000" w:themeColor="text1"/>
        </w:rPr>
        <w:t xml:space="preserve">information on </w:t>
      </w:r>
      <w:r w:rsidR="00E128FB" w:rsidRPr="002D1E45">
        <w:rPr>
          <w:rFonts w:eastAsia="Calibri"/>
          <w:color w:val="000000" w:themeColor="text1"/>
        </w:rPr>
        <w:t xml:space="preserve">the optimal </w:t>
      </w:r>
      <w:r w:rsidR="00E128FB">
        <w:rPr>
          <w:rFonts w:eastAsia="Calibri"/>
          <w:color w:val="000000" w:themeColor="text1"/>
        </w:rPr>
        <w:t>target vitamin D level and supplementation</w:t>
      </w:r>
      <w:r w:rsidR="00E128FB" w:rsidRPr="002D1E45">
        <w:rPr>
          <w:rFonts w:eastAsia="Calibri"/>
          <w:color w:val="000000" w:themeColor="text1"/>
        </w:rPr>
        <w:t xml:space="preserve"> method</w:t>
      </w:r>
      <w:r w:rsidR="00E128FB">
        <w:rPr>
          <w:rFonts w:eastAsia="Calibri"/>
          <w:color w:val="000000" w:themeColor="text1"/>
        </w:rPr>
        <w:t xml:space="preserve"> which </w:t>
      </w:r>
      <w:r w:rsidR="00E128FB" w:rsidRPr="002D1E45">
        <w:rPr>
          <w:rFonts w:eastAsia="Calibri"/>
          <w:color w:val="000000" w:themeColor="text1"/>
        </w:rPr>
        <w:t xml:space="preserve">were most beneficial </w:t>
      </w:r>
      <w:r w:rsidR="00E128FB">
        <w:rPr>
          <w:rFonts w:eastAsia="Calibri"/>
          <w:color w:val="000000" w:themeColor="text1"/>
        </w:rPr>
        <w:t>when discussing the project</w:t>
      </w:r>
      <w:r w:rsidR="00E128FB" w:rsidRPr="002D1E45">
        <w:rPr>
          <w:rFonts w:eastAsia="Calibri"/>
          <w:color w:val="000000" w:themeColor="text1"/>
        </w:rPr>
        <w:t xml:space="preserve"> with </w:t>
      </w:r>
      <w:r w:rsidR="00E128FB">
        <w:rPr>
          <w:rFonts w:eastAsia="Calibri"/>
          <w:color w:val="000000" w:themeColor="text1"/>
        </w:rPr>
        <w:t>providers</w:t>
      </w:r>
      <w:r w:rsidR="00E128FB" w:rsidRPr="002D1E45">
        <w:rPr>
          <w:rFonts w:eastAsia="Calibri"/>
          <w:color w:val="000000" w:themeColor="text1"/>
        </w:rPr>
        <w:t xml:space="preserve"> at the project site.  </w:t>
      </w:r>
      <w:r w:rsidR="00E128FB">
        <w:rPr>
          <w:rFonts w:eastAsia="Calibri"/>
        </w:rPr>
        <w:t xml:space="preserve">The data from the scholarly sources provided recommendations for a consensus to be established </w:t>
      </w:r>
      <w:r w:rsidR="00E258BB">
        <w:rPr>
          <w:rFonts w:eastAsia="Calibri"/>
        </w:rPr>
        <w:t xml:space="preserve">by the clinicians </w:t>
      </w:r>
      <w:r w:rsidR="00E128FB">
        <w:rPr>
          <w:rFonts w:eastAsia="Calibri"/>
        </w:rPr>
        <w:t xml:space="preserve">to help close the gap between best evidence and the existing clinical practice. </w:t>
      </w:r>
    </w:p>
    <w:p w14:paraId="55A09A7C" w14:textId="77777777" w:rsidR="00E128FB" w:rsidRDefault="00E128FB" w:rsidP="00E128FB">
      <w:pPr>
        <w:spacing w:line="480" w:lineRule="auto"/>
        <w:ind w:firstLine="720"/>
        <w:contextualSpacing/>
        <w:rPr>
          <w:rFonts w:eastAsia="Calibri"/>
        </w:rPr>
      </w:pPr>
      <w:r>
        <w:rPr>
          <w:color w:val="000000" w:themeColor="text1"/>
        </w:rPr>
        <w:t xml:space="preserve">Several theoretical frameworks were utilized to guide the development, implementation, and evaluation of the project.  </w:t>
      </w:r>
      <w:r>
        <w:rPr>
          <w:rFonts w:eastAsia="Calibri"/>
        </w:rPr>
        <w:t xml:space="preserve">The Dobbins framework for dissemination and utilization of research was utilized to guide the development of the project, specifically by identifying </w:t>
      </w:r>
      <w:r>
        <w:rPr>
          <w:rFonts w:eastAsia="Calibri"/>
        </w:rPr>
        <w:lastRenderedPageBreak/>
        <w:t xml:space="preserve">potential influences and strategies to ensure success such as dissemination strategies including education and feedback.  Pender’s Health Promotion Model determined the vital role of healthcare providers on patient health promotion and the necessity of education on best practices for empowerment and effective promotion.  This model encouraged the intervention of provider education to enhance knowledge, attitudes, behavior, and ultimately patient outcomes.    The John </w:t>
      </w:r>
      <w:proofErr w:type="spellStart"/>
      <w:r>
        <w:rPr>
          <w:rFonts w:eastAsia="Calibri"/>
        </w:rPr>
        <w:t>Hopkin’s</w:t>
      </w:r>
      <w:proofErr w:type="spellEnd"/>
      <w:r>
        <w:rPr>
          <w:rFonts w:eastAsia="Calibri"/>
        </w:rPr>
        <w:t xml:space="preserve"> Evidence Based Practice directly guided the process for the development, implementation, and evaluation of the evidenced based practice change.  </w:t>
      </w:r>
    </w:p>
    <w:p w14:paraId="1826F3DB" w14:textId="77777777" w:rsidR="00E258BB" w:rsidRDefault="00E128FB" w:rsidP="00E128FB">
      <w:pPr>
        <w:spacing w:line="480" w:lineRule="auto"/>
        <w:ind w:firstLine="720"/>
        <w:contextualSpacing/>
        <w:rPr>
          <w:rFonts w:eastAsia="Calibri"/>
        </w:rPr>
      </w:pPr>
      <w:r>
        <w:rPr>
          <w:rFonts w:eastAsia="Calibri"/>
        </w:rPr>
        <w:t>A recommendation for future projects is to evaluate patient adherence to the vitamin D regimen to identify factors that lead to noncompliance.  This information may be helpful to ensure further success of the initiative.   Additionally, further development is needed in standardization of practice and application of a vitamin D protocol for the MS population.</w:t>
      </w:r>
    </w:p>
    <w:p w14:paraId="10724A49" w14:textId="7B4B05C2" w:rsidR="00920113" w:rsidRPr="006561B1" w:rsidRDefault="00E258BB" w:rsidP="007F5BB1">
      <w:pPr>
        <w:spacing w:after="160" w:line="480" w:lineRule="auto"/>
        <w:contextualSpacing/>
        <w:rPr>
          <w:rFonts w:eastAsia="Calibri"/>
        </w:rPr>
      </w:pPr>
      <w:r>
        <w:rPr>
          <w:rFonts w:eastAsia="Calibri"/>
        </w:rPr>
        <w:tab/>
      </w:r>
      <w:r w:rsidRPr="00D957BC">
        <w:rPr>
          <w:rFonts w:eastAsia="Calibri"/>
          <w:b/>
        </w:rPr>
        <w:t xml:space="preserve">Essential II:  Organization and systems leadership for quality improvement and systems thinking.  </w:t>
      </w:r>
      <w:bookmarkStart w:id="7" w:name="_Hlk11765831"/>
      <w:r w:rsidR="006561B1" w:rsidRPr="00936412">
        <w:rPr>
          <w:rFonts w:eastAsia="Calibri"/>
        </w:rPr>
        <w:t xml:space="preserve">The </w:t>
      </w:r>
      <w:r w:rsidR="006561B1">
        <w:rPr>
          <w:rFonts w:eastAsia="Calibri"/>
        </w:rPr>
        <w:t>second</w:t>
      </w:r>
      <w:r w:rsidR="006561B1" w:rsidRPr="00936412">
        <w:rPr>
          <w:rFonts w:eastAsia="Calibri"/>
        </w:rPr>
        <w:t xml:space="preserve"> DNP </w:t>
      </w:r>
      <w:r w:rsidR="006561B1">
        <w:rPr>
          <w:rFonts w:eastAsia="Calibri"/>
        </w:rPr>
        <w:t>E</w:t>
      </w:r>
      <w:r w:rsidR="006561B1" w:rsidRPr="00936412">
        <w:rPr>
          <w:rFonts w:eastAsia="Calibri"/>
        </w:rPr>
        <w:t>ssential</w:t>
      </w:r>
      <w:r w:rsidR="006561B1">
        <w:rPr>
          <w:rFonts w:eastAsia="Calibri"/>
        </w:rPr>
        <w:t xml:space="preserve">, organization and systems leadership for quality improvement and systems thinking, involves development and evaluation of care delivery methods to meet the needs of patient populations (AACN, 2006).  </w:t>
      </w:r>
      <w:r w:rsidR="006561B1" w:rsidRPr="002D1E45">
        <w:rPr>
          <w:rFonts w:eastAsia="Calibri"/>
          <w:color w:val="000000" w:themeColor="text1"/>
        </w:rPr>
        <w:t xml:space="preserve">The target population at the project site </w:t>
      </w:r>
      <w:r w:rsidR="006561B1">
        <w:rPr>
          <w:rFonts w:eastAsia="Calibri"/>
          <w:color w:val="000000" w:themeColor="text1"/>
        </w:rPr>
        <w:t>was providers working with</w:t>
      </w:r>
      <w:r w:rsidR="006561B1" w:rsidRPr="002D1E45">
        <w:rPr>
          <w:rFonts w:eastAsia="Calibri"/>
          <w:color w:val="000000" w:themeColor="text1"/>
        </w:rPr>
        <w:t xml:space="preserve"> patients</w:t>
      </w:r>
      <w:r w:rsidR="006561B1">
        <w:rPr>
          <w:rFonts w:eastAsia="Calibri"/>
          <w:color w:val="000000" w:themeColor="text1"/>
        </w:rPr>
        <w:t xml:space="preserve"> with the diagnosis of MS.  The vitamin D protocol was developed for implementation to address the identified gap in care for MS patients.  </w:t>
      </w:r>
      <w:r w:rsidR="006561B1" w:rsidRPr="002D1E45">
        <w:rPr>
          <w:rFonts w:eastAsia="Calibri"/>
          <w:color w:val="000000" w:themeColor="text1"/>
        </w:rPr>
        <w:t xml:space="preserve">The economic burden </w:t>
      </w:r>
      <w:r w:rsidR="006561B1">
        <w:rPr>
          <w:rFonts w:eastAsia="Calibri"/>
          <w:color w:val="000000" w:themeColor="text1"/>
        </w:rPr>
        <w:t xml:space="preserve">associated with multiple sclerosis exacerbation, disease progression, and sustained disability </w:t>
      </w:r>
      <w:r w:rsidR="006561B1" w:rsidRPr="00DA18F9">
        <w:rPr>
          <w:rFonts w:eastAsia="Calibri"/>
          <w:color w:val="000000" w:themeColor="text1"/>
        </w:rPr>
        <w:t>for the healthcare system</w:t>
      </w:r>
      <w:r w:rsidR="006561B1">
        <w:rPr>
          <w:rFonts w:eastAsia="Calibri"/>
          <w:color w:val="000000" w:themeColor="text1"/>
        </w:rPr>
        <w:t xml:space="preserve"> was addressed by this project</w:t>
      </w:r>
      <w:r w:rsidR="006561B1" w:rsidRPr="00DA18F9">
        <w:rPr>
          <w:rFonts w:eastAsia="Calibri"/>
          <w:color w:val="000000" w:themeColor="text1"/>
        </w:rPr>
        <w:t>.</w:t>
      </w:r>
      <w:r w:rsidR="006561B1">
        <w:rPr>
          <w:rFonts w:eastAsia="Calibri"/>
          <w:color w:val="000000" w:themeColor="text1"/>
        </w:rPr>
        <w:t xml:space="preserve">  </w:t>
      </w:r>
      <w:r w:rsidR="006561B1" w:rsidRPr="002D1E45">
        <w:rPr>
          <w:rFonts w:eastAsia="Calibri"/>
          <w:color w:val="000000" w:themeColor="text1"/>
        </w:rPr>
        <w:t xml:space="preserve">  </w:t>
      </w:r>
      <w:r w:rsidR="006561B1">
        <w:rPr>
          <w:rFonts w:eastAsia="Calibri"/>
          <w:color w:val="000000" w:themeColor="text1"/>
        </w:rPr>
        <w:t>By enabling identification of vitamin D deficiency through screening, deficiencies can easily be treated with supplementation to reduce these possible adverse outcomes associated with vitamin D deficiency in MS patients.  The cost of vitamin D screening and supplementation was determined to be a smaller economic burden in comparison to the treatment of a MS exacerbation</w:t>
      </w:r>
      <w:r w:rsidR="006561B1">
        <w:rPr>
          <w:rFonts w:eastAsia="Calibri"/>
        </w:rPr>
        <w:t>.</w:t>
      </w:r>
      <w:bookmarkEnd w:id="7"/>
    </w:p>
    <w:p w14:paraId="72EA5F60" w14:textId="481F97C5" w:rsidR="00D37550" w:rsidRDefault="00920113" w:rsidP="00D37550">
      <w:pPr>
        <w:spacing w:line="480" w:lineRule="auto"/>
        <w:ind w:firstLine="720"/>
        <w:contextualSpacing/>
        <w:rPr>
          <w:rFonts w:eastAsia="Calibri"/>
        </w:rPr>
      </w:pPr>
      <w:r w:rsidRPr="00D957BC">
        <w:rPr>
          <w:rFonts w:eastAsia="Calibri"/>
          <w:b/>
        </w:rPr>
        <w:lastRenderedPageBreak/>
        <w:t>Essential III:  Clinical scholarship and analytical met</w:t>
      </w:r>
      <w:r>
        <w:rPr>
          <w:rFonts w:eastAsia="Calibri"/>
          <w:b/>
        </w:rPr>
        <w:t>hods for EBP</w:t>
      </w:r>
      <w:r w:rsidRPr="00D957BC">
        <w:rPr>
          <w:rFonts w:eastAsia="Calibri"/>
          <w:b/>
        </w:rPr>
        <w:t xml:space="preserve">.  </w:t>
      </w:r>
      <w:r w:rsidR="00D37550">
        <w:rPr>
          <w:rFonts w:eastAsia="Calibri"/>
        </w:rPr>
        <w:t xml:space="preserve">The third DNP Essential, clinical scholarship and analytical methods for EBP, involves the translation of research into practice through application and evaluation (AACN, 2006).   Through research, analysis, evaluation and synthesis of </w:t>
      </w:r>
      <w:r w:rsidR="00294E01">
        <w:rPr>
          <w:rFonts w:eastAsia="Calibri"/>
        </w:rPr>
        <w:t xml:space="preserve">data, DNP </w:t>
      </w:r>
      <w:r w:rsidR="00D37550">
        <w:rPr>
          <w:rFonts w:eastAsia="Calibri"/>
        </w:rPr>
        <w:t>prepared nurses are able to</w:t>
      </w:r>
      <w:r w:rsidR="00BF22AE">
        <w:rPr>
          <w:rFonts w:eastAsia="Calibri"/>
        </w:rPr>
        <w:t xml:space="preserve"> initiate and </w:t>
      </w:r>
      <w:r w:rsidR="00660AC6">
        <w:rPr>
          <w:rFonts w:eastAsia="Calibri"/>
        </w:rPr>
        <w:t>evaluate practice</w:t>
      </w:r>
      <w:r w:rsidR="00D37550">
        <w:rPr>
          <w:rFonts w:eastAsia="Calibri"/>
        </w:rPr>
        <w:t xml:space="preserve"> change and disseminate their findings to further</w:t>
      </w:r>
      <w:r w:rsidR="00BF22AE">
        <w:rPr>
          <w:rFonts w:eastAsia="Calibri"/>
        </w:rPr>
        <w:t xml:space="preserve"> contribute to </w:t>
      </w:r>
      <w:r w:rsidR="00D37550">
        <w:rPr>
          <w:rFonts w:eastAsia="Calibri"/>
        </w:rPr>
        <w:t>evidence-based practice development.  This project translate</w:t>
      </w:r>
      <w:r w:rsidR="00BF22AE">
        <w:rPr>
          <w:rFonts w:eastAsia="Calibri"/>
        </w:rPr>
        <w:t>d</w:t>
      </w:r>
      <w:r w:rsidR="00D37550">
        <w:rPr>
          <w:rFonts w:eastAsia="Calibri"/>
        </w:rPr>
        <w:t xml:space="preserve"> the evidence on vitamin D and MS to help develop a unified, cost effective, and efficient approach to screening and treatment.  Research and analysis</w:t>
      </w:r>
      <w:r w:rsidR="00BF22AE">
        <w:rPr>
          <w:rFonts w:eastAsia="Calibri"/>
        </w:rPr>
        <w:t xml:space="preserve"> of the literature</w:t>
      </w:r>
      <w:r w:rsidR="00D37550">
        <w:rPr>
          <w:rFonts w:eastAsia="Calibri"/>
        </w:rPr>
        <w:t xml:space="preserve"> were completed </w:t>
      </w:r>
      <w:r w:rsidR="00BF22AE">
        <w:rPr>
          <w:rFonts w:eastAsia="Calibri"/>
        </w:rPr>
        <w:t xml:space="preserve">to guide the </w:t>
      </w:r>
      <w:r w:rsidR="00D37550">
        <w:rPr>
          <w:rFonts w:eastAsia="Calibri"/>
        </w:rPr>
        <w:t xml:space="preserve">process development for practice change.  The goal was to implement </w:t>
      </w:r>
      <w:r w:rsidR="00BF22AE">
        <w:rPr>
          <w:rFonts w:eastAsia="Calibri"/>
        </w:rPr>
        <w:t>a</w:t>
      </w:r>
      <w:r w:rsidR="00D37550">
        <w:rPr>
          <w:rFonts w:eastAsia="Calibri"/>
        </w:rPr>
        <w:t xml:space="preserve"> protocol to appropriately screening vitamin D levels in MS patients who met the criteria based on best practices.   This required </w:t>
      </w:r>
      <w:proofErr w:type="spellStart"/>
      <w:r w:rsidR="00D37550">
        <w:rPr>
          <w:rFonts w:eastAsia="Calibri"/>
        </w:rPr>
        <w:t>interprofessional</w:t>
      </w:r>
      <w:proofErr w:type="spellEnd"/>
      <w:r w:rsidR="00D37550">
        <w:rPr>
          <w:rFonts w:eastAsia="Calibri"/>
        </w:rPr>
        <w:t xml:space="preserve"> collaboration between the providers and the support staff for optimal success.   </w:t>
      </w:r>
    </w:p>
    <w:p w14:paraId="63B5F1AE" w14:textId="2E138B71" w:rsidR="00364ECC" w:rsidRPr="00D957BC" w:rsidRDefault="00D37550" w:rsidP="00294E01">
      <w:pPr>
        <w:spacing w:after="160" w:line="480" w:lineRule="auto"/>
        <w:ind w:firstLine="720"/>
        <w:contextualSpacing/>
        <w:rPr>
          <w:rFonts w:eastAsia="Calibri"/>
        </w:rPr>
      </w:pPr>
      <w:r w:rsidRPr="004742CA">
        <w:rPr>
          <w:rFonts w:eastAsia="Calibri"/>
        </w:rPr>
        <w:t xml:space="preserve">A crucial part of clinical scholarship is the dissemination of findings.  Through dissemination of findings, evidence-based practice can be further developed.  </w:t>
      </w:r>
      <w:r w:rsidRPr="004742CA">
        <w:rPr>
          <w:rFonts w:eastAsia="Calibri"/>
          <w:color w:val="000000" w:themeColor="text1"/>
        </w:rPr>
        <w:t xml:space="preserve">Presenting the findings to not only the project site, but also to other providers caring for MS patients is important to further promote screening.  </w:t>
      </w:r>
      <w:r w:rsidRPr="004742CA">
        <w:rPr>
          <w:rFonts w:eastAsia="Calibri"/>
        </w:rPr>
        <w:t xml:space="preserve"> This project found that education, chart alerts, and provider feedback increased screening compliance; whereas the vitamin D chart alert promoted improved provider workflow.  This evidence is beneficial to help guide further improvements in practice and outcomes of care.  Additional quality improvement projects are needed to further guide a routine vitamin D screening protoco</w:t>
      </w:r>
      <w:r>
        <w:rPr>
          <w:rFonts w:eastAsia="Calibri"/>
        </w:rPr>
        <w:t>l.</w:t>
      </w:r>
      <w:r w:rsidR="00364ECC">
        <w:rPr>
          <w:rFonts w:eastAsia="Calibri"/>
        </w:rPr>
        <w:tab/>
      </w:r>
    </w:p>
    <w:p w14:paraId="4F7CFFAD" w14:textId="77777777" w:rsidR="00B0222E" w:rsidRDefault="00920113" w:rsidP="00B0222E">
      <w:pPr>
        <w:spacing w:line="480" w:lineRule="auto"/>
        <w:ind w:firstLine="720"/>
        <w:contextualSpacing/>
        <w:rPr>
          <w:rFonts w:eastAsia="Calibri"/>
        </w:rPr>
      </w:pPr>
      <w:r w:rsidRPr="00D957BC">
        <w:rPr>
          <w:rFonts w:eastAsia="Calibri"/>
          <w:b/>
        </w:rPr>
        <w:t xml:space="preserve">Essential IV:  Information systems/technology and patient care technology for the improvement and transformation of healthcare.  </w:t>
      </w:r>
      <w:r w:rsidR="00B0222E">
        <w:rPr>
          <w:rFonts w:eastAsia="Calibri"/>
        </w:rPr>
        <w:t xml:space="preserve">The fourth DNP Essential, information systems/technology and patient care technology for the improvement and transformation of healthcare, involves the utilization of information systems/technology (IT) to aid in improving </w:t>
      </w:r>
      <w:r w:rsidR="00B0222E">
        <w:rPr>
          <w:rFonts w:eastAsia="Calibri"/>
        </w:rPr>
        <w:lastRenderedPageBreak/>
        <w:t xml:space="preserve">patient care and healthcare systems (AACN, 2006).  IT can be utilized to incorporate evidence-based interventions and to collect and analyze data for quality improvement.  </w:t>
      </w:r>
    </w:p>
    <w:p w14:paraId="53B0ACEA" w14:textId="494C2B6C" w:rsidR="00F05895" w:rsidRDefault="00B0222E" w:rsidP="00F05895">
      <w:pPr>
        <w:spacing w:line="480" w:lineRule="auto"/>
        <w:ind w:firstLine="720"/>
        <w:contextualSpacing/>
        <w:rPr>
          <w:rFonts w:eastAsia="Calibri"/>
          <w:color w:val="000000" w:themeColor="text1"/>
        </w:rPr>
      </w:pPr>
      <w:r>
        <w:rPr>
          <w:rFonts w:eastAsia="Calibri"/>
        </w:rPr>
        <w:t>Uti</w:t>
      </w:r>
      <w:r w:rsidR="00B03AF3">
        <w:rPr>
          <w:rFonts w:eastAsia="Calibri"/>
        </w:rPr>
        <w:t>lization of electronic health</w:t>
      </w:r>
      <w:r>
        <w:rPr>
          <w:rFonts w:eastAsia="Calibri"/>
        </w:rPr>
        <w:t xml:space="preserve"> records (</w:t>
      </w:r>
      <w:r w:rsidR="00B03AF3">
        <w:rPr>
          <w:rFonts w:eastAsia="Calibri"/>
        </w:rPr>
        <w:t>EH</w:t>
      </w:r>
      <w:r>
        <w:rPr>
          <w:rFonts w:eastAsia="Calibri"/>
        </w:rPr>
        <w:t>R) was a method employed to support patient and healthcare in</w:t>
      </w:r>
      <w:r w:rsidR="00B03AF3">
        <w:rPr>
          <w:rFonts w:eastAsia="Calibri"/>
        </w:rPr>
        <w:t xml:space="preserve"> this project.   In fact, the EH</w:t>
      </w:r>
      <w:r>
        <w:rPr>
          <w:rFonts w:eastAsia="Calibri"/>
        </w:rPr>
        <w:t>R</w:t>
      </w:r>
      <w:r>
        <w:rPr>
          <w:rFonts w:eastAsia="Calibri"/>
          <w:color w:val="000000" w:themeColor="text1"/>
        </w:rPr>
        <w:t xml:space="preserve"> utilization was essential for the data collection and outcome evaluation of this project.  </w:t>
      </w:r>
      <w:r w:rsidR="0031057E">
        <w:rPr>
          <w:rFonts w:eastAsia="Calibri"/>
          <w:color w:val="000000" w:themeColor="text1"/>
        </w:rPr>
        <w:t xml:space="preserve"> Pre implementation data was col</w:t>
      </w:r>
      <w:r w:rsidR="00B03AF3">
        <w:rPr>
          <w:rFonts w:eastAsia="Calibri"/>
          <w:color w:val="000000" w:themeColor="text1"/>
        </w:rPr>
        <w:t>lected via utilization of the EHR.  The EH</w:t>
      </w:r>
      <w:r w:rsidR="0031057E">
        <w:rPr>
          <w:rFonts w:eastAsia="Calibri"/>
          <w:color w:val="000000" w:themeColor="text1"/>
        </w:rPr>
        <w:t xml:space="preserve">R was also utilized to create quality reports which included MS patient seen by the providers for further chart auditing and protocol compliance data collection during the implementation period.  </w:t>
      </w:r>
      <w:r w:rsidR="00B03AF3">
        <w:rPr>
          <w:rFonts w:eastAsia="Calibri"/>
          <w:color w:val="000000" w:themeColor="text1"/>
        </w:rPr>
        <w:t>Additionally, the EH</w:t>
      </w:r>
      <w:r>
        <w:rPr>
          <w:rFonts w:eastAsia="Calibri"/>
          <w:color w:val="000000" w:themeColor="text1"/>
        </w:rPr>
        <w:t>R provided an interface for the vitamin D indicator chart alert to be implemented to enhance provider workflow and promote protocol compliance</w:t>
      </w:r>
    </w:p>
    <w:p w14:paraId="0077C73A" w14:textId="56DB43F1" w:rsidR="003246C7" w:rsidRPr="00F05895" w:rsidRDefault="00F05895" w:rsidP="00F05895">
      <w:pPr>
        <w:spacing w:line="480" w:lineRule="auto"/>
        <w:contextualSpacing/>
        <w:rPr>
          <w:rFonts w:eastAsia="Calibri"/>
          <w:b/>
          <w:bCs/>
          <w:color w:val="000000" w:themeColor="text1"/>
        </w:rPr>
      </w:pPr>
      <w:r>
        <w:rPr>
          <w:rFonts w:eastAsia="Calibri"/>
          <w:color w:val="000000" w:themeColor="text1"/>
        </w:rPr>
        <w:tab/>
      </w:r>
      <w:r w:rsidRPr="00F05895">
        <w:rPr>
          <w:rFonts w:eastAsia="Calibri"/>
          <w:b/>
          <w:bCs/>
          <w:color w:val="000000" w:themeColor="text1"/>
        </w:rPr>
        <w:t>Essential V:</w:t>
      </w:r>
      <w:r>
        <w:rPr>
          <w:rFonts w:eastAsia="Calibri"/>
          <w:b/>
          <w:bCs/>
          <w:color w:val="000000" w:themeColor="text1"/>
        </w:rPr>
        <w:t xml:space="preserve"> </w:t>
      </w:r>
      <w:r w:rsidR="00B0222E">
        <w:rPr>
          <w:rFonts w:eastAsia="Calibri"/>
          <w:b/>
        </w:rPr>
        <w:t>Health</w:t>
      </w:r>
      <w:r w:rsidR="00B0222E" w:rsidRPr="00D957BC">
        <w:rPr>
          <w:rFonts w:eastAsia="Calibri"/>
          <w:b/>
        </w:rPr>
        <w:t>car</w:t>
      </w:r>
      <w:r w:rsidR="00B0222E">
        <w:rPr>
          <w:rFonts w:eastAsia="Calibri"/>
          <w:b/>
        </w:rPr>
        <w:t>e policy for advocacy in health</w:t>
      </w:r>
      <w:r w:rsidR="00B0222E" w:rsidRPr="00D957BC">
        <w:rPr>
          <w:rFonts w:eastAsia="Calibri"/>
          <w:b/>
        </w:rPr>
        <w:t>care.</w:t>
      </w:r>
      <w:r w:rsidR="003246C7">
        <w:rPr>
          <w:rFonts w:eastAsia="Calibri"/>
          <w:b/>
        </w:rPr>
        <w:t xml:space="preserve"> </w:t>
      </w:r>
      <w:r w:rsidR="003246C7">
        <w:rPr>
          <w:rFonts w:eastAsia="Calibri"/>
        </w:rPr>
        <w:t xml:space="preserve">The fifth DNP Essential, healthcare policy for advocacy in healthcare, involves the design, influence, and implementation of healthcare policies to reduce health disparities, increase access to care, quality of care, and improve delivery of care (AACN, 2006).  </w:t>
      </w:r>
      <w:r w:rsidR="003246C7" w:rsidRPr="00697871">
        <w:rPr>
          <w:rFonts w:eastAsia="Calibri"/>
        </w:rPr>
        <w:t xml:space="preserve">Further medical policy development is needed for </w:t>
      </w:r>
      <w:r w:rsidR="003246C7">
        <w:rPr>
          <w:rFonts w:eastAsia="Calibri"/>
        </w:rPr>
        <w:t xml:space="preserve">vitamin D </w:t>
      </w:r>
      <w:r w:rsidR="003246C7" w:rsidRPr="00697871">
        <w:rPr>
          <w:rFonts w:eastAsia="Calibri"/>
        </w:rPr>
        <w:t xml:space="preserve">testing coverage </w:t>
      </w:r>
      <w:r w:rsidR="003246C7">
        <w:rPr>
          <w:rFonts w:eastAsia="Calibri"/>
        </w:rPr>
        <w:t xml:space="preserve">for MS patients </w:t>
      </w:r>
      <w:r w:rsidR="003246C7" w:rsidRPr="00697871">
        <w:rPr>
          <w:rFonts w:eastAsia="Calibri"/>
        </w:rPr>
        <w:t>under medical necessity with insurance payers.  For instance, BCBSNC</w:t>
      </w:r>
      <w:r w:rsidR="003246C7">
        <w:rPr>
          <w:rFonts w:eastAsia="Calibri"/>
        </w:rPr>
        <w:t xml:space="preserve"> (2019)</w:t>
      </w:r>
      <w:r w:rsidR="003246C7" w:rsidRPr="00697871">
        <w:rPr>
          <w:rFonts w:eastAsia="Calibri"/>
        </w:rPr>
        <w:t xml:space="preserve"> currently deems vitamin D testing medically necessary and provides coverage if there is documented vitamin D deficiency, for repeat testing for reevaluation after at least 12 weeks of supplementation therapy, and for certain specified underlying disease or conditions associated with vitamin D deficiency.  Currently this policy does not specify the diagnosis of MS, however most patients are able to have the testing covered under the specified “</w:t>
      </w:r>
      <w:r w:rsidR="003246C7">
        <w:t>l</w:t>
      </w:r>
      <w:r w:rsidR="003246C7" w:rsidRPr="00697871">
        <w:t>ong term use of anticonvulsants, glucocorticoids and other medications known to lower vitamin D levels” indication</w:t>
      </w:r>
      <w:r w:rsidR="00972546">
        <w:t xml:space="preserve"> (</w:t>
      </w:r>
      <w:r w:rsidR="00972546" w:rsidRPr="00697871">
        <w:rPr>
          <w:rFonts w:eastAsia="Calibri"/>
        </w:rPr>
        <w:t>BCBSNC</w:t>
      </w:r>
      <w:r w:rsidR="00972546">
        <w:rPr>
          <w:rFonts w:eastAsia="Calibri"/>
        </w:rPr>
        <w:t>, 2019)</w:t>
      </w:r>
      <w:r w:rsidR="003246C7" w:rsidRPr="00697871">
        <w:t xml:space="preserve">.  The coverage issue particularly tends to arise for first time vitamin D level testing, as once there is documentation of vitamin D deficiency it is a </w:t>
      </w:r>
      <w:r w:rsidR="003246C7" w:rsidRPr="00697871">
        <w:lastRenderedPageBreak/>
        <w:t>coverable service moving forward</w:t>
      </w:r>
      <w:r w:rsidR="00972546">
        <w:t xml:space="preserve"> (</w:t>
      </w:r>
      <w:r w:rsidR="00972546" w:rsidRPr="00697871">
        <w:rPr>
          <w:rFonts w:eastAsia="Calibri"/>
        </w:rPr>
        <w:t>BCBSNC</w:t>
      </w:r>
      <w:r w:rsidR="00972546">
        <w:rPr>
          <w:rFonts w:eastAsia="Calibri"/>
        </w:rPr>
        <w:t>, 2019)</w:t>
      </w:r>
      <w:r w:rsidR="00972546" w:rsidRPr="00697871">
        <w:t>.</w:t>
      </w:r>
      <w:r w:rsidR="00972546">
        <w:t xml:space="preserve">  </w:t>
      </w:r>
      <w:r w:rsidR="003246C7">
        <w:t xml:space="preserve">The exclusion of the MS patient population from coverage under medical necessity poses a potential barrier in access to care and health disparity.  DNP prepared nurses can influence policy, such as this, to improve health care delivery and outcomes through active committee, board, or task force participation.  Additionally, further policy development for application and standardization of a vitamin D protocol for MS patients is needed to address these barriers in consistent and efficient care.  </w:t>
      </w:r>
    </w:p>
    <w:p w14:paraId="3CCFD0B0" w14:textId="4C056D87" w:rsidR="00920113" w:rsidRPr="00D957BC" w:rsidRDefault="003246C7" w:rsidP="00C951E5">
      <w:pPr>
        <w:spacing w:after="160" w:line="480" w:lineRule="auto"/>
        <w:ind w:firstLine="720"/>
        <w:contextualSpacing/>
        <w:rPr>
          <w:rFonts w:eastAsia="Calibri"/>
        </w:rPr>
      </w:pPr>
      <w:r w:rsidRPr="00D957BC">
        <w:rPr>
          <w:rFonts w:eastAsia="Calibri"/>
          <w:b/>
        </w:rPr>
        <w:t xml:space="preserve">Essential VI:  </w:t>
      </w:r>
      <w:proofErr w:type="spellStart"/>
      <w:r w:rsidRPr="00D957BC">
        <w:rPr>
          <w:rFonts w:eastAsia="Calibri"/>
          <w:b/>
        </w:rPr>
        <w:t>Interprofessional</w:t>
      </w:r>
      <w:proofErr w:type="spellEnd"/>
      <w:r w:rsidRPr="00D957BC">
        <w:rPr>
          <w:rFonts w:eastAsia="Calibri"/>
          <w:b/>
        </w:rPr>
        <w:t xml:space="preserve"> collaboration for improving patient and population health outcomes.  </w:t>
      </w:r>
      <w:r w:rsidR="00B95C0E">
        <w:rPr>
          <w:rFonts w:eastAsia="Calibri"/>
        </w:rPr>
        <w:t xml:space="preserve">The sixth DNP Essential, </w:t>
      </w:r>
      <w:proofErr w:type="spellStart"/>
      <w:r w:rsidR="00B95C0E">
        <w:rPr>
          <w:rFonts w:eastAsia="Calibri"/>
        </w:rPr>
        <w:t>interprofessional</w:t>
      </w:r>
      <w:proofErr w:type="spellEnd"/>
      <w:r w:rsidR="00B95C0E">
        <w:rPr>
          <w:rFonts w:eastAsia="Calibri"/>
        </w:rPr>
        <w:t xml:space="preserve"> collaboration for improving patient and population health outcomes, involves the </w:t>
      </w:r>
      <w:r w:rsidR="00BA4D0A">
        <w:rPr>
          <w:rFonts w:eastAsia="Calibri"/>
        </w:rPr>
        <w:t>provider’s</w:t>
      </w:r>
      <w:r w:rsidR="00B95C0E">
        <w:rPr>
          <w:rFonts w:eastAsia="Calibri"/>
        </w:rPr>
        <w:t xml:space="preserve"> ability to function in collaborative teams for effective and efficient patient centered care (AACN, 2006).</w:t>
      </w:r>
      <w:r w:rsidR="000C60B5">
        <w:rPr>
          <w:rFonts w:eastAsia="Calibri"/>
        </w:rPr>
        <w:t xml:space="preserve">  DNP prepared nurses </w:t>
      </w:r>
      <w:r w:rsidR="00EA5A4A">
        <w:rPr>
          <w:rFonts w:eastAsia="Calibri"/>
        </w:rPr>
        <w:t xml:space="preserve">must demonstrate </w:t>
      </w:r>
      <w:r w:rsidR="000C60B5">
        <w:rPr>
          <w:rFonts w:eastAsia="Calibri"/>
        </w:rPr>
        <w:t xml:space="preserve">effective communication and collaboration skills for optimal development and implementation of practice guidelines and standards of care (AACN, 2006).  </w:t>
      </w:r>
      <w:proofErr w:type="spellStart"/>
      <w:r w:rsidR="000C60B5">
        <w:rPr>
          <w:rFonts w:eastAsia="Calibri"/>
        </w:rPr>
        <w:t>Interprofessional</w:t>
      </w:r>
      <w:proofErr w:type="spellEnd"/>
      <w:r w:rsidR="000C60B5">
        <w:rPr>
          <w:rFonts w:eastAsia="Calibri"/>
        </w:rPr>
        <w:t xml:space="preserve"> collaboration was fundamental for this project.  The </w:t>
      </w:r>
      <w:proofErr w:type="spellStart"/>
      <w:r w:rsidR="000C60B5">
        <w:rPr>
          <w:rFonts w:eastAsia="Calibri"/>
        </w:rPr>
        <w:t>interprofessional</w:t>
      </w:r>
      <w:proofErr w:type="spellEnd"/>
      <w:r w:rsidR="000C60B5">
        <w:rPr>
          <w:rFonts w:eastAsia="Calibri"/>
        </w:rPr>
        <w:t xml:space="preserve"> team consisted of providers, nurses, certified medical scribes, a medical assistant, and EHR staff members.  </w:t>
      </w:r>
      <w:proofErr w:type="spellStart"/>
      <w:r w:rsidR="000C60B5">
        <w:rPr>
          <w:rFonts w:eastAsia="Calibri"/>
        </w:rPr>
        <w:t>Interprofessional</w:t>
      </w:r>
      <w:proofErr w:type="spellEnd"/>
      <w:r w:rsidR="000C60B5">
        <w:rPr>
          <w:rFonts w:eastAsia="Calibri"/>
        </w:rPr>
        <w:t xml:space="preserve"> collaboration was fundamental for the clinical staff members</w:t>
      </w:r>
      <w:r w:rsidR="00EA5A4A">
        <w:rPr>
          <w:rFonts w:eastAsia="Calibri"/>
        </w:rPr>
        <w:t xml:space="preserve"> support</w:t>
      </w:r>
      <w:r w:rsidR="000C60B5">
        <w:rPr>
          <w:rFonts w:eastAsia="Calibri"/>
        </w:rPr>
        <w:t xml:space="preserve"> </w:t>
      </w:r>
      <w:r w:rsidR="00115F0C">
        <w:rPr>
          <w:rFonts w:eastAsia="Calibri"/>
        </w:rPr>
        <w:t xml:space="preserve">to improve </w:t>
      </w:r>
      <w:r w:rsidR="000C60B5">
        <w:rPr>
          <w:rFonts w:eastAsia="Calibri"/>
        </w:rPr>
        <w:t>patient care delivery and the</w:t>
      </w:r>
      <w:r w:rsidR="00EA5A4A">
        <w:rPr>
          <w:rFonts w:eastAsia="Calibri"/>
        </w:rPr>
        <w:t xml:space="preserve"> EMR staff</w:t>
      </w:r>
      <w:r w:rsidR="000C60B5">
        <w:rPr>
          <w:rFonts w:eastAsia="Calibri"/>
        </w:rPr>
        <w:t xml:space="preserve"> expert advisement was imperative during the coordination and creation of the vitamin D indicator chart alert </w:t>
      </w:r>
      <w:r w:rsidR="00EA5A4A">
        <w:rPr>
          <w:rFonts w:eastAsia="Calibri"/>
        </w:rPr>
        <w:t xml:space="preserve">for the </w:t>
      </w:r>
      <w:r w:rsidR="000C60B5">
        <w:rPr>
          <w:rFonts w:eastAsia="Calibri"/>
        </w:rPr>
        <w:t>project.  Given the complexities of today’s health care environment collaboration of various specialists and professionals is</w:t>
      </w:r>
      <w:r w:rsidR="00115F0C">
        <w:rPr>
          <w:rFonts w:eastAsia="Calibri"/>
        </w:rPr>
        <w:t xml:space="preserve"> essential.</w:t>
      </w:r>
      <w:r w:rsidR="00972546">
        <w:rPr>
          <w:rFonts w:eastAsia="Calibri"/>
        </w:rPr>
        <w:t xml:space="preserve">  DNP nurses</w:t>
      </w:r>
      <w:r w:rsidR="00EA5A4A">
        <w:rPr>
          <w:rFonts w:eastAsia="Calibri"/>
        </w:rPr>
        <w:t xml:space="preserve"> are prepared with skills and</w:t>
      </w:r>
      <w:r w:rsidR="000C60B5">
        <w:rPr>
          <w:rFonts w:eastAsia="Calibri"/>
        </w:rPr>
        <w:t xml:space="preserve"> qualifications to provide effective leadership </w:t>
      </w:r>
      <w:r w:rsidR="00EA5A4A">
        <w:rPr>
          <w:rFonts w:eastAsia="Calibri"/>
        </w:rPr>
        <w:t>to</w:t>
      </w:r>
      <w:r w:rsidR="00972546">
        <w:rPr>
          <w:rFonts w:eastAsia="Calibri"/>
        </w:rPr>
        <w:t xml:space="preserve"> </w:t>
      </w:r>
      <w:r w:rsidR="000C60B5">
        <w:rPr>
          <w:rFonts w:eastAsia="Calibri"/>
        </w:rPr>
        <w:t xml:space="preserve">facilitate </w:t>
      </w:r>
      <w:proofErr w:type="spellStart"/>
      <w:r w:rsidR="000C60B5">
        <w:rPr>
          <w:rFonts w:eastAsia="Calibri"/>
        </w:rPr>
        <w:t>interprofessional</w:t>
      </w:r>
      <w:proofErr w:type="spellEnd"/>
      <w:r w:rsidR="000C60B5">
        <w:rPr>
          <w:rFonts w:eastAsia="Calibri"/>
        </w:rPr>
        <w:t xml:space="preserve"> collaboration </w:t>
      </w:r>
      <w:r w:rsidR="00EA5A4A">
        <w:rPr>
          <w:rFonts w:eastAsia="Calibri"/>
        </w:rPr>
        <w:t xml:space="preserve">in practice change initiatives. </w:t>
      </w:r>
    </w:p>
    <w:p w14:paraId="68C604A6" w14:textId="2F5A5273" w:rsidR="00920113" w:rsidRPr="00D957BC" w:rsidRDefault="00920113" w:rsidP="007F5BB1">
      <w:pPr>
        <w:spacing w:after="160" w:line="480" w:lineRule="auto"/>
        <w:ind w:firstLine="720"/>
        <w:contextualSpacing/>
        <w:rPr>
          <w:rFonts w:eastAsia="Calibri"/>
        </w:rPr>
      </w:pPr>
      <w:r w:rsidRPr="00D957BC">
        <w:rPr>
          <w:rFonts w:eastAsia="Calibri"/>
          <w:b/>
        </w:rPr>
        <w:t xml:space="preserve">Essential VII:  Clinical prevention and population health for improving the nation’s health.  </w:t>
      </w:r>
      <w:r w:rsidR="00EA2341">
        <w:rPr>
          <w:rFonts w:eastAsia="Calibri"/>
        </w:rPr>
        <w:t xml:space="preserve">The seventh DNP Essential, clinical prevention and population health for improving the nation’s health, involves analysis of data for development, implementation, and evaluation of </w:t>
      </w:r>
      <w:r w:rsidR="00EA2341">
        <w:rPr>
          <w:rFonts w:eastAsia="Calibri"/>
        </w:rPr>
        <w:lastRenderedPageBreak/>
        <w:t xml:space="preserve">clinical prevention and population health (AACN, 2006).  DNP prepared nurses possess the clinical prevention and population health foundation necessary to implement activities to accomplish the US national goal of improving the population health status (AACN, 2006).  </w:t>
      </w:r>
      <w:r w:rsidR="005D6E9D">
        <w:rPr>
          <w:rFonts w:eastAsia="Calibri"/>
        </w:rPr>
        <w:t>AACN (2006) recognized that disease prevention strategies are underutilized by healthcare settings in the US</w:t>
      </w:r>
      <w:r w:rsidR="00F4322E">
        <w:rPr>
          <w:rFonts w:eastAsia="Calibri"/>
        </w:rPr>
        <w:t xml:space="preserve">.   </w:t>
      </w:r>
      <w:r w:rsidR="00EA2341">
        <w:rPr>
          <w:rFonts w:eastAsia="Calibri"/>
        </w:rPr>
        <w:t>DNP prepared nurses can apply the concepts of clinical prevention and population health for interventions to address gaps in care</w:t>
      </w:r>
      <w:r w:rsidR="00F4322E">
        <w:rPr>
          <w:rFonts w:eastAsia="Calibri"/>
        </w:rPr>
        <w:t xml:space="preserve"> (AACN, 2006)</w:t>
      </w:r>
      <w:r w:rsidR="00EA2341">
        <w:rPr>
          <w:rFonts w:eastAsia="Calibri"/>
        </w:rPr>
        <w:t xml:space="preserve">.  By creating </w:t>
      </w:r>
      <w:r w:rsidR="00115F0C">
        <w:rPr>
          <w:rFonts w:eastAsia="Calibri"/>
        </w:rPr>
        <w:t xml:space="preserve">and implementing </w:t>
      </w:r>
      <w:r w:rsidR="00EA2341">
        <w:rPr>
          <w:rFonts w:eastAsia="Calibri"/>
        </w:rPr>
        <w:t>a</w:t>
      </w:r>
      <w:r w:rsidR="00115F0C">
        <w:rPr>
          <w:rFonts w:eastAsia="Calibri"/>
        </w:rPr>
        <w:t xml:space="preserve"> standardize</w:t>
      </w:r>
      <w:r w:rsidR="00EA2341">
        <w:rPr>
          <w:rFonts w:eastAsia="Calibri"/>
        </w:rPr>
        <w:t xml:space="preserve"> protocol for routine vitamin D screening and supplementation, there </w:t>
      </w:r>
      <w:r w:rsidR="00115F0C">
        <w:rPr>
          <w:rFonts w:eastAsia="Calibri"/>
        </w:rPr>
        <w:t xml:space="preserve">is </w:t>
      </w:r>
      <w:r w:rsidR="00EA2341">
        <w:rPr>
          <w:rFonts w:eastAsia="Calibri"/>
        </w:rPr>
        <w:t xml:space="preserve">a potential to prevent or reduce complications of vitamin D deficiency in 82 MS patients where there </w:t>
      </w:r>
      <w:r w:rsidR="00115F0C">
        <w:rPr>
          <w:rFonts w:eastAsia="Calibri"/>
        </w:rPr>
        <w:t xml:space="preserve">may have been a </w:t>
      </w:r>
      <w:r w:rsidR="00972546">
        <w:rPr>
          <w:rFonts w:eastAsia="Calibri"/>
        </w:rPr>
        <w:t>previous gap</w:t>
      </w:r>
      <w:r w:rsidR="00EA2341">
        <w:rPr>
          <w:rFonts w:eastAsia="Calibri"/>
        </w:rPr>
        <w:t xml:space="preserve"> in care.  Continued screening and early intervention of vitamin D deficiency reduces the number of undetected and untreated deficiencies and reduces the potential for adverse health outcomes of MS patients.   Quality of life and population outcomes </w:t>
      </w:r>
      <w:r w:rsidR="00115F0C">
        <w:rPr>
          <w:rFonts w:eastAsia="Calibri"/>
        </w:rPr>
        <w:t xml:space="preserve">can be </w:t>
      </w:r>
      <w:r w:rsidR="00972546">
        <w:rPr>
          <w:rFonts w:eastAsia="Calibri"/>
        </w:rPr>
        <w:t>improved</w:t>
      </w:r>
      <w:r w:rsidR="00EA2341">
        <w:rPr>
          <w:rFonts w:eastAsia="Calibri"/>
        </w:rPr>
        <w:t xml:space="preserve"> with prevention interventions such as this project.  </w:t>
      </w:r>
    </w:p>
    <w:p w14:paraId="4BE84BEF" w14:textId="2A4DD34D" w:rsidR="0002256E" w:rsidRDefault="00920113" w:rsidP="007F5BB1">
      <w:pPr>
        <w:spacing w:after="160" w:line="480" w:lineRule="auto"/>
        <w:ind w:firstLine="720"/>
        <w:contextualSpacing/>
        <w:rPr>
          <w:rFonts w:eastAsia="Calibri"/>
        </w:rPr>
      </w:pPr>
      <w:r w:rsidRPr="00D957BC">
        <w:rPr>
          <w:rFonts w:eastAsia="Calibri"/>
          <w:b/>
        </w:rPr>
        <w:t xml:space="preserve">Essential VIII:  Advanced nursing practice.  </w:t>
      </w:r>
      <w:r w:rsidR="006B5EAB">
        <w:rPr>
          <w:rFonts w:eastAsia="Calibri"/>
        </w:rPr>
        <w:t xml:space="preserve">The eighth and final DNP Essential, advanced nursing practice, involves the foundational practice competencies in advanced assessment skills, therapeutic partnerships with patients and professionals, advanced clinical </w:t>
      </w:r>
      <w:r w:rsidR="00BA4D0A">
        <w:rPr>
          <w:rFonts w:eastAsia="Calibri"/>
        </w:rPr>
        <w:t>judgment</w:t>
      </w:r>
      <w:r w:rsidR="006B5EAB">
        <w:rPr>
          <w:rFonts w:eastAsia="Calibri"/>
        </w:rPr>
        <w:t>, and systems thinking for evidence-based care (AACN, 2006).  Th</w:t>
      </w:r>
      <w:r w:rsidR="007436AC">
        <w:rPr>
          <w:rFonts w:eastAsia="Calibri"/>
        </w:rPr>
        <w:t>e</w:t>
      </w:r>
      <w:r w:rsidR="006B5EAB">
        <w:rPr>
          <w:rFonts w:eastAsia="Calibri"/>
        </w:rPr>
        <w:t xml:space="preserve"> knowledge gained from DNP programs </w:t>
      </w:r>
      <w:r w:rsidR="007436AC">
        <w:rPr>
          <w:rFonts w:eastAsia="Calibri"/>
        </w:rPr>
        <w:t xml:space="preserve">supports </w:t>
      </w:r>
      <w:r w:rsidR="006B5EAB">
        <w:rPr>
          <w:rFonts w:eastAsia="Calibri"/>
        </w:rPr>
        <w:t>DNP prepared nurses to design, implement, and evaluate interventions based on science (AACN, 2006).  DNP prepared nurses</w:t>
      </w:r>
      <w:r w:rsidR="005D6E9D">
        <w:rPr>
          <w:rFonts w:eastAsia="Calibri"/>
        </w:rPr>
        <w:t xml:space="preserve"> apply their distinct experience to inform practice and address clinical problems in a variety of healthcare settings.</w:t>
      </w:r>
    </w:p>
    <w:p w14:paraId="6607DDF0" w14:textId="56CCB43F" w:rsidR="00920113" w:rsidRDefault="006B5EAB" w:rsidP="007F5BB1">
      <w:pPr>
        <w:spacing w:after="160" w:line="480" w:lineRule="auto"/>
        <w:ind w:firstLine="720"/>
        <w:contextualSpacing/>
        <w:rPr>
          <w:rFonts w:eastAsia="Calibri"/>
        </w:rPr>
      </w:pPr>
      <w:r>
        <w:rPr>
          <w:rFonts w:eastAsia="Calibri"/>
        </w:rPr>
        <w:t>This quality improvement project is an example of promotion of health through routine screening for evidence-based care delivery and improved patient outcomes.</w:t>
      </w:r>
      <w:r w:rsidR="00BE743D">
        <w:rPr>
          <w:rFonts w:eastAsia="Calibri"/>
        </w:rPr>
        <w:t xml:space="preserve">  Specifically, this project standardized care, </w:t>
      </w:r>
      <w:r w:rsidR="0002256E">
        <w:rPr>
          <w:rFonts w:eastAsia="Calibri"/>
        </w:rPr>
        <w:t>through</w:t>
      </w:r>
      <w:r w:rsidR="00BE743D">
        <w:rPr>
          <w:rFonts w:eastAsia="Calibri"/>
        </w:rPr>
        <w:t xml:space="preserve"> </w:t>
      </w:r>
      <w:r w:rsidR="0002256E">
        <w:rPr>
          <w:rFonts w:eastAsia="Calibri"/>
        </w:rPr>
        <w:t xml:space="preserve">routine screening and supplementation, </w:t>
      </w:r>
      <w:r w:rsidR="00BE743D">
        <w:rPr>
          <w:rFonts w:eastAsia="Calibri"/>
        </w:rPr>
        <w:t xml:space="preserve">which improves patient outcomes and reduces healthcare costs.  </w:t>
      </w:r>
      <w:r w:rsidR="008C3459">
        <w:rPr>
          <w:rFonts w:eastAsia="Calibri"/>
        </w:rPr>
        <w:t xml:space="preserve"> Additionally, </w:t>
      </w:r>
      <w:r w:rsidR="0002256E">
        <w:rPr>
          <w:rFonts w:eastAsia="Calibri"/>
        </w:rPr>
        <w:t xml:space="preserve">patient satisfaction and trust are </w:t>
      </w:r>
      <w:r w:rsidR="0002256E">
        <w:rPr>
          <w:rFonts w:eastAsia="Calibri"/>
        </w:rPr>
        <w:lastRenderedPageBreak/>
        <w:t xml:space="preserve">promoted with </w:t>
      </w:r>
      <w:r w:rsidR="008C3459">
        <w:rPr>
          <w:rFonts w:eastAsia="Calibri"/>
        </w:rPr>
        <w:t xml:space="preserve">prevention of adverse health outcomes, such as </w:t>
      </w:r>
      <w:r w:rsidR="0002256E">
        <w:rPr>
          <w:rFonts w:eastAsia="Calibri"/>
        </w:rPr>
        <w:t>through</w:t>
      </w:r>
      <w:r w:rsidR="008C3459">
        <w:rPr>
          <w:rFonts w:eastAsia="Calibri"/>
        </w:rPr>
        <w:t xml:space="preserve"> screening in this </w:t>
      </w:r>
      <w:r w:rsidR="0002256E">
        <w:rPr>
          <w:rFonts w:eastAsia="Calibri"/>
        </w:rPr>
        <w:t>project.</w:t>
      </w:r>
      <w:r w:rsidR="008C3459">
        <w:rPr>
          <w:rFonts w:eastAsia="Calibri"/>
        </w:rPr>
        <w:t xml:space="preserve"> The impact of </w:t>
      </w:r>
      <w:proofErr w:type="spellStart"/>
      <w:r w:rsidR="008C3459">
        <w:rPr>
          <w:rFonts w:eastAsia="Calibri"/>
        </w:rPr>
        <w:t>interprofessional</w:t>
      </w:r>
      <w:proofErr w:type="spellEnd"/>
      <w:r w:rsidR="008C3459">
        <w:rPr>
          <w:rFonts w:eastAsia="Calibri"/>
        </w:rPr>
        <w:t xml:space="preserve"> collaboration in enhancing patient care was </w:t>
      </w:r>
      <w:r w:rsidR="0002256E">
        <w:rPr>
          <w:rFonts w:eastAsia="Calibri"/>
        </w:rPr>
        <w:t>exemplified</w:t>
      </w:r>
      <w:r w:rsidR="008C3459">
        <w:rPr>
          <w:rFonts w:eastAsia="Calibri"/>
        </w:rPr>
        <w:t xml:space="preserve"> in this project</w:t>
      </w:r>
      <w:r w:rsidR="0002256E">
        <w:rPr>
          <w:rFonts w:eastAsia="Calibri"/>
        </w:rPr>
        <w:t>, as</w:t>
      </w:r>
      <w:r w:rsidR="008C3459">
        <w:rPr>
          <w:rFonts w:eastAsia="Calibri"/>
        </w:rPr>
        <w:t xml:space="preserve"> it was essential to partner with the team to establish the standardized protocol. </w:t>
      </w:r>
    </w:p>
    <w:p w14:paraId="37964B7C" w14:textId="77777777" w:rsidR="00644CFD" w:rsidRDefault="00644CFD" w:rsidP="00644CFD">
      <w:pPr>
        <w:spacing w:after="160" w:line="480" w:lineRule="auto"/>
        <w:contextualSpacing/>
        <w:rPr>
          <w:rFonts w:eastAsia="Calibri"/>
          <w:b/>
          <w:bCs/>
        </w:rPr>
      </w:pPr>
      <w:r w:rsidRPr="00644CFD">
        <w:rPr>
          <w:rFonts w:eastAsia="Calibri"/>
          <w:b/>
          <w:bCs/>
        </w:rPr>
        <w:t>Summary</w:t>
      </w:r>
    </w:p>
    <w:p w14:paraId="1A9177C8" w14:textId="3C6761F3" w:rsidR="00644CFD" w:rsidRPr="00644CFD" w:rsidRDefault="00644CFD" w:rsidP="00644CFD">
      <w:pPr>
        <w:spacing w:after="160" w:line="480" w:lineRule="auto"/>
        <w:ind w:firstLine="720"/>
        <w:contextualSpacing/>
        <w:rPr>
          <w:rFonts w:eastAsia="Calibri"/>
          <w:b/>
          <w:bCs/>
        </w:rPr>
      </w:pPr>
      <w:r>
        <w:rPr>
          <w:rFonts w:ascii="TimesNewRomanPSMT" w:hAnsi="TimesNewRomanPSMT"/>
        </w:rPr>
        <w:t xml:space="preserve">The AACN Essentials of Doctoral Education for Advanced Nursing Practice are fundamental for guiding high quality patient care (AACN, 2006).  The DNP essentials guide the process of quality improvement in healthcare through application of evidence-based research, </w:t>
      </w:r>
      <w:proofErr w:type="spellStart"/>
      <w:r>
        <w:rPr>
          <w:rFonts w:ascii="TimesNewRomanPSMT" w:hAnsi="TimesNewRomanPSMT"/>
        </w:rPr>
        <w:t>interprofessional</w:t>
      </w:r>
      <w:proofErr w:type="spellEnd"/>
      <w:r>
        <w:rPr>
          <w:rFonts w:ascii="TimesNewRomanPSMT" w:hAnsi="TimesNewRomanPSMT"/>
        </w:rPr>
        <w:t xml:space="preserve"> collaboration, implementation of practice change, and formulation of future recommendations for further improvement.  The AACN DNP essentials were utilized to develop and implement the evidence-based practice change to improve MS patient’s health in this project.  </w:t>
      </w:r>
    </w:p>
    <w:p w14:paraId="2D3DEE5B" w14:textId="5EFEF5CD" w:rsidR="00F56042" w:rsidRPr="00F56042" w:rsidRDefault="00F56042" w:rsidP="00F56042"/>
    <w:p w14:paraId="20CDFBF9" w14:textId="77777777" w:rsidR="00C25E90" w:rsidRDefault="00C25E90">
      <w:pPr>
        <w:rPr>
          <w:rFonts w:eastAsia="Calibri"/>
          <w:b/>
        </w:rPr>
      </w:pPr>
    </w:p>
    <w:p w14:paraId="01A5EEB3" w14:textId="77777777" w:rsidR="00C25E90" w:rsidRDefault="00C25E90">
      <w:pPr>
        <w:rPr>
          <w:rFonts w:eastAsia="Calibri"/>
          <w:b/>
        </w:rPr>
      </w:pPr>
      <w:r>
        <w:rPr>
          <w:rFonts w:eastAsia="Calibri"/>
          <w:b/>
        </w:rPr>
        <w:br w:type="page"/>
      </w:r>
    </w:p>
    <w:p w14:paraId="2FF4357D" w14:textId="77777777" w:rsidR="00C25E90" w:rsidRPr="004506D4" w:rsidRDefault="00C25E90" w:rsidP="00C25E90">
      <w:pPr>
        <w:spacing w:line="480" w:lineRule="auto"/>
        <w:contextualSpacing/>
        <w:jc w:val="center"/>
        <w:rPr>
          <w:rFonts w:eastAsia="Calibri"/>
          <w:b/>
        </w:rPr>
      </w:pPr>
      <w:r w:rsidRPr="004506D4">
        <w:rPr>
          <w:rFonts w:eastAsia="Calibri"/>
          <w:b/>
        </w:rPr>
        <w:lastRenderedPageBreak/>
        <w:t xml:space="preserve">Chapter Eight: </w:t>
      </w:r>
      <w:r>
        <w:rPr>
          <w:rFonts w:eastAsia="Calibri"/>
          <w:b/>
        </w:rPr>
        <w:t xml:space="preserve"> </w:t>
      </w:r>
      <w:r w:rsidRPr="004506D4">
        <w:rPr>
          <w:rFonts w:eastAsia="Calibri"/>
          <w:b/>
        </w:rPr>
        <w:t>Final Conclusion</w:t>
      </w:r>
      <w:r>
        <w:rPr>
          <w:rFonts w:eastAsia="Calibri"/>
          <w:b/>
        </w:rPr>
        <w:t>s</w:t>
      </w:r>
    </w:p>
    <w:p w14:paraId="46B4C0AB" w14:textId="77777777" w:rsidR="00C25E90" w:rsidRPr="00EC7EA5" w:rsidRDefault="00C25E90" w:rsidP="00C25E90">
      <w:pPr>
        <w:pStyle w:val="APA"/>
        <w:rPr>
          <w:b/>
          <w:szCs w:val="24"/>
        </w:rPr>
      </w:pPr>
      <w:r>
        <w:rPr>
          <w:szCs w:val="24"/>
        </w:rPr>
        <w:t xml:space="preserve">The quality improvement project at this site was significant in decreasing the occurrence of undetected and untreated vitamin D deficiencies in MS patients. </w:t>
      </w:r>
      <w:r w:rsidRPr="003A652B">
        <w:rPr>
          <w:szCs w:val="24"/>
        </w:rPr>
        <w:t>The project accomplished this by improving the rate of vitamin D screeni</w:t>
      </w:r>
      <w:r w:rsidRPr="00210C6D">
        <w:rPr>
          <w:szCs w:val="24"/>
        </w:rPr>
        <w:t>ng.  This chapter will describe the significance of the findings, project strengths and limitations, project benefits, and recommendations for practice.</w:t>
      </w:r>
      <w:r>
        <w:rPr>
          <w:szCs w:val="24"/>
        </w:rPr>
        <w:t xml:space="preserve">  </w:t>
      </w:r>
    </w:p>
    <w:p w14:paraId="1F504C2C" w14:textId="77777777" w:rsidR="00C25E90" w:rsidRDefault="00C25E90" w:rsidP="00C25E90">
      <w:pPr>
        <w:spacing w:after="160" w:line="480" w:lineRule="auto"/>
        <w:contextualSpacing/>
        <w:rPr>
          <w:rFonts w:eastAsia="Calibri"/>
          <w:b/>
        </w:rPr>
      </w:pPr>
      <w:r>
        <w:rPr>
          <w:rFonts w:eastAsia="Calibri"/>
          <w:b/>
        </w:rPr>
        <w:t>Significance of Findings</w:t>
      </w:r>
    </w:p>
    <w:p w14:paraId="6686E49C" w14:textId="6D676FAB" w:rsidR="00C25E90" w:rsidRDefault="00C25E90" w:rsidP="00C25E90">
      <w:pPr>
        <w:spacing w:after="160" w:line="480" w:lineRule="auto"/>
        <w:contextualSpacing/>
        <w:rPr>
          <w:color w:val="000000" w:themeColor="text1"/>
        </w:rPr>
      </w:pPr>
      <w:r w:rsidRPr="00367AD1">
        <w:rPr>
          <w:rFonts w:eastAsia="Calibri"/>
          <w:bCs/>
        </w:rPr>
        <w:tab/>
        <w:t xml:space="preserve">An increase in vitamin D screening from pre-implementation was evident throughout the project.  </w:t>
      </w:r>
      <w:r>
        <w:rPr>
          <w:rFonts w:eastAsia="Calibri"/>
          <w:bCs/>
        </w:rPr>
        <w:t xml:space="preserve">The education, chart alerts, and feedback have enabled the providers at the project site to better detect vitamin D deficiencies and the protocol has provided a standardized approach to patient care. Standardized approach to care results in earlier identification of issues and enables less invasive management.  </w:t>
      </w:r>
      <w:r w:rsidRPr="004C0BB9">
        <w:rPr>
          <w:color w:val="000000" w:themeColor="text1"/>
        </w:rPr>
        <w:t xml:space="preserve">Implementation of this protocol resulted in </w:t>
      </w:r>
      <w:r w:rsidR="004C0BB9" w:rsidRPr="004C0BB9">
        <w:rPr>
          <w:color w:val="000000" w:themeColor="text1"/>
        </w:rPr>
        <w:t xml:space="preserve">standardized care, for screening &amp; supplementation of vitamin D in MS, which improves patient outcomes and reduces costs.  </w:t>
      </w:r>
      <w:r>
        <w:rPr>
          <w:color w:val="000000" w:themeColor="text1"/>
        </w:rPr>
        <w:t>Providers are able to better detect vitamin D deficiencies as well as determine how to proceed with supplementation.  Earlier identification and treatment of vitamin D deficiency reduces potential adverse outcomes such as disease activity and accompanying treatment.  Depending on the severity, the cost of a single relapse can range from $568 to $10,010.  Throughout the implementation period there were a total of 82 vitamin D deficiencies identified, which if untreated and followed a relapse would result in treatment costs of $46, 576 to $820,</w:t>
      </w:r>
      <w:r w:rsidR="00B03AF3">
        <w:rPr>
          <w:color w:val="000000" w:themeColor="text1"/>
        </w:rPr>
        <w:t>8</w:t>
      </w:r>
      <w:r>
        <w:rPr>
          <w:color w:val="000000" w:themeColor="text1"/>
        </w:rPr>
        <w:t xml:space="preserve">20.  </w:t>
      </w:r>
    </w:p>
    <w:p w14:paraId="5FFD3074" w14:textId="77777777" w:rsidR="00C25E90" w:rsidRPr="007900CD" w:rsidRDefault="00C25E90" w:rsidP="00C25E90">
      <w:pPr>
        <w:spacing w:after="160" w:line="480" w:lineRule="auto"/>
        <w:contextualSpacing/>
        <w:rPr>
          <w:rFonts w:eastAsia="Calibri"/>
          <w:bCs/>
        </w:rPr>
      </w:pPr>
      <w:r>
        <w:rPr>
          <w:color w:val="000000" w:themeColor="text1"/>
        </w:rPr>
        <w:tab/>
        <w:t xml:space="preserve">Additionally, a standardized protocol-based care contributes to streamlining care delivery for patients.  The elements of the project, such as integration of the vitamin D indicator in the EHR aided in reducing provider workload required for patient record review.  The providers reported that the EHR application was beneficial toward an efficient workflow for promotion of </w:t>
      </w:r>
      <w:r>
        <w:rPr>
          <w:color w:val="000000" w:themeColor="text1"/>
        </w:rPr>
        <w:lastRenderedPageBreak/>
        <w:t xml:space="preserve">the screening protocol.  As a result of the protocol implementation, there was a sustained improvement in vitamin D screening from the pre-implementation period.  Given the success of increasing screening rates for vitamin D in MS patients, this project could be replicated in other departments and MS specialty clinics.  </w:t>
      </w:r>
    </w:p>
    <w:p w14:paraId="0F38AEAE" w14:textId="77777777" w:rsidR="00C25E90" w:rsidRPr="009D2C3A" w:rsidRDefault="00C25E90" w:rsidP="00C25E90">
      <w:pPr>
        <w:spacing w:after="160" w:line="480" w:lineRule="auto"/>
        <w:rPr>
          <w:b/>
          <w:bCs/>
        </w:rPr>
      </w:pPr>
      <w:r>
        <w:rPr>
          <w:rFonts w:eastAsia="Calibri"/>
          <w:b/>
        </w:rPr>
        <w:t>Project Strength and Limitations</w:t>
      </w:r>
    </w:p>
    <w:p w14:paraId="0C920934" w14:textId="77777777" w:rsidR="00C25E90" w:rsidRDefault="00C25E90" w:rsidP="00C25E90">
      <w:pPr>
        <w:spacing w:line="480" w:lineRule="auto"/>
        <w:ind w:firstLine="720"/>
        <w:contextualSpacing/>
      </w:pPr>
      <w:r>
        <w:t xml:space="preserve">The organizations strong commitment to excellent patient care, engagement of the providers, interdisciplinary collaboration, and available in-house services were instrumental in the success of the project.  </w:t>
      </w:r>
      <w:r w:rsidRPr="0030632A">
        <w:t>Another advantage of the project was the high level of organizational efficiency with valuable resources and interdisciplinary team members with various attributes.  The patient population served by the site, including patients with various insurances and self-pay, was a strength of the project.</w:t>
      </w:r>
      <w:r>
        <w:t xml:space="preserve">  Lastly, use of the EHR to easily identify patients with the diagnosis of MS and the ability to track the date and value of the patients last completed vitamin D lab work was a valuable strength.</w:t>
      </w:r>
    </w:p>
    <w:p w14:paraId="5977C803" w14:textId="77777777" w:rsidR="00C25E90" w:rsidRDefault="00C25E90" w:rsidP="00C25E90">
      <w:pPr>
        <w:spacing w:line="480" w:lineRule="auto"/>
        <w:ind w:firstLine="720"/>
        <w:contextualSpacing/>
        <w:rPr>
          <w:rFonts w:eastAsia="Calibri"/>
        </w:rPr>
      </w:pPr>
      <w:r>
        <w:rPr>
          <w:rFonts w:eastAsia="Calibri"/>
        </w:rPr>
        <w:t xml:space="preserve">The project limitations included restricted time, specifically the short duration of the initiative, downtime of the EHR system, and the limited time the providers were in clinic.  The duration of the project did not allow for a 4 month follow up on the patients identified as vitamin D deficient.  </w:t>
      </w:r>
      <w:r w:rsidRPr="00F808C3">
        <w:rPr>
          <w:rFonts w:eastAsia="Calibri"/>
        </w:rPr>
        <w:t xml:space="preserve">Given the three-month </w:t>
      </w:r>
      <w:r w:rsidRPr="0030632A">
        <w:rPr>
          <w:rFonts w:eastAsia="Calibri"/>
        </w:rPr>
        <w:t>implementation period, it was not feasible to further evaluate the effectiveness of the supplementation regimen.  There was an unforeseen technical issue which resulted in the EHR system being down during week 7 of implementation.  As a result, the vitamin D chart alert indicator was not functioning during weeks 8-10.  This was believed to be attributed to the slight decrease in provider compliance during the last four-weeks of implementation.  Additionally, there was an increase in the amount of time the providers were out of office during the last four weeks of the project.</w:t>
      </w:r>
      <w:r>
        <w:rPr>
          <w:rFonts w:eastAsia="Calibri"/>
        </w:rPr>
        <w:t xml:space="preserve">   </w:t>
      </w:r>
    </w:p>
    <w:p w14:paraId="6340F6CD" w14:textId="77777777" w:rsidR="00C25E90" w:rsidRDefault="00C25E90" w:rsidP="00C25E90">
      <w:pPr>
        <w:spacing w:line="480" w:lineRule="auto"/>
        <w:ind w:firstLine="720"/>
        <w:contextualSpacing/>
        <w:rPr>
          <w:rFonts w:eastAsia="Calibri"/>
        </w:rPr>
      </w:pPr>
      <w:r w:rsidRPr="0030632A">
        <w:rPr>
          <w:rFonts w:eastAsia="Calibri"/>
        </w:rPr>
        <w:lastRenderedPageBreak/>
        <w:t>Lack of standardized formal guidelines regarding vitamin D screening and supplementation was another limitation of the project.  As there were no formal established guidelines, the protocol was developed based on best practices recommendations &amp; provider consensus to enable standardization in practice.</w:t>
      </w:r>
    </w:p>
    <w:p w14:paraId="4E48FCE6" w14:textId="77777777" w:rsidR="00C25E90" w:rsidRDefault="00C25E90" w:rsidP="00C25E90">
      <w:pPr>
        <w:spacing w:after="160" w:line="480" w:lineRule="auto"/>
        <w:ind w:firstLine="720"/>
        <w:contextualSpacing/>
        <w:rPr>
          <w:rFonts w:eastAsia="Calibri"/>
          <w:b/>
        </w:rPr>
      </w:pPr>
      <w:r>
        <w:rPr>
          <w:rFonts w:eastAsia="Calibri"/>
        </w:rPr>
        <w:t xml:space="preserve">Another limitation included patient adherence to the vitamin D regimen.  There were instances where the providers appropriately placed orders for vitamin D lab test completion, however the lab work was not completed.  This potentially impacted the outcomes as related to the total vitamin D deficiencies identified. </w:t>
      </w:r>
      <w:r w:rsidRPr="0030632A">
        <w:rPr>
          <w:rFonts w:eastAsia="Calibri"/>
        </w:rPr>
        <w:t>As the reasons for this were unidentifiable, future projects to identify why patients were not adherent to the regimen are recommended.</w:t>
      </w:r>
    </w:p>
    <w:p w14:paraId="611AE902" w14:textId="77777777" w:rsidR="00C25E90" w:rsidRPr="00EC7EA5" w:rsidRDefault="00C25E90" w:rsidP="00C25E90">
      <w:pPr>
        <w:spacing w:after="160" w:line="480" w:lineRule="auto"/>
        <w:contextualSpacing/>
        <w:rPr>
          <w:rFonts w:eastAsia="Calibri"/>
          <w:b/>
        </w:rPr>
      </w:pPr>
      <w:r w:rsidRPr="00EC7EA5">
        <w:rPr>
          <w:rFonts w:eastAsia="Calibri"/>
          <w:b/>
        </w:rPr>
        <w:t xml:space="preserve">Project </w:t>
      </w:r>
      <w:r>
        <w:rPr>
          <w:rFonts w:eastAsia="Calibri"/>
          <w:b/>
        </w:rPr>
        <w:t>Benefits</w:t>
      </w:r>
    </w:p>
    <w:p w14:paraId="6069C951" w14:textId="6DA11B2C" w:rsidR="00C25E90" w:rsidRDefault="00C25E90" w:rsidP="00C25E90">
      <w:pPr>
        <w:spacing w:line="480" w:lineRule="auto"/>
        <w:ind w:firstLine="720"/>
        <w:contextualSpacing/>
      </w:pPr>
      <w:r>
        <w:t>The project allowed the practice site to establish a protocol for vitamin D deficiency screening, which promoted the rate of screening and improved provider workflow.  The chart alert indicator enabled the providers to readily access pertinent information such as the date of the last vitamin D test completed by the patient as well as related lab value</w:t>
      </w:r>
      <w:r w:rsidRPr="0030632A">
        <w:t xml:space="preserve">.  The EHR indicator reduced the time to obtain the necessary information for any further action needed, such as vitamin D testing order </w:t>
      </w:r>
      <w:r w:rsidR="004C0BB9" w:rsidRPr="0030632A">
        <w:t>placement, and</w:t>
      </w:r>
      <w:r w:rsidRPr="0030632A">
        <w:t xml:space="preserve"> for compliance with the protocol.</w:t>
      </w:r>
      <w:r>
        <w:t xml:space="preserve">   </w:t>
      </w:r>
    </w:p>
    <w:p w14:paraId="555D0F3A" w14:textId="589C52F4" w:rsidR="00C25E90" w:rsidRDefault="00C25E90" w:rsidP="00C25E90">
      <w:pPr>
        <w:spacing w:after="160" w:line="480" w:lineRule="auto"/>
        <w:ind w:firstLine="720"/>
        <w:contextualSpacing/>
      </w:pPr>
      <w:r>
        <w:t xml:space="preserve">Improved screening contributes to preventative healthcare and may lead to lower cost of healthcare.  </w:t>
      </w:r>
      <w:r w:rsidRPr="006837BC">
        <w:t xml:space="preserve">Several studies have found that vitamin D levels are lower in MS patients and lower vitamin D levels in MS patients are associated with harmful health outcomes such as disease progression, disability, and a poorer quality of </w:t>
      </w:r>
      <w:r w:rsidRPr="0030632A">
        <w:t xml:space="preserve">life </w:t>
      </w:r>
      <w:r w:rsidRPr="0030632A">
        <w:rPr>
          <w:spacing w:val="3"/>
          <w:shd w:val="clear" w:color="auto" w:fill="FFFFFF"/>
        </w:rPr>
        <w:t>(</w:t>
      </w:r>
      <w:proofErr w:type="spellStart"/>
      <w:r w:rsidRPr="0030632A">
        <w:rPr>
          <w:shd w:val="clear" w:color="auto" w:fill="FFFFFF"/>
        </w:rPr>
        <w:t>Alharbi</w:t>
      </w:r>
      <w:proofErr w:type="spellEnd"/>
      <w:r w:rsidRPr="0030632A">
        <w:rPr>
          <w:shd w:val="clear" w:color="auto" w:fill="FFFFFF"/>
        </w:rPr>
        <w:t xml:space="preserve">, 2015; </w:t>
      </w:r>
      <w:proofErr w:type="spellStart"/>
      <w:r w:rsidRPr="0030632A">
        <w:rPr>
          <w:color w:val="000000"/>
        </w:rPr>
        <w:t>Thouvenot</w:t>
      </w:r>
      <w:proofErr w:type="spellEnd"/>
      <w:r w:rsidRPr="0030632A">
        <w:rPr>
          <w:color w:val="000000"/>
        </w:rPr>
        <w:t xml:space="preserve">, </w:t>
      </w:r>
      <w:proofErr w:type="spellStart"/>
      <w:r w:rsidRPr="0030632A">
        <w:rPr>
          <w:color w:val="000000"/>
        </w:rPr>
        <w:t>Orsini</w:t>
      </w:r>
      <w:proofErr w:type="spellEnd"/>
      <w:r w:rsidRPr="0030632A">
        <w:rPr>
          <w:color w:val="000000"/>
        </w:rPr>
        <w:t xml:space="preserve">, </w:t>
      </w:r>
      <w:proofErr w:type="spellStart"/>
      <w:r w:rsidRPr="0030632A">
        <w:rPr>
          <w:color w:val="000000"/>
        </w:rPr>
        <w:t>Daures</w:t>
      </w:r>
      <w:proofErr w:type="spellEnd"/>
      <w:r w:rsidRPr="0030632A">
        <w:rPr>
          <w:color w:val="000000"/>
        </w:rPr>
        <w:t xml:space="preserve">, &amp; </w:t>
      </w:r>
      <w:proofErr w:type="spellStart"/>
      <w:r w:rsidRPr="0030632A">
        <w:rPr>
          <w:color w:val="000000"/>
        </w:rPr>
        <w:t>Camu</w:t>
      </w:r>
      <w:proofErr w:type="spellEnd"/>
      <w:r w:rsidRPr="0030632A">
        <w:rPr>
          <w:color w:val="000000"/>
        </w:rPr>
        <w:t>, 2015</w:t>
      </w:r>
      <w:r w:rsidRPr="0030632A">
        <w:rPr>
          <w:spacing w:val="3"/>
          <w:shd w:val="clear" w:color="auto" w:fill="FFFFFF"/>
        </w:rPr>
        <w:t xml:space="preserve">; </w:t>
      </w:r>
      <w:proofErr w:type="spellStart"/>
      <w:r w:rsidRPr="0030632A">
        <w:rPr>
          <w:spacing w:val="3"/>
          <w:shd w:val="clear" w:color="auto" w:fill="FFFFFF"/>
        </w:rPr>
        <w:t>Ascherio</w:t>
      </w:r>
      <w:proofErr w:type="spellEnd"/>
      <w:r w:rsidRPr="0030632A">
        <w:rPr>
          <w:spacing w:val="3"/>
          <w:shd w:val="clear" w:color="auto" w:fill="FFFFFF"/>
        </w:rPr>
        <w:t xml:space="preserve"> et al., 2014; </w:t>
      </w:r>
      <w:proofErr w:type="spellStart"/>
      <w:r w:rsidRPr="0030632A">
        <w:rPr>
          <w:spacing w:val="3"/>
          <w:shd w:val="clear" w:color="auto" w:fill="FFFFFF"/>
        </w:rPr>
        <w:t>Darwish</w:t>
      </w:r>
      <w:proofErr w:type="spellEnd"/>
      <w:r w:rsidRPr="0030632A">
        <w:rPr>
          <w:spacing w:val="3"/>
          <w:shd w:val="clear" w:color="auto" w:fill="FFFFFF"/>
        </w:rPr>
        <w:t xml:space="preserve"> et al., 2017).</w:t>
      </w:r>
      <w:r>
        <w:t xml:space="preserve">  Higher rates of screening possibly reduce the rate of undetected and untreated deficiencies therefore contributing to higher quality of life, reduced disease progression, and disability. </w:t>
      </w:r>
    </w:p>
    <w:p w14:paraId="0027511B" w14:textId="661F3453" w:rsidR="004C0BB9" w:rsidRDefault="004C0BB9" w:rsidP="00C25E90">
      <w:pPr>
        <w:spacing w:after="160" w:line="480" w:lineRule="auto"/>
        <w:ind w:firstLine="720"/>
        <w:contextualSpacing/>
      </w:pPr>
      <w:r>
        <w:lastRenderedPageBreak/>
        <w:t xml:space="preserve">The project has a potential for lower healthcare costs.  Evidence shows increased disease activity is associated with lower levels of vitamin D.  If providers are able to identify and prevent adverse outcomes, such as relapse, by early identification and treatment in just one patient, the healthcare savings range from $568 to $10,010.  </w:t>
      </w:r>
    </w:p>
    <w:p w14:paraId="6E1E0600" w14:textId="77777777" w:rsidR="00C25E90" w:rsidRPr="00093306" w:rsidRDefault="00C25E90" w:rsidP="00C25E90">
      <w:pPr>
        <w:spacing w:after="160" w:line="480" w:lineRule="auto"/>
        <w:contextualSpacing/>
        <w:rPr>
          <w:rFonts w:eastAsia="Calibri"/>
          <w:b/>
        </w:rPr>
      </w:pPr>
      <w:r w:rsidRPr="00093306">
        <w:rPr>
          <w:rFonts w:eastAsia="Calibri"/>
          <w:b/>
        </w:rPr>
        <w:t xml:space="preserve">Recommendations for Practice </w:t>
      </w:r>
    </w:p>
    <w:p w14:paraId="10D9175A" w14:textId="77777777" w:rsidR="00C25E90" w:rsidRDefault="00C25E90" w:rsidP="00C25E90">
      <w:pPr>
        <w:spacing w:line="480" w:lineRule="auto"/>
        <w:ind w:firstLine="720"/>
        <w:contextualSpacing/>
      </w:pPr>
      <w:r>
        <w:t xml:space="preserve">Utilization of a protocol for vitamin D screening and supplementation in MS patients is a suitable method to improve screening, </w:t>
      </w:r>
      <w:r w:rsidRPr="0030632A">
        <w:t>reduce possible undetected and untreated deficiencies, and reduce costs related to MS disease exacerbation and disability.  Recommendations for future efforts to promote positive change include improvement in vitamin D documentation and accessibility of outside records.   Throughout the implementation of the project, there were instances where patients had completed lab work at other facilities, however these records were not on file or available.  It is imperative that processes be established to ensure patient information are documented and readily available to avoid unnecessary procedures and duplicative care.  This can lead to patient dissatisfaction in their care as well as additional costs.</w:t>
      </w:r>
      <w:r>
        <w:t xml:space="preserve">  </w:t>
      </w:r>
    </w:p>
    <w:p w14:paraId="73619A27" w14:textId="77777777" w:rsidR="00C25E90" w:rsidRDefault="00C25E90" w:rsidP="00C25E90">
      <w:pPr>
        <w:spacing w:line="480" w:lineRule="auto"/>
        <w:ind w:firstLine="720"/>
        <w:contextualSpacing/>
      </w:pPr>
      <w:r>
        <w:t xml:space="preserve">This project serves as the first stage in a potential continual initiative at the project site.  Further follow up is crucial to evaluate the outcomes of the supplementation at 4 months’ time.  In addition, further projects are needed to evaluate influencing factors for patient adherence to the vitamin D regimen.  </w:t>
      </w:r>
      <w:r w:rsidRPr="0030632A">
        <w:t>Finally, further development and standardization of a formal policy for vitamin D guideline protocol for MS patients is essential.</w:t>
      </w:r>
      <w:r>
        <w:t xml:space="preserve"> </w:t>
      </w:r>
    </w:p>
    <w:p w14:paraId="0263CECC" w14:textId="77777777" w:rsidR="00C25E90" w:rsidRPr="0030632A" w:rsidRDefault="00C25E90" w:rsidP="00C25E90">
      <w:pPr>
        <w:spacing w:line="480" w:lineRule="auto"/>
        <w:contextualSpacing/>
        <w:rPr>
          <w:b/>
          <w:bCs/>
        </w:rPr>
      </w:pPr>
      <w:r w:rsidRPr="0030632A">
        <w:rPr>
          <w:b/>
          <w:bCs/>
        </w:rPr>
        <w:t>Summary</w:t>
      </w:r>
    </w:p>
    <w:p w14:paraId="4A0108B4" w14:textId="77777777" w:rsidR="00C25E90" w:rsidRDefault="00C25E90" w:rsidP="00C25E90">
      <w:pPr>
        <w:spacing w:line="480" w:lineRule="auto"/>
        <w:ind w:firstLine="720"/>
        <w:contextualSpacing/>
      </w:pPr>
      <w:r w:rsidRPr="0030632A">
        <w:t xml:space="preserve">This quality improvement project was created to illustrate an effective strategy for increased vitamin D screening and supplementation in MS patients.  The outcomes data illustrated the interventions in this project likely contributed to increased screening compliance.  </w:t>
      </w:r>
      <w:r w:rsidRPr="0030632A">
        <w:lastRenderedPageBreak/>
        <w:t xml:space="preserve">There are an estimated </w:t>
      </w:r>
      <w:r w:rsidRPr="0030632A">
        <w:rPr>
          <w:shd w:val="clear" w:color="auto" w:fill="FFFFFF"/>
        </w:rPr>
        <w:t xml:space="preserve">2.5 million people with Multiple Sclerosis (MS) worldwide, whom could benefit from early identification and treatment of vitamin D deficiency.  The quality of life for MS patients could be improved and their cost of healthcare reduced with a standardized approach in managing Vitamin D regimens. </w:t>
      </w:r>
      <w:r w:rsidRPr="0030632A">
        <w:t xml:space="preserve"> The design and implementation of the project demonstrated the complexities involved with evidence-based practice change.    Quality improvement projects such as the one conducted are essential for continued improvement in </w:t>
      </w:r>
      <w:r w:rsidRPr="0030632A">
        <w:rPr>
          <w:rFonts w:eastAsia="Calibri"/>
        </w:rPr>
        <w:t>patient outcomes, costs of healthcare reduction, improved quality of care, and evidence-based practice.</w:t>
      </w:r>
      <w:r w:rsidRPr="00340E00">
        <w:rPr>
          <w:rFonts w:eastAsia="Calibri"/>
        </w:rPr>
        <w:t xml:space="preserve">  </w:t>
      </w:r>
      <w:r>
        <w:t xml:space="preserve"> </w:t>
      </w:r>
    </w:p>
    <w:p w14:paraId="24B7BBC2" w14:textId="77777777" w:rsidR="00C25E90" w:rsidRDefault="00C25E90" w:rsidP="00C25E90"/>
    <w:p w14:paraId="3C9AF8F3" w14:textId="194831A9" w:rsidR="00920113" w:rsidRDefault="00920113">
      <w:pPr>
        <w:rPr>
          <w:b/>
          <w:bCs/>
        </w:rPr>
      </w:pPr>
      <w:r>
        <w:rPr>
          <w:b/>
          <w:bCs/>
        </w:rPr>
        <w:br w:type="page"/>
      </w:r>
    </w:p>
    <w:p w14:paraId="41784E3E" w14:textId="77777777" w:rsidR="00AF3592" w:rsidRDefault="00AF3592">
      <w:pPr>
        <w:rPr>
          <w:b/>
          <w:bCs/>
        </w:rPr>
      </w:pPr>
    </w:p>
    <w:p w14:paraId="16405352" w14:textId="47488CA4" w:rsidR="003A55CE" w:rsidRPr="00EB34C5" w:rsidRDefault="0A66DF1E" w:rsidP="2597DD41">
      <w:pPr>
        <w:spacing w:line="480" w:lineRule="auto"/>
        <w:jc w:val="center"/>
        <w:rPr>
          <w:color w:val="000000" w:themeColor="text1"/>
        </w:rPr>
      </w:pPr>
      <w:r w:rsidRPr="00EB34C5">
        <w:rPr>
          <w:color w:val="000000" w:themeColor="text1"/>
        </w:rPr>
        <w:t>References</w:t>
      </w:r>
    </w:p>
    <w:p w14:paraId="0254F9D9" w14:textId="3FE3476F" w:rsidR="0A66DF1E" w:rsidRPr="00EB34C5" w:rsidRDefault="0A66DF1E" w:rsidP="0A66DF1E">
      <w:pPr>
        <w:spacing w:line="480" w:lineRule="auto"/>
        <w:ind w:left="720" w:hanging="720"/>
        <w:rPr>
          <w:color w:val="000000" w:themeColor="text1"/>
        </w:rPr>
      </w:pPr>
      <w:r w:rsidRPr="00EB34C5">
        <w:rPr>
          <w:color w:val="000000" w:themeColor="text1"/>
        </w:rPr>
        <w:t>Agency for Healthcare Research and Quality. (2014)</w:t>
      </w:r>
      <w:r w:rsidR="009421C0" w:rsidRPr="00EB34C5">
        <w:rPr>
          <w:color w:val="000000" w:themeColor="text1"/>
        </w:rPr>
        <w:t>. Do</w:t>
      </w:r>
      <w:r w:rsidRPr="00EB34C5">
        <w:rPr>
          <w:color w:val="000000" w:themeColor="text1"/>
        </w:rPr>
        <w:t xml:space="preserve"> We Implement Best Practices in Our Organization? (</w:t>
      </w:r>
      <w:proofErr w:type="gramStart"/>
      <w:r w:rsidRPr="00EB34C5">
        <w:rPr>
          <w:color w:val="000000" w:themeColor="text1"/>
        </w:rPr>
        <w:t>conti</w:t>
      </w:r>
      <w:r w:rsidR="00C701AA" w:rsidRPr="00EB34C5">
        <w:rPr>
          <w:color w:val="000000" w:themeColor="text1"/>
        </w:rPr>
        <w:t>n</w:t>
      </w:r>
      <w:r w:rsidRPr="00EB34C5">
        <w:rPr>
          <w:color w:val="000000" w:themeColor="text1"/>
        </w:rPr>
        <w:t>ued</w:t>
      </w:r>
      <w:proofErr w:type="gramEnd"/>
      <w:r w:rsidRPr="00EB34C5">
        <w:rPr>
          <w:color w:val="000000" w:themeColor="text1"/>
        </w:rPr>
        <w:t>). Retrieved from</w:t>
      </w:r>
      <w:r w:rsidR="0030516E" w:rsidRPr="00EB34C5">
        <w:rPr>
          <w:color w:val="000000" w:themeColor="text1"/>
        </w:rPr>
        <w:t xml:space="preserve"> </w:t>
      </w:r>
      <w:hyperlink r:id="rId8" w:history="1">
        <w:r w:rsidR="0030516E" w:rsidRPr="00EB34C5">
          <w:rPr>
            <w:rStyle w:val="Hyperlink"/>
            <w:color w:val="000000" w:themeColor="text1"/>
          </w:rPr>
          <w:t>https://www.ahrq.gov/professionals/systems/hospital/pressureulcertoolkit/putool4a.html</w:t>
        </w:r>
      </w:hyperlink>
    </w:p>
    <w:p w14:paraId="3EB53C03" w14:textId="39AC73A5" w:rsidR="0A66DF1E" w:rsidRPr="00EB34C5" w:rsidRDefault="0A66DF1E" w:rsidP="0A66DF1E">
      <w:pPr>
        <w:spacing w:line="480" w:lineRule="auto"/>
        <w:ind w:left="720" w:hanging="720"/>
        <w:rPr>
          <w:color w:val="000000" w:themeColor="text1"/>
        </w:rPr>
      </w:pPr>
      <w:r w:rsidRPr="00EB34C5">
        <w:rPr>
          <w:color w:val="000000" w:themeColor="text1"/>
        </w:rPr>
        <w:t>AHIMA. (2012)</w:t>
      </w:r>
      <w:r w:rsidR="009421C0" w:rsidRPr="00EB34C5">
        <w:rPr>
          <w:color w:val="000000" w:themeColor="text1"/>
        </w:rPr>
        <w:t>. Using</w:t>
      </w:r>
      <w:r w:rsidRPr="00EB34C5">
        <w:rPr>
          <w:color w:val="000000" w:themeColor="text1"/>
        </w:rPr>
        <w:t xml:space="preserve"> Medical Scribes in a Physician Practice. Retrieved from </w:t>
      </w:r>
      <w:hyperlink r:id="rId9" w:anchor=".Wz688zNKi9Y">
        <w:r w:rsidRPr="00EB34C5">
          <w:rPr>
            <w:rStyle w:val="Hyperlink"/>
            <w:color w:val="000000" w:themeColor="text1"/>
          </w:rPr>
          <w:t>http://library.ahima.org/doc?oid=106220#.Wz688zNKi9Y</w:t>
        </w:r>
      </w:hyperlink>
    </w:p>
    <w:p w14:paraId="034EE66E" w14:textId="5626E5B1" w:rsidR="78CD322B" w:rsidRPr="00EB34C5" w:rsidRDefault="78CD322B" w:rsidP="78CD322B">
      <w:pPr>
        <w:spacing w:line="480" w:lineRule="auto"/>
        <w:ind w:left="720" w:hanging="720"/>
        <w:rPr>
          <w:color w:val="000000" w:themeColor="text1"/>
        </w:rPr>
      </w:pPr>
      <w:proofErr w:type="spellStart"/>
      <w:r w:rsidRPr="00EB34C5">
        <w:rPr>
          <w:color w:val="000000" w:themeColor="text1"/>
        </w:rPr>
        <w:t>Alligood</w:t>
      </w:r>
      <w:proofErr w:type="spellEnd"/>
      <w:r w:rsidRPr="00EB34C5">
        <w:rPr>
          <w:color w:val="000000" w:themeColor="text1"/>
        </w:rPr>
        <w:t>, M.R. (2013)</w:t>
      </w:r>
      <w:r w:rsidR="0030516E" w:rsidRPr="00EB34C5">
        <w:rPr>
          <w:color w:val="000000" w:themeColor="text1"/>
        </w:rPr>
        <w:t>.</w:t>
      </w:r>
      <w:r w:rsidRPr="00EB34C5">
        <w:rPr>
          <w:color w:val="000000" w:themeColor="text1"/>
        </w:rPr>
        <w:t xml:space="preserve"> </w:t>
      </w:r>
      <w:r w:rsidR="00766889" w:rsidRPr="00EB34C5">
        <w:rPr>
          <w:color w:val="000000" w:themeColor="text1"/>
        </w:rPr>
        <w:t xml:space="preserve"> </w:t>
      </w:r>
      <w:r w:rsidRPr="00EB34C5">
        <w:rPr>
          <w:color w:val="000000" w:themeColor="text1"/>
        </w:rPr>
        <w:t>Nursing Theorists and Their Work. Elsevier Health Sciences, Amsterdam.</w:t>
      </w:r>
    </w:p>
    <w:p w14:paraId="3CC92550" w14:textId="143A1EB7" w:rsidR="003A55CE" w:rsidRDefault="693C9F63" w:rsidP="003A55CE">
      <w:pPr>
        <w:spacing w:line="480" w:lineRule="auto"/>
        <w:ind w:left="720" w:hanging="720"/>
        <w:rPr>
          <w:color w:val="000000" w:themeColor="text1"/>
        </w:rPr>
      </w:pPr>
      <w:bookmarkStart w:id="8" w:name="_Hlk510949335"/>
      <w:proofErr w:type="spellStart"/>
      <w:r w:rsidRPr="00EB34C5">
        <w:rPr>
          <w:color w:val="000000" w:themeColor="text1"/>
        </w:rPr>
        <w:t>Alharbi</w:t>
      </w:r>
      <w:proofErr w:type="spellEnd"/>
      <w:r w:rsidRPr="00EB34C5">
        <w:rPr>
          <w:color w:val="000000" w:themeColor="text1"/>
        </w:rPr>
        <w:t xml:space="preserve">, F. (2015). </w:t>
      </w:r>
      <w:r w:rsidR="00766889" w:rsidRPr="00EB34C5">
        <w:rPr>
          <w:color w:val="000000" w:themeColor="text1"/>
        </w:rPr>
        <w:t xml:space="preserve"> </w:t>
      </w:r>
      <w:r w:rsidRPr="00EB34C5">
        <w:rPr>
          <w:color w:val="000000" w:themeColor="text1"/>
        </w:rPr>
        <w:t>Update in vitamin D and multiple sclerosis.</w:t>
      </w:r>
      <w:r w:rsidRPr="00EB34C5">
        <w:rPr>
          <w:i/>
          <w:iCs/>
          <w:color w:val="000000" w:themeColor="text1"/>
        </w:rPr>
        <w:t> Neurosciences (Riyadh, Saudi Arabia), 20</w:t>
      </w:r>
      <w:r w:rsidRPr="00EB34C5">
        <w:rPr>
          <w:color w:val="000000" w:themeColor="text1"/>
        </w:rPr>
        <w:t>(4), 329-335. 10.17712/nsj.2015.4.20150357</w:t>
      </w:r>
    </w:p>
    <w:p w14:paraId="14B90B47" w14:textId="3BA50B1C" w:rsidR="000E4F9D" w:rsidRPr="007F5BB1" w:rsidRDefault="000E4F9D" w:rsidP="007F5BB1">
      <w:pPr>
        <w:spacing w:line="480" w:lineRule="auto"/>
        <w:ind w:left="720" w:hanging="720"/>
        <w:contextualSpacing/>
        <w:rPr>
          <w:rFonts w:eastAsia="Calibri"/>
          <w:color w:val="000000" w:themeColor="text1"/>
        </w:rPr>
      </w:pPr>
      <w:r w:rsidRPr="0014796F">
        <w:rPr>
          <w:rFonts w:eastAsia="Calibri"/>
          <w:color w:val="000000" w:themeColor="text1"/>
        </w:rPr>
        <w:t>American Association of Colleges of Nursing. (2006)</w:t>
      </w:r>
      <w:r w:rsidR="009421C0" w:rsidRPr="0014796F">
        <w:rPr>
          <w:rFonts w:eastAsia="Calibri"/>
          <w:color w:val="000000" w:themeColor="text1"/>
        </w:rPr>
        <w:t xml:space="preserve">. </w:t>
      </w:r>
      <w:proofErr w:type="gramStart"/>
      <w:r w:rsidR="009421C0" w:rsidRPr="0014796F">
        <w:rPr>
          <w:rFonts w:eastAsia="Calibri"/>
          <w:color w:val="000000" w:themeColor="text1"/>
        </w:rPr>
        <w:t>The</w:t>
      </w:r>
      <w:proofErr w:type="gramEnd"/>
      <w:r w:rsidRPr="0014796F">
        <w:rPr>
          <w:rFonts w:eastAsia="Calibri"/>
          <w:color w:val="000000" w:themeColor="text1"/>
        </w:rPr>
        <w:t xml:space="preserve"> Essentials of Doctoral Education for Advanced Nursing Practice.  Retrieved from: </w:t>
      </w:r>
      <w:hyperlink r:id="rId10" w:history="1">
        <w:r w:rsidRPr="0014796F">
          <w:rPr>
            <w:rStyle w:val="Hyperlink"/>
          </w:rPr>
          <w:t>https://www.aacnnursing.org/Portals/42/Publications/DNPEssentials.pdf</w:t>
        </w:r>
      </w:hyperlink>
    </w:p>
    <w:p w14:paraId="11C95FA8" w14:textId="57385862" w:rsidR="0A66DF1E" w:rsidRPr="00EB34C5" w:rsidRDefault="0A66DF1E" w:rsidP="0A66DF1E">
      <w:pPr>
        <w:spacing w:line="480" w:lineRule="auto"/>
        <w:ind w:left="720" w:hanging="720"/>
        <w:rPr>
          <w:color w:val="000000" w:themeColor="text1"/>
        </w:rPr>
      </w:pPr>
      <w:r w:rsidRPr="00EB34C5">
        <w:rPr>
          <w:color w:val="000000" w:themeColor="text1"/>
        </w:rPr>
        <w:t>The American College of Medical Scribe Specialists. (2016)</w:t>
      </w:r>
      <w:r w:rsidR="009421C0" w:rsidRPr="00EB34C5">
        <w:rPr>
          <w:color w:val="000000" w:themeColor="text1"/>
        </w:rPr>
        <w:t>. Certified</w:t>
      </w:r>
      <w:r w:rsidRPr="00EB34C5">
        <w:rPr>
          <w:color w:val="000000" w:themeColor="text1"/>
        </w:rPr>
        <w:t xml:space="preserve"> Medical Scribe Support Can Alleviate Physician EHR Burnout Concerns; Certify Today. Retrieved from https://theacmss.org/certification/certified-medical-scribe-support-can-alleviate-physician-ehr-burnout-concerns-certify-today/</w:t>
      </w:r>
    </w:p>
    <w:p w14:paraId="0BA95491" w14:textId="556E165F" w:rsidR="003A55CE" w:rsidRPr="00EB34C5" w:rsidRDefault="693C9F63" w:rsidP="003A55CE">
      <w:pPr>
        <w:spacing w:line="480" w:lineRule="auto"/>
        <w:ind w:left="720" w:hanging="720"/>
        <w:rPr>
          <w:color w:val="000000" w:themeColor="text1"/>
        </w:rPr>
      </w:pPr>
      <w:proofErr w:type="spellStart"/>
      <w:r w:rsidRPr="00EB34C5">
        <w:rPr>
          <w:color w:val="000000" w:themeColor="text1"/>
        </w:rPr>
        <w:t>Ascherio</w:t>
      </w:r>
      <w:proofErr w:type="spellEnd"/>
      <w:r w:rsidRPr="00EB34C5">
        <w:rPr>
          <w:color w:val="000000" w:themeColor="text1"/>
        </w:rPr>
        <w:t xml:space="preserve">, A., </w:t>
      </w:r>
      <w:proofErr w:type="spellStart"/>
      <w:r w:rsidRPr="00EB34C5">
        <w:rPr>
          <w:color w:val="000000" w:themeColor="text1"/>
        </w:rPr>
        <w:t>Munger</w:t>
      </w:r>
      <w:proofErr w:type="spellEnd"/>
      <w:r w:rsidRPr="00EB34C5">
        <w:rPr>
          <w:color w:val="000000" w:themeColor="text1"/>
        </w:rPr>
        <w:t xml:space="preserve">, K., White, R., </w:t>
      </w:r>
      <w:proofErr w:type="spellStart"/>
      <w:r w:rsidRPr="00EB34C5">
        <w:rPr>
          <w:color w:val="000000" w:themeColor="text1"/>
        </w:rPr>
        <w:t>Kochert</w:t>
      </w:r>
      <w:proofErr w:type="spellEnd"/>
      <w:r w:rsidRPr="00EB34C5">
        <w:rPr>
          <w:color w:val="000000" w:themeColor="text1"/>
        </w:rPr>
        <w:t xml:space="preserve">, K., Simon, K., </w:t>
      </w:r>
      <w:proofErr w:type="spellStart"/>
      <w:r w:rsidRPr="00EB34C5">
        <w:rPr>
          <w:color w:val="000000" w:themeColor="text1"/>
        </w:rPr>
        <w:t>Polman</w:t>
      </w:r>
      <w:proofErr w:type="spellEnd"/>
      <w:r w:rsidRPr="00EB34C5">
        <w:rPr>
          <w:color w:val="000000" w:themeColor="text1"/>
        </w:rPr>
        <w:t>, C</w:t>
      </w:r>
      <w:r w:rsidR="009421C0">
        <w:rPr>
          <w:color w:val="000000" w:themeColor="text1"/>
        </w:rPr>
        <w:t>.</w:t>
      </w:r>
      <w:proofErr w:type="gramStart"/>
      <w:r w:rsidR="009421C0">
        <w:rPr>
          <w:color w:val="000000" w:themeColor="text1"/>
        </w:rPr>
        <w:t xml:space="preserve">, </w:t>
      </w:r>
      <w:r w:rsidRPr="00EB34C5">
        <w:rPr>
          <w:color w:val="000000" w:themeColor="text1"/>
        </w:rPr>
        <w:t>.</w:t>
      </w:r>
      <w:proofErr w:type="gramEnd"/>
      <w:r w:rsidRPr="00EB34C5">
        <w:rPr>
          <w:color w:val="000000" w:themeColor="text1"/>
        </w:rPr>
        <w:t xml:space="preserve"> Pohl, C. (2014). Vitamin D as an early predictor of multiple sclerosis activity and progression.</w:t>
      </w:r>
      <w:r w:rsidRPr="00EB34C5">
        <w:rPr>
          <w:i/>
          <w:iCs/>
          <w:color w:val="000000" w:themeColor="text1"/>
        </w:rPr>
        <w:t> JAMA Neurology, 71</w:t>
      </w:r>
      <w:r w:rsidRPr="00EB34C5">
        <w:rPr>
          <w:color w:val="000000" w:themeColor="text1"/>
        </w:rPr>
        <w:t>(3), 306-314. 10.1001/jamaneurol.2013.5993 </w:t>
      </w:r>
    </w:p>
    <w:p w14:paraId="7A1E04BB" w14:textId="021269E0" w:rsidR="003A55CE" w:rsidRPr="00EB34C5" w:rsidRDefault="4E5A3D04" w:rsidP="003A55CE">
      <w:pPr>
        <w:spacing w:line="480" w:lineRule="auto"/>
        <w:ind w:left="720" w:hanging="720"/>
        <w:rPr>
          <w:color w:val="000000" w:themeColor="text1"/>
        </w:rPr>
      </w:pPr>
      <w:r w:rsidRPr="00EB34C5">
        <w:rPr>
          <w:color w:val="000000" w:themeColor="text1"/>
        </w:rPr>
        <w:t>Australian Government Department of Health. (2014)</w:t>
      </w:r>
      <w:r w:rsidR="009421C0" w:rsidRPr="00EB34C5">
        <w:rPr>
          <w:color w:val="000000" w:themeColor="text1"/>
        </w:rPr>
        <w:t>. MBS</w:t>
      </w:r>
      <w:r w:rsidRPr="00EB34C5">
        <w:rPr>
          <w:i/>
          <w:iCs/>
          <w:color w:val="000000" w:themeColor="text1"/>
        </w:rPr>
        <w:t xml:space="preserve"> Reviews: Vitamin D Testing Report</w:t>
      </w:r>
      <w:r w:rsidRPr="00EB34C5">
        <w:rPr>
          <w:color w:val="000000" w:themeColor="text1"/>
        </w:rPr>
        <w:t>.  Department of Human Services, Australia.</w:t>
      </w:r>
    </w:p>
    <w:p w14:paraId="1784210A" w14:textId="5D68DB92" w:rsidR="003246C7" w:rsidRDefault="00E72FE1" w:rsidP="4E5A3D04">
      <w:pPr>
        <w:spacing w:line="480" w:lineRule="auto"/>
        <w:ind w:left="720" w:hanging="720"/>
        <w:rPr>
          <w:color w:val="000000" w:themeColor="text1"/>
        </w:rPr>
      </w:pPr>
      <w:r>
        <w:rPr>
          <w:color w:val="000000" w:themeColor="text1"/>
        </w:rPr>
        <w:lastRenderedPageBreak/>
        <w:t>BCBSNC.  (2019)</w:t>
      </w:r>
      <w:proofErr w:type="gramStart"/>
      <w:r>
        <w:rPr>
          <w:color w:val="000000" w:themeColor="text1"/>
        </w:rPr>
        <w:t>.  Corporate</w:t>
      </w:r>
      <w:proofErr w:type="gramEnd"/>
      <w:r>
        <w:rPr>
          <w:color w:val="000000" w:themeColor="text1"/>
        </w:rPr>
        <w:t xml:space="preserve"> Medical Policy: Vitamin D Testi</w:t>
      </w:r>
      <w:r w:rsidR="003246C7">
        <w:rPr>
          <w:color w:val="000000" w:themeColor="text1"/>
        </w:rPr>
        <w:t xml:space="preserve">ng.  Retrieved from: </w:t>
      </w:r>
      <w:hyperlink r:id="rId11" w:history="1">
        <w:r w:rsidR="003246C7">
          <w:rPr>
            <w:rStyle w:val="Hyperlink"/>
          </w:rPr>
          <w:t>https://www.bluecrossnc.com/sites/default/files/document/attachment/services/public/pdfs/medicalpolicy/vitamin_d_testing.pdf</w:t>
        </w:r>
      </w:hyperlink>
    </w:p>
    <w:p w14:paraId="03AC40A5" w14:textId="53FC7793" w:rsidR="4E5A3D04" w:rsidRPr="00EB34C5" w:rsidRDefault="4E5A3D04" w:rsidP="4E5A3D04">
      <w:pPr>
        <w:spacing w:line="480" w:lineRule="auto"/>
        <w:ind w:left="720" w:hanging="720"/>
        <w:rPr>
          <w:color w:val="000000" w:themeColor="text1"/>
        </w:rPr>
      </w:pPr>
      <w:r w:rsidRPr="00EB34C5">
        <w:rPr>
          <w:color w:val="000000" w:themeColor="text1"/>
        </w:rPr>
        <w:t xml:space="preserve">Cantrell, M., Leighton, K., Gilbert, G., (2018).  Methodological Considerations in Simulation Research: Constructing Rigorous Investigations to Advance Practice.  Retrieved from </w:t>
      </w:r>
      <w:hyperlink r:id="rId12">
        <w:r w:rsidRPr="00EB34C5">
          <w:rPr>
            <w:rStyle w:val="Hyperlink"/>
            <w:color w:val="000000" w:themeColor="text1"/>
          </w:rPr>
          <w:t>http://www.nursinglibrary.org/vhl/bitstream/10755/603821/1/1_Cantrell_M_p77880_1.pdf</w:t>
        </w:r>
      </w:hyperlink>
      <w:r w:rsidRPr="00EB34C5">
        <w:rPr>
          <w:color w:val="000000" w:themeColor="text1"/>
        </w:rPr>
        <w:t xml:space="preserve"> </w:t>
      </w:r>
    </w:p>
    <w:p w14:paraId="3530B391" w14:textId="072C6D1A" w:rsidR="00177D67" w:rsidRPr="00EB34C5" w:rsidRDefault="693C9F63" w:rsidP="00597C48">
      <w:pPr>
        <w:spacing w:line="480" w:lineRule="auto"/>
        <w:ind w:left="720" w:hanging="720"/>
        <w:rPr>
          <w:color w:val="000000" w:themeColor="text1"/>
        </w:rPr>
      </w:pPr>
      <w:r w:rsidRPr="00EB34C5">
        <w:rPr>
          <w:color w:val="000000" w:themeColor="text1"/>
        </w:rPr>
        <w:t xml:space="preserve">Carey, M., Buchan, H., &amp; </w:t>
      </w:r>
      <w:proofErr w:type="spellStart"/>
      <w:r w:rsidRPr="00EB34C5">
        <w:rPr>
          <w:color w:val="000000" w:themeColor="text1"/>
        </w:rPr>
        <w:t>Sanson</w:t>
      </w:r>
      <w:proofErr w:type="spellEnd"/>
      <w:r w:rsidRPr="00EB34C5">
        <w:rPr>
          <w:color w:val="000000" w:themeColor="text1"/>
        </w:rPr>
        <w:t>-Fisher, R. (2009). The cycle of change: Implementing best-evidence clinical practice.</w:t>
      </w:r>
      <w:r w:rsidRPr="00EB34C5">
        <w:rPr>
          <w:i/>
          <w:iCs/>
          <w:color w:val="000000" w:themeColor="text1"/>
        </w:rPr>
        <w:t xml:space="preserve"> International Journal for Quality in Health </w:t>
      </w:r>
      <w:r w:rsidR="009421C0" w:rsidRPr="00EB34C5">
        <w:rPr>
          <w:i/>
          <w:iCs/>
          <w:color w:val="000000" w:themeColor="text1"/>
        </w:rPr>
        <w:t>Care:</w:t>
      </w:r>
      <w:r w:rsidRPr="00EB34C5">
        <w:rPr>
          <w:i/>
          <w:iCs/>
          <w:color w:val="000000" w:themeColor="text1"/>
        </w:rPr>
        <w:t xml:space="preserve"> Journal of the International Society for Quality in Health Care, 21</w:t>
      </w:r>
      <w:r w:rsidRPr="00EB34C5">
        <w:rPr>
          <w:color w:val="000000" w:themeColor="text1"/>
        </w:rPr>
        <w:t>(1), 37-43. doi:10.1093/</w:t>
      </w:r>
      <w:proofErr w:type="spellStart"/>
      <w:r w:rsidRPr="00EB34C5">
        <w:rPr>
          <w:color w:val="000000" w:themeColor="text1"/>
        </w:rPr>
        <w:t>intqhc</w:t>
      </w:r>
      <w:proofErr w:type="spellEnd"/>
      <w:r w:rsidRPr="00EB34C5">
        <w:rPr>
          <w:color w:val="000000" w:themeColor="text1"/>
        </w:rPr>
        <w:t>/mzn049 </w:t>
      </w:r>
    </w:p>
    <w:p w14:paraId="219137F9" w14:textId="338329D7" w:rsidR="00582C71" w:rsidRPr="00EB34C5" w:rsidRDefault="693C9F63" w:rsidP="00597C48">
      <w:pPr>
        <w:spacing w:line="480" w:lineRule="auto"/>
        <w:ind w:left="720" w:hanging="720"/>
        <w:rPr>
          <w:color w:val="000000" w:themeColor="text1"/>
        </w:rPr>
      </w:pPr>
      <w:r w:rsidRPr="00EB34C5">
        <w:rPr>
          <w:color w:val="000000" w:themeColor="text1"/>
        </w:rPr>
        <w:t xml:space="preserve">Choi, Y., Han, J., Li, R., Kung, K., &amp; Lam, A. (2015). Implementation of secondary stroke prevention protocol for </w:t>
      </w:r>
      <w:proofErr w:type="spellStart"/>
      <w:r w:rsidRPr="00EB34C5">
        <w:rPr>
          <w:color w:val="000000" w:themeColor="text1"/>
        </w:rPr>
        <w:t>ischaemic</w:t>
      </w:r>
      <w:proofErr w:type="spellEnd"/>
      <w:r w:rsidRPr="00EB34C5">
        <w:rPr>
          <w:color w:val="000000" w:themeColor="text1"/>
        </w:rPr>
        <w:t xml:space="preserve"> stroke patients in primary care.</w:t>
      </w:r>
      <w:r w:rsidRPr="00EB34C5">
        <w:rPr>
          <w:i/>
          <w:iCs/>
          <w:color w:val="000000" w:themeColor="text1"/>
        </w:rPr>
        <w:t xml:space="preserve"> Hong Kong Medical Journal = </w:t>
      </w:r>
      <w:proofErr w:type="spellStart"/>
      <w:r w:rsidRPr="00EB34C5">
        <w:rPr>
          <w:i/>
          <w:iCs/>
          <w:color w:val="000000" w:themeColor="text1"/>
        </w:rPr>
        <w:t>Xianggang</w:t>
      </w:r>
      <w:proofErr w:type="spellEnd"/>
      <w:r w:rsidRPr="00EB34C5">
        <w:rPr>
          <w:i/>
          <w:iCs/>
          <w:color w:val="000000" w:themeColor="text1"/>
        </w:rPr>
        <w:t xml:space="preserve"> Yi </w:t>
      </w:r>
      <w:proofErr w:type="spellStart"/>
      <w:r w:rsidRPr="00EB34C5">
        <w:rPr>
          <w:i/>
          <w:iCs/>
          <w:color w:val="000000" w:themeColor="text1"/>
        </w:rPr>
        <w:t>Xue</w:t>
      </w:r>
      <w:proofErr w:type="spellEnd"/>
      <w:r w:rsidRPr="00EB34C5">
        <w:rPr>
          <w:i/>
          <w:iCs/>
          <w:color w:val="000000" w:themeColor="text1"/>
        </w:rPr>
        <w:t xml:space="preserve"> </w:t>
      </w:r>
      <w:proofErr w:type="spellStart"/>
      <w:r w:rsidRPr="00EB34C5">
        <w:rPr>
          <w:i/>
          <w:iCs/>
          <w:color w:val="000000" w:themeColor="text1"/>
        </w:rPr>
        <w:t>Za</w:t>
      </w:r>
      <w:proofErr w:type="spellEnd"/>
      <w:r w:rsidRPr="00EB34C5">
        <w:rPr>
          <w:i/>
          <w:iCs/>
          <w:color w:val="000000" w:themeColor="text1"/>
        </w:rPr>
        <w:t xml:space="preserve"> </w:t>
      </w:r>
      <w:proofErr w:type="spellStart"/>
      <w:r w:rsidRPr="00EB34C5">
        <w:rPr>
          <w:i/>
          <w:iCs/>
          <w:color w:val="000000" w:themeColor="text1"/>
        </w:rPr>
        <w:t>Zhi</w:t>
      </w:r>
      <w:proofErr w:type="spellEnd"/>
      <w:r w:rsidRPr="00EB34C5">
        <w:rPr>
          <w:i/>
          <w:iCs/>
          <w:color w:val="000000" w:themeColor="text1"/>
        </w:rPr>
        <w:t>, 21</w:t>
      </w:r>
      <w:r w:rsidRPr="00EB34C5">
        <w:rPr>
          <w:color w:val="000000" w:themeColor="text1"/>
        </w:rPr>
        <w:t xml:space="preserve">(2), 136-142. </w:t>
      </w:r>
      <w:proofErr w:type="gramStart"/>
      <w:r w:rsidRPr="00EB34C5">
        <w:rPr>
          <w:color w:val="000000" w:themeColor="text1"/>
        </w:rPr>
        <w:t>doi:</w:t>
      </w:r>
      <w:proofErr w:type="gramEnd"/>
      <w:r w:rsidRPr="00EB34C5">
        <w:rPr>
          <w:color w:val="000000" w:themeColor="text1"/>
        </w:rPr>
        <w:t>10.12809/hkmj144236 </w:t>
      </w:r>
    </w:p>
    <w:p w14:paraId="09E6FE9A" w14:textId="77777777" w:rsidR="00EB14CD" w:rsidRPr="00EB34C5" w:rsidRDefault="693C9F63" w:rsidP="693C9F63">
      <w:pPr>
        <w:spacing w:line="480" w:lineRule="auto"/>
        <w:ind w:left="720" w:hanging="720"/>
        <w:rPr>
          <w:rStyle w:val="Hyperlink"/>
          <w:color w:val="000000" w:themeColor="text1"/>
          <w:highlight w:val="lightGray"/>
        </w:rPr>
      </w:pPr>
      <w:r w:rsidRPr="00EB34C5">
        <w:rPr>
          <w:color w:val="000000" w:themeColor="text1"/>
        </w:rPr>
        <w:t>Cleveland Clinic. (</w:t>
      </w:r>
      <w:proofErr w:type="spellStart"/>
      <w:r w:rsidRPr="00EB34C5">
        <w:rPr>
          <w:color w:val="000000" w:themeColor="text1"/>
        </w:rPr>
        <w:t>n.d.</w:t>
      </w:r>
      <w:proofErr w:type="spellEnd"/>
      <w:r w:rsidRPr="00EB34C5">
        <w:rPr>
          <w:color w:val="000000" w:themeColor="text1"/>
        </w:rPr>
        <w:t xml:space="preserve">).  </w:t>
      </w:r>
      <w:proofErr w:type="spellStart"/>
      <w:r w:rsidRPr="00EB34C5">
        <w:rPr>
          <w:i/>
          <w:iCs/>
          <w:color w:val="000000" w:themeColor="text1"/>
        </w:rPr>
        <w:t>Mellen</w:t>
      </w:r>
      <w:proofErr w:type="spellEnd"/>
      <w:r w:rsidRPr="00EB34C5">
        <w:rPr>
          <w:i/>
          <w:iCs/>
          <w:color w:val="000000" w:themeColor="text1"/>
        </w:rPr>
        <w:t xml:space="preserve"> Center Approaches: Multiple Sclerosis and Vitamin D</w:t>
      </w:r>
      <w:r w:rsidRPr="00EB34C5">
        <w:rPr>
          <w:color w:val="000000" w:themeColor="text1"/>
        </w:rPr>
        <w:t xml:space="preserve"> [Fact sheet].  Retrieved from </w:t>
      </w:r>
      <w:hyperlink r:id="rId13">
        <w:r w:rsidRPr="00EB34C5">
          <w:rPr>
            <w:rStyle w:val="Hyperlink"/>
            <w:color w:val="000000" w:themeColor="text1"/>
          </w:rPr>
          <w:t>https://my.clevelandclinic.org/-/scassets/files/org/neurological/multiple-sclerosis/13-neu-545-vitamin-d-fact-sheet.ashx?la=en</w:t>
        </w:r>
      </w:hyperlink>
    </w:p>
    <w:p w14:paraId="6AED3AD8" w14:textId="0E133213" w:rsidR="4E5A3D04" w:rsidRPr="00EB34C5" w:rsidRDefault="693C9F63" w:rsidP="693C9F63">
      <w:pPr>
        <w:spacing w:line="480" w:lineRule="auto"/>
        <w:ind w:left="720" w:hanging="720"/>
        <w:rPr>
          <w:color w:val="000000" w:themeColor="text1"/>
        </w:rPr>
      </w:pPr>
      <w:r w:rsidRPr="00EB34C5">
        <w:rPr>
          <w:color w:val="000000" w:themeColor="text1"/>
        </w:rPr>
        <w:t xml:space="preserve">Dang, D., &amp; </w:t>
      </w:r>
      <w:proofErr w:type="spellStart"/>
      <w:r w:rsidRPr="00EB34C5">
        <w:rPr>
          <w:color w:val="000000" w:themeColor="text1"/>
        </w:rPr>
        <w:t>Dearholt</w:t>
      </w:r>
      <w:proofErr w:type="spellEnd"/>
      <w:r w:rsidRPr="00EB34C5">
        <w:rPr>
          <w:color w:val="000000" w:themeColor="text1"/>
        </w:rPr>
        <w:t xml:space="preserve">, S. (2017). </w:t>
      </w:r>
      <w:r w:rsidRPr="00EB34C5">
        <w:rPr>
          <w:i/>
          <w:iCs/>
          <w:color w:val="000000" w:themeColor="text1"/>
        </w:rPr>
        <w:t>Johns Hopkins nursing evidence-based practice: model and guidelines.</w:t>
      </w:r>
      <w:r w:rsidRPr="00EB34C5">
        <w:rPr>
          <w:color w:val="000000" w:themeColor="text1"/>
        </w:rPr>
        <w:t xml:space="preserve"> 3rd ed. Indianapolis, IN: Sigma Theta Tau International.</w:t>
      </w:r>
    </w:p>
    <w:p w14:paraId="156E0D88" w14:textId="77777777" w:rsidR="003A55CE" w:rsidRPr="00EB34C5" w:rsidRDefault="693C9F63" w:rsidP="003A55CE">
      <w:pPr>
        <w:spacing w:line="480" w:lineRule="auto"/>
        <w:ind w:left="720" w:hanging="720"/>
        <w:rPr>
          <w:color w:val="000000" w:themeColor="text1"/>
        </w:rPr>
      </w:pPr>
      <w:proofErr w:type="spellStart"/>
      <w:r w:rsidRPr="00EB34C5">
        <w:rPr>
          <w:color w:val="000000" w:themeColor="text1"/>
        </w:rPr>
        <w:t>Darwish</w:t>
      </w:r>
      <w:proofErr w:type="spellEnd"/>
      <w:r w:rsidRPr="00EB34C5">
        <w:rPr>
          <w:color w:val="000000" w:themeColor="text1"/>
        </w:rPr>
        <w:t xml:space="preserve">, H., Haddad, R., Osman, S., </w:t>
      </w:r>
      <w:proofErr w:type="spellStart"/>
      <w:r w:rsidRPr="00EB34C5">
        <w:rPr>
          <w:color w:val="000000" w:themeColor="text1"/>
        </w:rPr>
        <w:t>Ghassan</w:t>
      </w:r>
      <w:proofErr w:type="spellEnd"/>
      <w:r w:rsidRPr="00EB34C5">
        <w:rPr>
          <w:color w:val="000000" w:themeColor="text1"/>
        </w:rPr>
        <w:t xml:space="preserve">, S., </w:t>
      </w:r>
      <w:proofErr w:type="spellStart"/>
      <w:r w:rsidRPr="00EB34C5">
        <w:rPr>
          <w:color w:val="000000" w:themeColor="text1"/>
        </w:rPr>
        <w:t>Yamout</w:t>
      </w:r>
      <w:proofErr w:type="spellEnd"/>
      <w:r w:rsidRPr="00EB34C5">
        <w:rPr>
          <w:color w:val="000000" w:themeColor="text1"/>
        </w:rPr>
        <w:t xml:space="preserve">, B., </w:t>
      </w:r>
      <w:proofErr w:type="spellStart"/>
      <w:r w:rsidRPr="00EB34C5">
        <w:rPr>
          <w:color w:val="000000" w:themeColor="text1"/>
        </w:rPr>
        <w:t>Tamim</w:t>
      </w:r>
      <w:proofErr w:type="spellEnd"/>
      <w:r w:rsidRPr="00EB34C5">
        <w:rPr>
          <w:color w:val="000000" w:themeColor="text1"/>
        </w:rPr>
        <w:t xml:space="preserve">, H., &amp; </w:t>
      </w:r>
      <w:proofErr w:type="spellStart"/>
      <w:r w:rsidRPr="00EB34C5">
        <w:rPr>
          <w:color w:val="000000" w:themeColor="text1"/>
        </w:rPr>
        <w:t>Khoury</w:t>
      </w:r>
      <w:proofErr w:type="spellEnd"/>
      <w:r w:rsidRPr="00EB34C5">
        <w:rPr>
          <w:color w:val="000000" w:themeColor="text1"/>
        </w:rPr>
        <w:t>, S. (2017). Effect of vitamin D replacement on cognition in multiple sclerosis patients.</w:t>
      </w:r>
      <w:r w:rsidRPr="00EB34C5">
        <w:rPr>
          <w:i/>
          <w:iCs/>
          <w:color w:val="000000" w:themeColor="text1"/>
        </w:rPr>
        <w:t> Scientific Reports, 7</w:t>
      </w:r>
      <w:r w:rsidRPr="00EB34C5">
        <w:rPr>
          <w:color w:val="000000" w:themeColor="text1"/>
        </w:rPr>
        <w:t>, 45926. 10.1038/srep45926</w:t>
      </w:r>
    </w:p>
    <w:p w14:paraId="667108C9" w14:textId="6388DD97" w:rsidR="002154AE" w:rsidRPr="00EB34C5" w:rsidRDefault="693C9F63" w:rsidP="693C9F63">
      <w:pPr>
        <w:spacing w:line="480" w:lineRule="auto"/>
        <w:ind w:left="720" w:hanging="720"/>
        <w:rPr>
          <w:rStyle w:val="apple-converted-space"/>
          <w:color w:val="000000" w:themeColor="text1"/>
        </w:rPr>
      </w:pPr>
      <w:r w:rsidRPr="00EB34C5">
        <w:rPr>
          <w:color w:val="000000" w:themeColor="text1"/>
        </w:rPr>
        <w:lastRenderedPageBreak/>
        <w:t xml:space="preserve">Dobbins, M., </w:t>
      </w:r>
      <w:proofErr w:type="spellStart"/>
      <w:r w:rsidRPr="00EB34C5">
        <w:rPr>
          <w:color w:val="000000" w:themeColor="text1"/>
        </w:rPr>
        <w:t>Ciliska</w:t>
      </w:r>
      <w:proofErr w:type="spellEnd"/>
      <w:r w:rsidRPr="00EB34C5">
        <w:rPr>
          <w:color w:val="000000" w:themeColor="text1"/>
        </w:rPr>
        <w:t xml:space="preserve">, D., </w:t>
      </w:r>
      <w:proofErr w:type="spellStart"/>
      <w:r w:rsidRPr="00EB34C5">
        <w:rPr>
          <w:color w:val="000000" w:themeColor="text1"/>
        </w:rPr>
        <w:t>Cockerill</w:t>
      </w:r>
      <w:proofErr w:type="spellEnd"/>
      <w:r w:rsidRPr="00EB34C5">
        <w:rPr>
          <w:color w:val="000000" w:themeColor="text1"/>
        </w:rPr>
        <w:t xml:space="preserve">, R., </w:t>
      </w:r>
      <w:proofErr w:type="spellStart"/>
      <w:r w:rsidRPr="00EB34C5">
        <w:rPr>
          <w:color w:val="000000" w:themeColor="text1"/>
        </w:rPr>
        <w:t>Barnsley</w:t>
      </w:r>
      <w:proofErr w:type="spellEnd"/>
      <w:r w:rsidRPr="00EB34C5">
        <w:rPr>
          <w:color w:val="000000" w:themeColor="text1"/>
        </w:rPr>
        <w:t xml:space="preserve">, J., &amp; </w:t>
      </w:r>
      <w:proofErr w:type="spellStart"/>
      <w:r w:rsidRPr="00EB34C5">
        <w:rPr>
          <w:color w:val="000000" w:themeColor="text1"/>
        </w:rPr>
        <w:t>DiCenso</w:t>
      </w:r>
      <w:proofErr w:type="spellEnd"/>
      <w:r w:rsidRPr="00EB34C5">
        <w:rPr>
          <w:color w:val="000000" w:themeColor="text1"/>
        </w:rPr>
        <w:t>, A. (2002). A framework for the dissemination and utilization of research for health-care policy and practice.</w:t>
      </w:r>
      <w:r w:rsidRPr="00EB34C5">
        <w:rPr>
          <w:rStyle w:val="apple-converted-space"/>
          <w:i/>
          <w:iCs/>
          <w:color w:val="000000" w:themeColor="text1"/>
        </w:rPr>
        <w:t> </w:t>
      </w:r>
      <w:r w:rsidRPr="00EB34C5">
        <w:rPr>
          <w:i/>
          <w:iCs/>
          <w:color w:val="000000" w:themeColor="text1"/>
        </w:rPr>
        <w:t>The Online Journal of Knowledge Synthesis for Nursing,</w:t>
      </w:r>
      <w:r w:rsidRPr="00EB34C5">
        <w:rPr>
          <w:rStyle w:val="apple-converted-space"/>
          <w:i/>
          <w:iCs/>
          <w:color w:val="000000" w:themeColor="text1"/>
        </w:rPr>
        <w:t> </w:t>
      </w:r>
      <w:r w:rsidRPr="00EB34C5">
        <w:rPr>
          <w:i/>
          <w:iCs/>
          <w:color w:val="000000" w:themeColor="text1"/>
        </w:rPr>
        <w:t>9</w:t>
      </w:r>
      <w:r w:rsidRPr="00EB34C5">
        <w:rPr>
          <w:color w:val="000000" w:themeColor="text1"/>
        </w:rPr>
        <w:t xml:space="preserve">, 7. </w:t>
      </w:r>
      <w:proofErr w:type="gramStart"/>
      <w:r w:rsidRPr="00EB34C5">
        <w:rPr>
          <w:color w:val="000000" w:themeColor="text1"/>
        </w:rPr>
        <w:t>doi:</w:t>
      </w:r>
      <w:proofErr w:type="gramEnd"/>
      <w:r w:rsidRPr="00EB34C5">
        <w:rPr>
          <w:color w:val="000000" w:themeColor="text1"/>
        </w:rPr>
        <w:t>090007</w:t>
      </w:r>
      <w:r w:rsidRPr="00EB34C5">
        <w:rPr>
          <w:rStyle w:val="apple-converted-space"/>
          <w:color w:val="000000" w:themeColor="text1"/>
        </w:rPr>
        <w:t> </w:t>
      </w:r>
    </w:p>
    <w:p w14:paraId="7F359F6F" w14:textId="7164AFB4" w:rsidR="29C42EFD" w:rsidRPr="00EB34C5" w:rsidRDefault="29C42EFD" w:rsidP="29C42EFD">
      <w:pPr>
        <w:spacing w:line="480" w:lineRule="auto"/>
        <w:ind w:left="720" w:hanging="720"/>
        <w:rPr>
          <w:color w:val="000000" w:themeColor="text1"/>
        </w:rPr>
      </w:pPr>
      <w:r w:rsidRPr="00EB34C5">
        <w:rPr>
          <w:color w:val="000000" w:themeColor="text1"/>
        </w:rPr>
        <w:t>Duke University Medical Center Library &amp; UNC Health Sciences Library. (2018). Introduction to Evidenced Based-Practice. Retrieved from https://guides.mclibrary.duke.edu/ebmtutorial/home</w:t>
      </w:r>
    </w:p>
    <w:p w14:paraId="232EE5C8" w14:textId="1819B7BC" w:rsidR="00803154" w:rsidRPr="00EB34C5" w:rsidRDefault="693C9F63" w:rsidP="00803154">
      <w:pPr>
        <w:spacing w:line="480" w:lineRule="auto"/>
        <w:ind w:left="720" w:hanging="720"/>
        <w:rPr>
          <w:color w:val="000000" w:themeColor="text1"/>
        </w:rPr>
      </w:pPr>
      <w:proofErr w:type="spellStart"/>
      <w:r w:rsidRPr="00EB34C5">
        <w:rPr>
          <w:color w:val="000000" w:themeColor="text1"/>
        </w:rPr>
        <w:t>Dulipsingh</w:t>
      </w:r>
      <w:proofErr w:type="spellEnd"/>
      <w:r w:rsidRPr="00EB34C5">
        <w:rPr>
          <w:color w:val="000000" w:themeColor="text1"/>
        </w:rPr>
        <w:t xml:space="preserve">, L., </w:t>
      </w:r>
      <w:proofErr w:type="spellStart"/>
      <w:r w:rsidRPr="00EB34C5">
        <w:rPr>
          <w:color w:val="000000" w:themeColor="text1"/>
        </w:rPr>
        <w:t>Gaudian</w:t>
      </w:r>
      <w:proofErr w:type="spellEnd"/>
      <w:r w:rsidRPr="00EB34C5">
        <w:rPr>
          <w:color w:val="000000" w:themeColor="text1"/>
        </w:rPr>
        <w:t xml:space="preserve">, B., </w:t>
      </w:r>
      <w:proofErr w:type="spellStart"/>
      <w:r w:rsidRPr="00EB34C5">
        <w:rPr>
          <w:color w:val="000000" w:themeColor="text1"/>
        </w:rPr>
        <w:t>Spurrier</w:t>
      </w:r>
      <w:proofErr w:type="spellEnd"/>
      <w:r w:rsidRPr="00EB34C5">
        <w:rPr>
          <w:color w:val="000000" w:themeColor="text1"/>
        </w:rPr>
        <w:t xml:space="preserve">, W., Taylor, L., Wakefield, D., </w:t>
      </w:r>
      <w:proofErr w:type="spellStart"/>
      <w:r w:rsidRPr="00EB34C5">
        <w:rPr>
          <w:color w:val="000000" w:themeColor="text1"/>
        </w:rPr>
        <w:t>Rychlewicz</w:t>
      </w:r>
      <w:proofErr w:type="spellEnd"/>
      <w:r w:rsidRPr="00EB34C5">
        <w:rPr>
          <w:color w:val="000000" w:themeColor="text1"/>
        </w:rPr>
        <w:t xml:space="preserve">, S., &amp; </w:t>
      </w:r>
      <w:proofErr w:type="spellStart"/>
      <w:r w:rsidRPr="00EB34C5">
        <w:rPr>
          <w:color w:val="000000" w:themeColor="text1"/>
        </w:rPr>
        <w:t>Giwa</w:t>
      </w:r>
      <w:proofErr w:type="spellEnd"/>
      <w:r w:rsidRPr="00EB34C5">
        <w:rPr>
          <w:color w:val="000000" w:themeColor="text1"/>
        </w:rPr>
        <w:t xml:space="preserve">, K. (2016). Educational intervention along with standardization of diabetes care increased inpatient </w:t>
      </w:r>
      <w:proofErr w:type="spellStart"/>
      <w:proofErr w:type="gramStart"/>
      <w:r w:rsidRPr="00EB34C5">
        <w:rPr>
          <w:color w:val="000000" w:themeColor="text1"/>
        </w:rPr>
        <w:t>HbA</w:t>
      </w:r>
      <w:proofErr w:type="spellEnd"/>
      <w:r w:rsidRPr="00EB34C5">
        <w:rPr>
          <w:color w:val="000000" w:themeColor="text1"/>
        </w:rPr>
        <w:t>(</w:t>
      </w:r>
      <w:proofErr w:type="gramEnd"/>
      <w:r w:rsidRPr="00EB34C5">
        <w:rPr>
          <w:color w:val="000000" w:themeColor="text1"/>
        </w:rPr>
        <w:t xml:space="preserve">1c) testing: A pilot </w:t>
      </w:r>
      <w:proofErr w:type="spellStart"/>
      <w:r w:rsidRPr="00EB34C5">
        <w:rPr>
          <w:color w:val="000000" w:themeColor="text1"/>
        </w:rPr>
        <w:t>program.</w:t>
      </w:r>
      <w:r w:rsidRPr="00EB34C5">
        <w:rPr>
          <w:i/>
          <w:iCs/>
          <w:color w:val="000000" w:themeColor="text1"/>
        </w:rPr>
        <w:t>Connecticut</w:t>
      </w:r>
      <w:proofErr w:type="spellEnd"/>
      <w:r w:rsidRPr="00EB34C5">
        <w:rPr>
          <w:i/>
          <w:iCs/>
          <w:color w:val="000000" w:themeColor="text1"/>
        </w:rPr>
        <w:t xml:space="preserve"> Medicine, 80</w:t>
      </w:r>
      <w:r w:rsidRPr="00EB34C5">
        <w:rPr>
          <w:color w:val="000000" w:themeColor="text1"/>
        </w:rPr>
        <w:t>(4), 231-237.</w:t>
      </w:r>
    </w:p>
    <w:p w14:paraId="20D25DEE" w14:textId="7E29F769" w:rsidR="4E5A3D04" w:rsidRPr="00EB34C5" w:rsidRDefault="693C9F63" w:rsidP="4E5A3D04">
      <w:pPr>
        <w:spacing w:line="480" w:lineRule="auto"/>
        <w:ind w:left="720" w:hanging="720"/>
        <w:rPr>
          <w:color w:val="000000" w:themeColor="text1"/>
        </w:rPr>
      </w:pPr>
      <w:r w:rsidRPr="00EB34C5">
        <w:rPr>
          <w:color w:val="000000" w:themeColor="text1"/>
        </w:rPr>
        <w:t xml:space="preserve">Fitzgerald, K., </w:t>
      </w:r>
      <w:proofErr w:type="spellStart"/>
      <w:r w:rsidRPr="00EB34C5">
        <w:rPr>
          <w:color w:val="000000" w:themeColor="text1"/>
        </w:rPr>
        <w:t>Munger</w:t>
      </w:r>
      <w:proofErr w:type="spellEnd"/>
      <w:r w:rsidRPr="00EB34C5">
        <w:rPr>
          <w:color w:val="000000" w:themeColor="text1"/>
        </w:rPr>
        <w:t xml:space="preserve">, K., </w:t>
      </w:r>
      <w:proofErr w:type="spellStart"/>
      <w:r w:rsidRPr="00EB34C5">
        <w:rPr>
          <w:color w:val="000000" w:themeColor="text1"/>
        </w:rPr>
        <w:t>Kochert</w:t>
      </w:r>
      <w:proofErr w:type="spellEnd"/>
      <w:r w:rsidRPr="00EB34C5">
        <w:rPr>
          <w:color w:val="000000" w:themeColor="text1"/>
        </w:rPr>
        <w:t xml:space="preserve">, K., </w:t>
      </w:r>
      <w:proofErr w:type="spellStart"/>
      <w:r w:rsidRPr="00EB34C5">
        <w:rPr>
          <w:color w:val="000000" w:themeColor="text1"/>
        </w:rPr>
        <w:t>Arnason</w:t>
      </w:r>
      <w:proofErr w:type="spellEnd"/>
      <w:r w:rsidRPr="00EB34C5">
        <w:rPr>
          <w:color w:val="000000" w:themeColor="text1"/>
        </w:rPr>
        <w:t xml:space="preserve">, B., </w:t>
      </w:r>
      <w:proofErr w:type="spellStart"/>
      <w:r w:rsidRPr="00EB34C5">
        <w:rPr>
          <w:color w:val="000000" w:themeColor="text1"/>
        </w:rPr>
        <w:t>Comi</w:t>
      </w:r>
      <w:proofErr w:type="spellEnd"/>
      <w:r w:rsidRPr="00EB34C5">
        <w:rPr>
          <w:color w:val="000000" w:themeColor="text1"/>
        </w:rPr>
        <w:t>, G., Cook, S</w:t>
      </w:r>
      <w:proofErr w:type="gramStart"/>
      <w:r w:rsidRPr="00EB34C5">
        <w:rPr>
          <w:color w:val="000000" w:themeColor="text1"/>
        </w:rPr>
        <w:t>., . . .</w:t>
      </w:r>
      <w:proofErr w:type="gramEnd"/>
      <w:r w:rsidRPr="00EB34C5">
        <w:rPr>
          <w:color w:val="000000" w:themeColor="text1"/>
        </w:rPr>
        <w:t xml:space="preserve"> </w:t>
      </w:r>
      <w:proofErr w:type="spellStart"/>
      <w:r w:rsidRPr="00EB34C5">
        <w:rPr>
          <w:color w:val="000000" w:themeColor="text1"/>
        </w:rPr>
        <w:t>Ascherio</w:t>
      </w:r>
      <w:proofErr w:type="spellEnd"/>
      <w:r w:rsidRPr="00EB34C5">
        <w:rPr>
          <w:color w:val="000000" w:themeColor="text1"/>
        </w:rPr>
        <w:t>, A. (2015). Association of vitamin D levels with multiple sclerosis activity and progression in patients receiving interferon beta-1b.</w:t>
      </w:r>
      <w:r w:rsidRPr="00EB34C5">
        <w:rPr>
          <w:i/>
          <w:iCs/>
          <w:color w:val="000000" w:themeColor="text1"/>
        </w:rPr>
        <w:t> JAMA Neurology, 72</w:t>
      </w:r>
      <w:r w:rsidRPr="00EB34C5">
        <w:rPr>
          <w:color w:val="000000" w:themeColor="text1"/>
        </w:rPr>
        <w:t>(12), 1458-1465. 10.1001/jamaneurol.2015.2742</w:t>
      </w:r>
    </w:p>
    <w:p w14:paraId="60C991C0" w14:textId="17D4AC5A" w:rsidR="1FEDDE40" w:rsidRPr="00EB34C5" w:rsidRDefault="693C9F63" w:rsidP="693C9F63">
      <w:pPr>
        <w:spacing w:line="480" w:lineRule="auto"/>
        <w:ind w:left="720" w:hanging="720"/>
        <w:rPr>
          <w:color w:val="000000" w:themeColor="text1"/>
        </w:rPr>
      </w:pPr>
      <w:proofErr w:type="spellStart"/>
      <w:r w:rsidRPr="00EB34C5">
        <w:rPr>
          <w:color w:val="000000" w:themeColor="text1"/>
        </w:rPr>
        <w:t>Gawlinski</w:t>
      </w:r>
      <w:proofErr w:type="spellEnd"/>
      <w:r w:rsidRPr="00EB34C5">
        <w:rPr>
          <w:color w:val="000000" w:themeColor="text1"/>
        </w:rPr>
        <w:t>, A., &amp; Rutledge, D. (2008). Selecting a model for evidence-based practice changes: A practical approach.</w:t>
      </w:r>
      <w:r w:rsidRPr="00EB34C5">
        <w:rPr>
          <w:i/>
          <w:iCs/>
          <w:color w:val="000000" w:themeColor="text1"/>
        </w:rPr>
        <w:t xml:space="preserve"> AACN Advanced Critical Care, 19</w:t>
      </w:r>
      <w:r w:rsidRPr="00EB34C5">
        <w:rPr>
          <w:color w:val="000000" w:themeColor="text1"/>
        </w:rPr>
        <w:t>(3), 291-300. doi:10.1097/01.AACN.0000330380.41766.63</w:t>
      </w:r>
    </w:p>
    <w:p w14:paraId="7EB905E0" w14:textId="764C2680" w:rsidR="0A66DF1E" w:rsidRPr="00EB34C5" w:rsidRDefault="693C9F63" w:rsidP="0A66DF1E">
      <w:pPr>
        <w:spacing w:line="480" w:lineRule="auto"/>
        <w:ind w:left="720" w:hanging="720"/>
        <w:rPr>
          <w:color w:val="000000" w:themeColor="text1"/>
        </w:rPr>
      </w:pPr>
      <w:r w:rsidRPr="00EB34C5">
        <w:rPr>
          <w:color w:val="000000" w:themeColor="text1"/>
        </w:rPr>
        <w:t xml:space="preserve">Grossman, S., &amp; Bautista, C. (2002). Collaboration yields cost-effective, evidence-based nursing protocols. </w:t>
      </w:r>
      <w:proofErr w:type="spellStart"/>
      <w:r w:rsidRPr="00EB34C5">
        <w:rPr>
          <w:color w:val="000000" w:themeColor="text1"/>
        </w:rPr>
        <w:t>Orthopaedic</w:t>
      </w:r>
      <w:proofErr w:type="spellEnd"/>
      <w:r w:rsidRPr="00EB34C5">
        <w:rPr>
          <w:color w:val="000000" w:themeColor="text1"/>
        </w:rPr>
        <w:t xml:space="preserve"> Nursing, 21(3), 30-36. </w:t>
      </w:r>
    </w:p>
    <w:p w14:paraId="10D20978" w14:textId="771D4979" w:rsidR="43A3DDCF" w:rsidRDefault="270DDC39" w:rsidP="270DDC39">
      <w:pPr>
        <w:spacing w:line="480" w:lineRule="auto"/>
        <w:ind w:left="720" w:hanging="720"/>
        <w:rPr>
          <w:rStyle w:val="Hyperlink"/>
          <w:color w:val="000000" w:themeColor="text1"/>
        </w:rPr>
      </w:pPr>
      <w:proofErr w:type="spellStart"/>
      <w:r w:rsidRPr="00367AD1">
        <w:rPr>
          <w:color w:val="000000" w:themeColor="text1"/>
        </w:rPr>
        <w:t>Higgin</w:t>
      </w:r>
      <w:proofErr w:type="spellEnd"/>
      <w:r w:rsidRPr="00367AD1">
        <w:rPr>
          <w:color w:val="000000" w:themeColor="text1"/>
        </w:rPr>
        <w:t xml:space="preserve"> B., &amp; Reid H. (</w:t>
      </w:r>
      <w:r w:rsidR="008C0555">
        <w:rPr>
          <w:color w:val="000000" w:themeColor="text1"/>
        </w:rPr>
        <w:t>2017).</w:t>
      </w:r>
      <w:r w:rsidRPr="270DDC39">
        <w:rPr>
          <w:color w:val="000000" w:themeColor="text1"/>
        </w:rPr>
        <w:t xml:space="preserve"> Enhancing “Conceptual Teaching/Learning” in a Concept-Based Curriculum. </w:t>
      </w:r>
      <w:r w:rsidRPr="270DDC39">
        <w:rPr>
          <w:i/>
          <w:iCs/>
          <w:color w:val="000000" w:themeColor="text1"/>
        </w:rPr>
        <w:t>Teaching and Learning in Nursing</w:t>
      </w:r>
      <w:r w:rsidRPr="270DDC39">
        <w:rPr>
          <w:color w:val="000000" w:themeColor="text1"/>
        </w:rPr>
        <w:t xml:space="preserve">, 12 (2), pp. 95-102. DOI: </w:t>
      </w:r>
      <w:hyperlink r:id="rId14">
        <w:r w:rsidRPr="270DDC39">
          <w:rPr>
            <w:rStyle w:val="Hyperlink"/>
            <w:color w:val="000000" w:themeColor="text1"/>
          </w:rPr>
          <w:t>https://doi.org/10.1016/j.teln.2016.10.005</w:t>
        </w:r>
      </w:hyperlink>
    </w:p>
    <w:p w14:paraId="5BCAF02A" w14:textId="764C58AD" w:rsidR="008C0555" w:rsidRPr="008C0555" w:rsidRDefault="008C0555" w:rsidP="270DDC39">
      <w:pPr>
        <w:spacing w:line="480" w:lineRule="auto"/>
        <w:ind w:left="720" w:hanging="720"/>
        <w:rPr>
          <w:color w:val="000000" w:themeColor="text1"/>
        </w:rPr>
      </w:pPr>
      <w:r>
        <w:rPr>
          <w:rStyle w:val="Hyperlink"/>
          <w:color w:val="000000" w:themeColor="text1"/>
          <w:u w:val="none"/>
        </w:rPr>
        <w:t xml:space="preserve">HRSA. (2011). Quality Improvement.  Retrieved from </w:t>
      </w:r>
      <w:hyperlink r:id="rId15" w:history="1">
        <w:r>
          <w:rPr>
            <w:rStyle w:val="Hyperlink"/>
          </w:rPr>
          <w:t>https://www.hrsa.gov/sites/default/files/quality/toolbox/508pdfs/qualityimprovement.pdf</w:t>
        </w:r>
      </w:hyperlink>
    </w:p>
    <w:p w14:paraId="5D86C367" w14:textId="2A95BF7E" w:rsidR="1FEDDE40" w:rsidRPr="00EB34C5" w:rsidRDefault="693C9F63" w:rsidP="693C9F63">
      <w:pPr>
        <w:spacing w:line="480" w:lineRule="auto"/>
        <w:ind w:left="720" w:hanging="720"/>
        <w:rPr>
          <w:color w:val="000000" w:themeColor="text1"/>
        </w:rPr>
      </w:pPr>
      <w:r w:rsidRPr="00EB34C5">
        <w:rPr>
          <w:color w:val="000000" w:themeColor="text1"/>
        </w:rPr>
        <w:lastRenderedPageBreak/>
        <w:t xml:space="preserve">Jacobs J., Jones E., </w:t>
      </w:r>
      <w:proofErr w:type="spellStart"/>
      <w:r w:rsidRPr="00EB34C5">
        <w:rPr>
          <w:color w:val="000000" w:themeColor="text1"/>
        </w:rPr>
        <w:t>Gabella</w:t>
      </w:r>
      <w:proofErr w:type="spellEnd"/>
      <w:r w:rsidRPr="00EB34C5">
        <w:rPr>
          <w:color w:val="000000" w:themeColor="text1"/>
        </w:rPr>
        <w:t xml:space="preserve"> B., Spring B., </w:t>
      </w:r>
      <w:proofErr w:type="spellStart"/>
      <w:r w:rsidRPr="00EB34C5">
        <w:rPr>
          <w:color w:val="000000" w:themeColor="text1"/>
        </w:rPr>
        <w:t>Brownson</w:t>
      </w:r>
      <w:proofErr w:type="spellEnd"/>
      <w:r w:rsidRPr="00EB34C5">
        <w:rPr>
          <w:color w:val="000000" w:themeColor="text1"/>
        </w:rPr>
        <w:t xml:space="preserve"> R., (2012). Tools for Implementing an Evidence-Based Approach in Public Health Practice. Preventing Chronic Disease. 2012</w:t>
      </w:r>
      <w:proofErr w:type="gramStart"/>
      <w:r w:rsidRPr="00EB34C5">
        <w:rPr>
          <w:color w:val="000000" w:themeColor="text1"/>
        </w:rPr>
        <w:t>;9:110324</w:t>
      </w:r>
      <w:proofErr w:type="gramEnd"/>
      <w:r w:rsidRPr="00EB34C5">
        <w:rPr>
          <w:color w:val="000000" w:themeColor="text1"/>
        </w:rPr>
        <w:t xml:space="preserve">. DOI: </w:t>
      </w:r>
      <w:hyperlink r:id="rId16">
        <w:r w:rsidRPr="00EB34C5">
          <w:rPr>
            <w:rStyle w:val="Hyperlink"/>
            <w:color w:val="000000" w:themeColor="text1"/>
          </w:rPr>
          <w:t>http://dx.doi.org/10.5888/pcd9.110324</w:t>
        </w:r>
      </w:hyperlink>
    </w:p>
    <w:p w14:paraId="4E8BE146" w14:textId="437D76D7" w:rsidR="4E5A3D04" w:rsidRPr="00EB34C5" w:rsidRDefault="4E5A3D04" w:rsidP="4E5A3D04">
      <w:pPr>
        <w:spacing w:after="160" w:line="480" w:lineRule="auto"/>
        <w:ind w:left="720" w:hanging="720"/>
        <w:rPr>
          <w:color w:val="000000" w:themeColor="text1"/>
        </w:rPr>
      </w:pPr>
      <w:r w:rsidRPr="00EB34C5">
        <w:rPr>
          <w:color w:val="000000" w:themeColor="text1"/>
        </w:rPr>
        <w:t>John Hopkins Medicine. (2017). Center for Evidence-Based Practice.  Retrieved from https://www.hopkinsmedicine.org/evidence-based-practice/ijhn_2017_ebp.html</w:t>
      </w:r>
    </w:p>
    <w:p w14:paraId="7A4C8ECF" w14:textId="562BE0F7" w:rsidR="0062064A" w:rsidRPr="00EB34C5" w:rsidRDefault="270DDC39" w:rsidP="270DDC39">
      <w:pPr>
        <w:spacing w:line="480" w:lineRule="auto"/>
        <w:ind w:left="720" w:hanging="720"/>
        <w:rPr>
          <w:color w:val="000000" w:themeColor="text1"/>
        </w:rPr>
      </w:pPr>
      <w:r w:rsidRPr="270DDC39">
        <w:rPr>
          <w:color w:val="000000" w:themeColor="text1"/>
        </w:rPr>
        <w:t>Jones, E., Pike, J., Marshall, T., &amp; Ye, X. (2016). Quantifying the relationship between increased disability and health care resource utilization, quality of life, work productivity, health care costs in patients with multiple sclerosis in the US.</w:t>
      </w:r>
      <w:r w:rsidRPr="270DDC39">
        <w:rPr>
          <w:rStyle w:val="apple-converted-space"/>
          <w:i/>
          <w:iCs/>
          <w:color w:val="000000" w:themeColor="text1"/>
        </w:rPr>
        <w:t> </w:t>
      </w:r>
      <w:r w:rsidRPr="270DDC39">
        <w:rPr>
          <w:i/>
          <w:iCs/>
          <w:color w:val="000000" w:themeColor="text1"/>
        </w:rPr>
        <w:t>BMC Health Services Research,</w:t>
      </w:r>
      <w:r w:rsidRPr="270DDC39">
        <w:rPr>
          <w:rStyle w:val="apple-converted-space"/>
          <w:i/>
          <w:iCs/>
          <w:color w:val="000000" w:themeColor="text1"/>
        </w:rPr>
        <w:t> </w:t>
      </w:r>
      <w:r w:rsidRPr="270DDC39">
        <w:rPr>
          <w:i/>
          <w:iCs/>
          <w:color w:val="000000" w:themeColor="text1"/>
        </w:rPr>
        <w:t>16</w:t>
      </w:r>
      <w:r w:rsidRPr="270DDC39">
        <w:rPr>
          <w:color w:val="000000" w:themeColor="text1"/>
        </w:rPr>
        <w:t xml:space="preserve">, 294-016-1532-1. </w:t>
      </w:r>
      <w:proofErr w:type="gramStart"/>
      <w:r w:rsidRPr="270DDC39">
        <w:rPr>
          <w:color w:val="000000" w:themeColor="text1"/>
        </w:rPr>
        <w:t>doi:</w:t>
      </w:r>
      <w:proofErr w:type="gramEnd"/>
      <w:r w:rsidRPr="270DDC39">
        <w:rPr>
          <w:color w:val="000000" w:themeColor="text1"/>
        </w:rPr>
        <w:t>10.1186/s12913-016-1532-1</w:t>
      </w:r>
    </w:p>
    <w:p w14:paraId="02379D28" w14:textId="20FD60A9" w:rsidR="00D101C5" w:rsidRPr="00EB34C5" w:rsidRDefault="693C9F63" w:rsidP="693C9F63">
      <w:pPr>
        <w:spacing w:line="480" w:lineRule="auto"/>
        <w:ind w:left="720" w:hanging="720"/>
        <w:rPr>
          <w:color w:val="000000" w:themeColor="text1"/>
        </w:rPr>
      </w:pPr>
      <w:r w:rsidRPr="00EB34C5">
        <w:rPr>
          <w:color w:val="000000" w:themeColor="text1"/>
        </w:rPr>
        <w:t xml:space="preserve">Jones, K., </w:t>
      </w:r>
      <w:proofErr w:type="spellStart"/>
      <w:r w:rsidRPr="00EB34C5">
        <w:rPr>
          <w:color w:val="000000" w:themeColor="text1"/>
        </w:rPr>
        <w:t>Sejersen</w:t>
      </w:r>
      <w:proofErr w:type="spellEnd"/>
      <w:r w:rsidRPr="00EB34C5">
        <w:rPr>
          <w:color w:val="000000" w:themeColor="text1"/>
        </w:rPr>
        <w:t>, T., Amato, A., Hilton-Jones, D., Schmidt, J., Wallace, A</w:t>
      </w:r>
      <w:proofErr w:type="gramStart"/>
      <w:r w:rsidRPr="00EB34C5">
        <w:rPr>
          <w:color w:val="000000" w:themeColor="text1"/>
        </w:rPr>
        <w:t>., . . .</w:t>
      </w:r>
      <w:proofErr w:type="gramEnd"/>
      <w:r w:rsidRPr="00EB34C5">
        <w:rPr>
          <w:color w:val="000000" w:themeColor="text1"/>
        </w:rPr>
        <w:t xml:space="preserve"> IBM Guideline Development Group. (2016). A protocol to develop clinical guidelines for inclusion-body myositis.</w:t>
      </w:r>
      <w:r w:rsidRPr="00EB34C5">
        <w:rPr>
          <w:i/>
          <w:iCs/>
          <w:color w:val="000000" w:themeColor="text1"/>
        </w:rPr>
        <w:t> Muscle &amp; Nerve, 53</w:t>
      </w:r>
      <w:r w:rsidRPr="00EB34C5">
        <w:rPr>
          <w:color w:val="000000" w:themeColor="text1"/>
        </w:rPr>
        <w:t>(4), 503-507. doi:10.1002/mus.25036</w:t>
      </w:r>
    </w:p>
    <w:p w14:paraId="075A9701" w14:textId="77777777" w:rsidR="00AB07C3" w:rsidRPr="00EB34C5" w:rsidRDefault="00AB07C3" w:rsidP="00AB07C3">
      <w:pPr>
        <w:spacing w:line="480" w:lineRule="auto"/>
        <w:ind w:left="720" w:hanging="720"/>
        <w:rPr>
          <w:color w:val="000000" w:themeColor="text1"/>
        </w:rPr>
      </w:pPr>
      <w:proofErr w:type="spellStart"/>
      <w:r w:rsidRPr="00EB34C5">
        <w:rPr>
          <w:color w:val="000000" w:themeColor="text1"/>
        </w:rPr>
        <w:t>Khodaveisi</w:t>
      </w:r>
      <w:proofErr w:type="spellEnd"/>
      <w:r w:rsidRPr="00EB34C5">
        <w:rPr>
          <w:color w:val="000000" w:themeColor="text1"/>
        </w:rPr>
        <w:t xml:space="preserve">, M. P., </w:t>
      </w:r>
      <w:proofErr w:type="spellStart"/>
      <w:r w:rsidRPr="00EB34C5">
        <w:rPr>
          <w:color w:val="000000" w:themeColor="text1"/>
        </w:rPr>
        <w:t>Omidi</w:t>
      </w:r>
      <w:proofErr w:type="spellEnd"/>
      <w:r w:rsidRPr="00EB34C5">
        <w:rPr>
          <w:color w:val="000000" w:themeColor="text1"/>
        </w:rPr>
        <w:t xml:space="preserve">, A. M., </w:t>
      </w:r>
      <w:proofErr w:type="spellStart"/>
      <w:r w:rsidRPr="00EB34C5">
        <w:rPr>
          <w:color w:val="000000" w:themeColor="text1"/>
        </w:rPr>
        <w:t>Farokhi</w:t>
      </w:r>
      <w:proofErr w:type="spellEnd"/>
      <w:r w:rsidRPr="00EB34C5">
        <w:rPr>
          <w:color w:val="000000" w:themeColor="text1"/>
        </w:rPr>
        <w:t xml:space="preserve">, S. M., &amp; </w:t>
      </w:r>
      <w:proofErr w:type="spellStart"/>
      <w:r w:rsidRPr="00EB34C5">
        <w:rPr>
          <w:color w:val="000000" w:themeColor="text1"/>
        </w:rPr>
        <w:t>Soltanian</w:t>
      </w:r>
      <w:proofErr w:type="spellEnd"/>
      <w:r w:rsidRPr="00EB34C5">
        <w:rPr>
          <w:color w:val="000000" w:themeColor="text1"/>
        </w:rPr>
        <w:t xml:space="preserve"> AR, P. (2017). The effect of </w:t>
      </w:r>
      <w:proofErr w:type="spellStart"/>
      <w:r w:rsidRPr="00EB34C5">
        <w:rPr>
          <w:color w:val="000000" w:themeColor="text1"/>
        </w:rPr>
        <w:t>pender's</w:t>
      </w:r>
      <w:proofErr w:type="spellEnd"/>
      <w:r w:rsidRPr="00EB34C5">
        <w:rPr>
          <w:color w:val="000000" w:themeColor="text1"/>
        </w:rPr>
        <w:t xml:space="preserve"> health promotion model in improving the nutritional behavior of overweight and obese women.</w:t>
      </w:r>
      <w:r w:rsidRPr="00EB34C5">
        <w:rPr>
          <w:i/>
          <w:iCs/>
          <w:color w:val="000000" w:themeColor="text1"/>
        </w:rPr>
        <w:t> International Journal of Community Based Nursing and Midwifery, 5</w:t>
      </w:r>
      <w:r w:rsidRPr="00EB34C5">
        <w:rPr>
          <w:color w:val="000000" w:themeColor="text1"/>
        </w:rPr>
        <w:t>(2), 165-174.</w:t>
      </w:r>
    </w:p>
    <w:p w14:paraId="21CF1EA3" w14:textId="247DD154" w:rsidR="2F12C45C" w:rsidRPr="00EB34C5" w:rsidRDefault="693C9F63" w:rsidP="693C9F63">
      <w:pPr>
        <w:spacing w:line="480" w:lineRule="auto"/>
        <w:ind w:left="720" w:hanging="720"/>
        <w:rPr>
          <w:color w:val="000000" w:themeColor="text1"/>
        </w:rPr>
      </w:pPr>
      <w:proofErr w:type="spellStart"/>
      <w:r w:rsidRPr="00EB34C5">
        <w:rPr>
          <w:color w:val="000000" w:themeColor="text1"/>
        </w:rPr>
        <w:t>Konerman</w:t>
      </w:r>
      <w:proofErr w:type="spellEnd"/>
      <w:r w:rsidRPr="00EB34C5">
        <w:rPr>
          <w:color w:val="000000" w:themeColor="text1"/>
        </w:rPr>
        <w:t xml:space="preserve">, M., Thomson, M., Gray, K., Moore, M., </w:t>
      </w:r>
      <w:proofErr w:type="spellStart"/>
      <w:r w:rsidRPr="00EB34C5">
        <w:rPr>
          <w:color w:val="000000" w:themeColor="text1"/>
        </w:rPr>
        <w:t>Choxi</w:t>
      </w:r>
      <w:proofErr w:type="spellEnd"/>
      <w:r w:rsidRPr="00EB34C5">
        <w:rPr>
          <w:color w:val="000000" w:themeColor="text1"/>
        </w:rPr>
        <w:t xml:space="preserve">, H., </w:t>
      </w:r>
      <w:proofErr w:type="spellStart"/>
      <w:r w:rsidRPr="00EB34C5">
        <w:rPr>
          <w:color w:val="000000" w:themeColor="text1"/>
        </w:rPr>
        <w:t>Seif</w:t>
      </w:r>
      <w:proofErr w:type="spellEnd"/>
      <w:r w:rsidRPr="00EB34C5">
        <w:rPr>
          <w:color w:val="000000" w:themeColor="text1"/>
        </w:rPr>
        <w:t xml:space="preserve">, E. and </w:t>
      </w:r>
      <w:proofErr w:type="spellStart"/>
      <w:r w:rsidRPr="00EB34C5">
        <w:rPr>
          <w:color w:val="000000" w:themeColor="text1"/>
        </w:rPr>
        <w:t>Lok</w:t>
      </w:r>
      <w:proofErr w:type="spellEnd"/>
      <w:r w:rsidRPr="00EB34C5">
        <w:rPr>
          <w:color w:val="000000" w:themeColor="text1"/>
        </w:rPr>
        <w:t xml:space="preserve">, A. (2017). Impact of an electronic health record alert in primary care on increasing hepatitis c screening and curative treatment for baby boomers. </w:t>
      </w:r>
      <w:proofErr w:type="spellStart"/>
      <w:r w:rsidRPr="00EB34C5">
        <w:rPr>
          <w:color w:val="000000" w:themeColor="text1"/>
        </w:rPr>
        <w:t>Hepatology</w:t>
      </w:r>
      <w:proofErr w:type="spellEnd"/>
      <w:r w:rsidRPr="00EB34C5">
        <w:rPr>
          <w:color w:val="000000" w:themeColor="text1"/>
        </w:rPr>
        <w:t xml:space="preserve">, 66: 1805-1813. </w:t>
      </w:r>
      <w:proofErr w:type="gramStart"/>
      <w:r w:rsidRPr="00EB34C5">
        <w:rPr>
          <w:color w:val="000000" w:themeColor="text1"/>
        </w:rPr>
        <w:t>doi</w:t>
      </w:r>
      <w:proofErr w:type="gramEnd"/>
      <w:r w:rsidRPr="00EB34C5">
        <w:rPr>
          <w:color w:val="000000" w:themeColor="text1"/>
        </w:rPr>
        <w:t>:</w:t>
      </w:r>
      <w:hyperlink r:id="rId17">
        <w:r w:rsidRPr="00EB34C5">
          <w:rPr>
            <w:rStyle w:val="Hyperlink"/>
            <w:color w:val="000000" w:themeColor="text1"/>
          </w:rPr>
          <w:t>10.1002/hep.29362</w:t>
        </w:r>
      </w:hyperlink>
    </w:p>
    <w:p w14:paraId="489E687D" w14:textId="4C725EF7" w:rsidR="006B10D4" w:rsidRPr="00EB34C5" w:rsidRDefault="693C9F63" w:rsidP="006B10D4">
      <w:pPr>
        <w:spacing w:line="480" w:lineRule="auto"/>
        <w:ind w:left="720" w:hanging="720"/>
        <w:rPr>
          <w:color w:val="000000" w:themeColor="text1"/>
        </w:rPr>
      </w:pPr>
      <w:proofErr w:type="spellStart"/>
      <w:r w:rsidRPr="00EB34C5">
        <w:rPr>
          <w:color w:val="000000" w:themeColor="text1"/>
        </w:rPr>
        <w:t>Mazdeh</w:t>
      </w:r>
      <w:proofErr w:type="spellEnd"/>
      <w:r w:rsidRPr="00EB34C5">
        <w:rPr>
          <w:color w:val="000000" w:themeColor="text1"/>
        </w:rPr>
        <w:t xml:space="preserve">, M., </w:t>
      </w:r>
      <w:proofErr w:type="spellStart"/>
      <w:r w:rsidRPr="00EB34C5">
        <w:rPr>
          <w:color w:val="000000" w:themeColor="text1"/>
        </w:rPr>
        <w:t>Seifirad</w:t>
      </w:r>
      <w:proofErr w:type="spellEnd"/>
      <w:r w:rsidRPr="00EB34C5">
        <w:rPr>
          <w:color w:val="000000" w:themeColor="text1"/>
        </w:rPr>
        <w:t xml:space="preserve">, S., </w:t>
      </w:r>
      <w:proofErr w:type="spellStart"/>
      <w:r w:rsidRPr="00EB34C5">
        <w:rPr>
          <w:color w:val="000000" w:themeColor="text1"/>
        </w:rPr>
        <w:t>Kazemi</w:t>
      </w:r>
      <w:proofErr w:type="spellEnd"/>
      <w:r w:rsidRPr="00EB34C5">
        <w:rPr>
          <w:color w:val="000000" w:themeColor="text1"/>
        </w:rPr>
        <w:t xml:space="preserve">, N., </w:t>
      </w:r>
      <w:proofErr w:type="spellStart"/>
      <w:r w:rsidRPr="00EB34C5">
        <w:rPr>
          <w:color w:val="000000" w:themeColor="text1"/>
        </w:rPr>
        <w:t>Seifrabie</w:t>
      </w:r>
      <w:proofErr w:type="spellEnd"/>
      <w:r w:rsidRPr="00EB34C5">
        <w:rPr>
          <w:color w:val="000000" w:themeColor="text1"/>
        </w:rPr>
        <w:t xml:space="preserve">, M. A., </w:t>
      </w:r>
      <w:proofErr w:type="spellStart"/>
      <w:r w:rsidRPr="00EB34C5">
        <w:rPr>
          <w:color w:val="000000" w:themeColor="text1"/>
        </w:rPr>
        <w:t>Dehghan</w:t>
      </w:r>
      <w:proofErr w:type="spellEnd"/>
      <w:r w:rsidRPr="00EB34C5">
        <w:rPr>
          <w:color w:val="000000" w:themeColor="text1"/>
        </w:rPr>
        <w:t xml:space="preserve">, A., &amp; </w:t>
      </w:r>
      <w:proofErr w:type="spellStart"/>
      <w:r w:rsidRPr="00EB34C5">
        <w:rPr>
          <w:color w:val="000000" w:themeColor="text1"/>
        </w:rPr>
        <w:t>Abbasi</w:t>
      </w:r>
      <w:proofErr w:type="spellEnd"/>
      <w:r w:rsidRPr="00EB34C5">
        <w:rPr>
          <w:color w:val="000000" w:themeColor="text1"/>
        </w:rPr>
        <w:t>, H. (2013). Comparison of vitamin D3 serum levels in new diagnosed patients with multiple sclerosis versus their healthy relatives.</w:t>
      </w:r>
      <w:r w:rsidRPr="00EB34C5">
        <w:rPr>
          <w:i/>
          <w:iCs/>
          <w:color w:val="000000" w:themeColor="text1"/>
        </w:rPr>
        <w:t> </w:t>
      </w:r>
      <w:proofErr w:type="spellStart"/>
      <w:r w:rsidRPr="00EB34C5">
        <w:rPr>
          <w:i/>
          <w:iCs/>
          <w:color w:val="000000" w:themeColor="text1"/>
        </w:rPr>
        <w:t>Acta</w:t>
      </w:r>
      <w:proofErr w:type="spellEnd"/>
      <w:r w:rsidRPr="00EB34C5">
        <w:rPr>
          <w:i/>
          <w:iCs/>
          <w:color w:val="000000" w:themeColor="text1"/>
        </w:rPr>
        <w:t xml:space="preserve"> </w:t>
      </w:r>
      <w:proofErr w:type="spellStart"/>
      <w:r w:rsidRPr="00EB34C5">
        <w:rPr>
          <w:i/>
          <w:iCs/>
          <w:color w:val="000000" w:themeColor="text1"/>
        </w:rPr>
        <w:t>Medica</w:t>
      </w:r>
      <w:proofErr w:type="spellEnd"/>
      <w:r w:rsidRPr="00EB34C5">
        <w:rPr>
          <w:i/>
          <w:iCs/>
          <w:color w:val="000000" w:themeColor="text1"/>
        </w:rPr>
        <w:t xml:space="preserve"> </w:t>
      </w:r>
      <w:proofErr w:type="spellStart"/>
      <w:r w:rsidRPr="00EB34C5">
        <w:rPr>
          <w:i/>
          <w:iCs/>
          <w:color w:val="000000" w:themeColor="text1"/>
        </w:rPr>
        <w:t>Iranica</w:t>
      </w:r>
      <w:proofErr w:type="spellEnd"/>
      <w:r w:rsidRPr="00EB34C5">
        <w:rPr>
          <w:i/>
          <w:iCs/>
          <w:color w:val="000000" w:themeColor="text1"/>
        </w:rPr>
        <w:t>, 51</w:t>
      </w:r>
      <w:r w:rsidRPr="00EB34C5">
        <w:rPr>
          <w:color w:val="000000" w:themeColor="text1"/>
        </w:rPr>
        <w:t>(5), 289-292.</w:t>
      </w:r>
    </w:p>
    <w:p w14:paraId="7E5BA233" w14:textId="77777777" w:rsidR="003A55CE" w:rsidRPr="00EB34C5" w:rsidRDefault="693C9F63" w:rsidP="003A55CE">
      <w:pPr>
        <w:spacing w:line="480" w:lineRule="auto"/>
        <w:ind w:left="720" w:hanging="720"/>
        <w:rPr>
          <w:color w:val="000000" w:themeColor="text1"/>
        </w:rPr>
      </w:pPr>
      <w:proofErr w:type="spellStart"/>
      <w:r w:rsidRPr="00EB34C5">
        <w:rPr>
          <w:color w:val="000000" w:themeColor="text1"/>
        </w:rPr>
        <w:lastRenderedPageBreak/>
        <w:t>Mazumder</w:t>
      </w:r>
      <w:proofErr w:type="spellEnd"/>
      <w:r w:rsidRPr="00EB34C5">
        <w:rPr>
          <w:color w:val="000000" w:themeColor="text1"/>
        </w:rPr>
        <w:t xml:space="preserve">, R., Murchison, C., </w:t>
      </w:r>
      <w:proofErr w:type="spellStart"/>
      <w:r w:rsidRPr="00EB34C5">
        <w:rPr>
          <w:color w:val="000000" w:themeColor="text1"/>
        </w:rPr>
        <w:t>Bourdette</w:t>
      </w:r>
      <w:proofErr w:type="spellEnd"/>
      <w:r w:rsidRPr="00EB34C5">
        <w:rPr>
          <w:color w:val="000000" w:themeColor="text1"/>
        </w:rPr>
        <w:t>, D., &amp; Cameron, M. (2014). Falls in people with multiple sclerosis compared with falls in healthy controls.</w:t>
      </w:r>
      <w:r w:rsidRPr="00EB34C5">
        <w:rPr>
          <w:i/>
          <w:iCs/>
          <w:color w:val="000000" w:themeColor="text1"/>
        </w:rPr>
        <w:t> </w:t>
      </w:r>
      <w:proofErr w:type="spellStart"/>
      <w:r w:rsidRPr="00EB34C5">
        <w:rPr>
          <w:i/>
          <w:iCs/>
          <w:color w:val="000000" w:themeColor="text1"/>
        </w:rPr>
        <w:t>PloS</w:t>
      </w:r>
      <w:proofErr w:type="spellEnd"/>
      <w:r w:rsidRPr="00EB34C5">
        <w:rPr>
          <w:i/>
          <w:iCs/>
          <w:color w:val="000000" w:themeColor="text1"/>
        </w:rPr>
        <w:t xml:space="preserve"> One, 9</w:t>
      </w:r>
      <w:r w:rsidRPr="00EB34C5">
        <w:rPr>
          <w:color w:val="000000" w:themeColor="text1"/>
        </w:rPr>
        <w:t>(9), e107620. 10.1371/journal.pone.0107620</w:t>
      </w:r>
    </w:p>
    <w:p w14:paraId="670C6AD1" w14:textId="356F1B95" w:rsidR="4E5A3D04" w:rsidRPr="00EB34C5" w:rsidRDefault="4E5A3D04" w:rsidP="4E5A3D04">
      <w:pPr>
        <w:spacing w:line="480" w:lineRule="auto"/>
        <w:ind w:left="720" w:hanging="720"/>
        <w:rPr>
          <w:color w:val="000000" w:themeColor="text1"/>
        </w:rPr>
      </w:pPr>
      <w:proofErr w:type="spellStart"/>
      <w:r w:rsidRPr="00EB34C5">
        <w:rPr>
          <w:color w:val="000000" w:themeColor="text1"/>
        </w:rPr>
        <w:t>Melnyk</w:t>
      </w:r>
      <w:proofErr w:type="spellEnd"/>
      <w:r w:rsidRPr="00EB34C5">
        <w:rPr>
          <w:color w:val="000000" w:themeColor="text1"/>
        </w:rPr>
        <w:t xml:space="preserve">, B. M., </w:t>
      </w:r>
      <w:proofErr w:type="spellStart"/>
      <w:r w:rsidRPr="00EB34C5">
        <w:rPr>
          <w:color w:val="000000" w:themeColor="text1"/>
        </w:rPr>
        <w:t>Fineout-Overholt</w:t>
      </w:r>
      <w:proofErr w:type="spellEnd"/>
      <w:r w:rsidRPr="00EB34C5">
        <w:rPr>
          <w:color w:val="000000" w:themeColor="text1"/>
        </w:rPr>
        <w:t xml:space="preserve">, E., Stillwell, S. B., &amp; Williamson, K. M. (2010). Evidence-based practice: Step by step. The seven steps of evidence-based practice: Following this progressive, sequential approach will lead to improved health care and patient outcomes. </w:t>
      </w:r>
      <w:r w:rsidRPr="00EB34C5">
        <w:rPr>
          <w:i/>
          <w:iCs/>
          <w:color w:val="000000" w:themeColor="text1"/>
        </w:rPr>
        <w:t>American Journal of Nursing, 110</w:t>
      </w:r>
      <w:r w:rsidRPr="00EB34C5">
        <w:rPr>
          <w:color w:val="000000" w:themeColor="text1"/>
        </w:rPr>
        <w:t>(1), 51-53.</w:t>
      </w:r>
    </w:p>
    <w:p w14:paraId="1C6A834E" w14:textId="77777777" w:rsidR="003A55CE" w:rsidRPr="00EB34C5" w:rsidRDefault="269AEE2E" w:rsidP="003A55CE">
      <w:pPr>
        <w:spacing w:line="480" w:lineRule="auto"/>
        <w:ind w:left="720" w:hanging="720"/>
        <w:rPr>
          <w:color w:val="000000" w:themeColor="text1"/>
        </w:rPr>
      </w:pPr>
      <w:r w:rsidRPr="00EB34C5">
        <w:rPr>
          <w:color w:val="000000" w:themeColor="text1"/>
        </w:rPr>
        <w:t xml:space="preserve">Nair, R., &amp; </w:t>
      </w:r>
      <w:proofErr w:type="spellStart"/>
      <w:r w:rsidRPr="00EB34C5">
        <w:rPr>
          <w:color w:val="000000" w:themeColor="text1"/>
        </w:rPr>
        <w:t>Maseeh</w:t>
      </w:r>
      <w:proofErr w:type="spellEnd"/>
      <w:r w:rsidRPr="00EB34C5">
        <w:rPr>
          <w:color w:val="000000" w:themeColor="text1"/>
        </w:rPr>
        <w:t>, A. (2012). Vitamin D: The "sunshine" vitamin.</w:t>
      </w:r>
      <w:r w:rsidRPr="00EB34C5">
        <w:rPr>
          <w:i/>
          <w:iCs/>
          <w:color w:val="000000" w:themeColor="text1"/>
        </w:rPr>
        <w:t xml:space="preserve"> Journal of Pharmacology &amp; </w:t>
      </w:r>
      <w:proofErr w:type="spellStart"/>
      <w:r w:rsidRPr="00EB34C5">
        <w:rPr>
          <w:i/>
          <w:iCs/>
          <w:color w:val="000000" w:themeColor="text1"/>
        </w:rPr>
        <w:t>Pharmacotherapeutics</w:t>
      </w:r>
      <w:proofErr w:type="spellEnd"/>
      <w:r w:rsidRPr="00EB34C5">
        <w:rPr>
          <w:i/>
          <w:iCs/>
          <w:color w:val="000000" w:themeColor="text1"/>
        </w:rPr>
        <w:t>, 3</w:t>
      </w:r>
      <w:r w:rsidRPr="00EB34C5">
        <w:rPr>
          <w:color w:val="000000" w:themeColor="text1"/>
        </w:rPr>
        <w:t>(2), 118-126. 10.4103/0976-500X.95506</w:t>
      </w:r>
    </w:p>
    <w:p w14:paraId="3D3BF5B8" w14:textId="1869A528" w:rsidR="003A55CE" w:rsidRPr="00EB34C5" w:rsidRDefault="003A55CE" w:rsidP="003A55CE">
      <w:pPr>
        <w:spacing w:line="480" w:lineRule="auto"/>
        <w:ind w:left="720" w:hanging="720"/>
        <w:rPr>
          <w:color w:val="000000" w:themeColor="text1"/>
        </w:rPr>
      </w:pPr>
      <w:r w:rsidRPr="00EB34C5">
        <w:rPr>
          <w:color w:val="000000" w:themeColor="text1"/>
        </w:rPr>
        <w:t>National Institutes of Health. (2010)</w:t>
      </w:r>
      <w:proofErr w:type="gramStart"/>
      <w:r w:rsidRPr="00EB34C5">
        <w:rPr>
          <w:color w:val="000000" w:themeColor="text1"/>
        </w:rPr>
        <w:t xml:space="preserve">. </w:t>
      </w:r>
      <w:r w:rsidRPr="00EB34C5">
        <w:rPr>
          <w:i/>
          <w:iCs/>
          <w:color w:val="000000" w:themeColor="text1"/>
        </w:rPr>
        <w:t xml:space="preserve"> Multiple</w:t>
      </w:r>
      <w:proofErr w:type="gramEnd"/>
      <w:r w:rsidRPr="00EB34C5">
        <w:rPr>
          <w:i/>
          <w:iCs/>
          <w:color w:val="000000" w:themeColor="text1"/>
        </w:rPr>
        <w:t xml:space="preserve"> Sclerosis </w:t>
      </w:r>
      <w:r w:rsidRPr="00EB34C5">
        <w:rPr>
          <w:color w:val="000000" w:themeColor="text1"/>
        </w:rPr>
        <w:t xml:space="preserve">[Fact sheet].  Retrieved from </w:t>
      </w:r>
      <w:hyperlink r:id="rId18" w:history="1">
        <w:r w:rsidR="00C72F29" w:rsidRPr="00EB34C5">
          <w:rPr>
            <w:rStyle w:val="Hyperlink"/>
            <w:color w:val="000000" w:themeColor="text1"/>
          </w:rPr>
          <w:t>https://report.nih.gov/NIHfactsheets/Pdfs/MultipleSclerosis(NINDS).pdf</w:t>
        </w:r>
      </w:hyperlink>
      <w:r w:rsidR="269AEE2E" w:rsidRPr="00EB34C5">
        <w:rPr>
          <w:rStyle w:val="Hyperlink"/>
          <w:color w:val="000000" w:themeColor="text1"/>
        </w:rPr>
        <w:t>https://report.nih.gov/NIHfactsheets/Pdfs/</w:t>
      </w:r>
      <w:proofErr w:type="gramStart"/>
      <w:r w:rsidR="269AEE2E" w:rsidRPr="00EB34C5">
        <w:rPr>
          <w:rStyle w:val="Hyperlink"/>
          <w:color w:val="000000" w:themeColor="text1"/>
        </w:rPr>
        <w:t>MultipleSclerosis(</w:t>
      </w:r>
      <w:proofErr w:type="gramEnd"/>
      <w:r w:rsidR="269AEE2E" w:rsidRPr="00EB34C5">
        <w:rPr>
          <w:rStyle w:val="Hyperlink"/>
          <w:color w:val="000000" w:themeColor="text1"/>
        </w:rPr>
        <w:t>NINDS).pdf</w:t>
      </w:r>
    </w:p>
    <w:p w14:paraId="4D28FA4C" w14:textId="10FF7B57" w:rsidR="00E8288C" w:rsidRPr="00EB34C5" w:rsidRDefault="00E8288C" w:rsidP="693C9F63">
      <w:pPr>
        <w:spacing w:line="480" w:lineRule="auto"/>
        <w:ind w:left="720" w:hanging="720"/>
        <w:rPr>
          <w:color w:val="000000" w:themeColor="text1"/>
        </w:rPr>
      </w:pPr>
      <w:r w:rsidRPr="00EB34C5">
        <w:rPr>
          <w:color w:val="000000" w:themeColor="text1"/>
        </w:rPr>
        <w:t>National MS Society. (</w:t>
      </w:r>
      <w:proofErr w:type="spellStart"/>
      <w:r w:rsidRPr="00EB34C5">
        <w:rPr>
          <w:color w:val="000000" w:themeColor="text1"/>
        </w:rPr>
        <w:t>n.d.</w:t>
      </w:r>
      <w:proofErr w:type="spellEnd"/>
      <w:r w:rsidRPr="00EB34C5">
        <w:rPr>
          <w:color w:val="000000" w:themeColor="text1"/>
        </w:rPr>
        <w:t xml:space="preserve">). MS </w:t>
      </w:r>
      <w:proofErr w:type="spellStart"/>
      <w:r w:rsidRPr="00EB34C5">
        <w:rPr>
          <w:color w:val="000000" w:themeColor="text1"/>
        </w:rPr>
        <w:t>Prevalence.Retrieved</w:t>
      </w:r>
      <w:proofErr w:type="spellEnd"/>
      <w:r w:rsidRPr="00EB34C5">
        <w:rPr>
          <w:color w:val="000000" w:themeColor="text1"/>
        </w:rPr>
        <w:t xml:space="preserve"> from https://www.nationalmssociety.org/About-the-Society/MS-Prevalence </w:t>
      </w:r>
    </w:p>
    <w:p w14:paraId="1982CBA7" w14:textId="08A1B29A" w:rsidR="006227AC" w:rsidRPr="00EB34C5" w:rsidRDefault="693C9F63" w:rsidP="693C9F63">
      <w:pPr>
        <w:spacing w:line="480" w:lineRule="auto"/>
        <w:ind w:left="720" w:hanging="720"/>
        <w:rPr>
          <w:color w:val="000000" w:themeColor="text1"/>
        </w:rPr>
      </w:pPr>
      <w:proofErr w:type="spellStart"/>
      <w:r w:rsidRPr="00EB34C5">
        <w:rPr>
          <w:color w:val="000000" w:themeColor="text1"/>
        </w:rPr>
        <w:t>Paiva</w:t>
      </w:r>
      <w:proofErr w:type="spellEnd"/>
      <w:r w:rsidRPr="00EB34C5">
        <w:rPr>
          <w:color w:val="000000" w:themeColor="text1"/>
        </w:rPr>
        <w:t xml:space="preserve">, E., &amp; Rocha, A. (2009). How to implement a guideline from theory to practice: The example of the venous thromboembolism prophylaxis. [Como </w:t>
      </w:r>
      <w:proofErr w:type="spellStart"/>
      <w:r w:rsidRPr="00EB34C5">
        <w:rPr>
          <w:color w:val="000000" w:themeColor="text1"/>
        </w:rPr>
        <w:t>implementar</w:t>
      </w:r>
      <w:proofErr w:type="spellEnd"/>
      <w:r w:rsidRPr="00EB34C5">
        <w:rPr>
          <w:color w:val="000000" w:themeColor="text1"/>
        </w:rPr>
        <w:t xml:space="preserve"> </w:t>
      </w:r>
      <w:proofErr w:type="spellStart"/>
      <w:r w:rsidRPr="00EB34C5">
        <w:rPr>
          <w:color w:val="000000" w:themeColor="text1"/>
        </w:rPr>
        <w:t>uma</w:t>
      </w:r>
      <w:proofErr w:type="spellEnd"/>
      <w:r w:rsidRPr="00EB34C5">
        <w:rPr>
          <w:color w:val="000000" w:themeColor="text1"/>
        </w:rPr>
        <w:t xml:space="preserve"> </w:t>
      </w:r>
      <w:proofErr w:type="spellStart"/>
      <w:r w:rsidRPr="00EB34C5">
        <w:rPr>
          <w:color w:val="000000" w:themeColor="text1"/>
        </w:rPr>
        <w:t>diretriz</w:t>
      </w:r>
      <w:proofErr w:type="spellEnd"/>
      <w:r w:rsidRPr="00EB34C5">
        <w:rPr>
          <w:color w:val="000000" w:themeColor="text1"/>
        </w:rPr>
        <w:t xml:space="preserve"> da </w:t>
      </w:r>
      <w:proofErr w:type="spellStart"/>
      <w:r w:rsidRPr="00EB34C5">
        <w:rPr>
          <w:color w:val="000000" w:themeColor="text1"/>
        </w:rPr>
        <w:t>teoria</w:t>
      </w:r>
      <w:proofErr w:type="spellEnd"/>
      <w:r w:rsidRPr="00EB34C5">
        <w:rPr>
          <w:color w:val="000000" w:themeColor="text1"/>
        </w:rPr>
        <w:t xml:space="preserve"> a </w:t>
      </w:r>
      <w:proofErr w:type="spellStart"/>
      <w:r w:rsidRPr="00EB34C5">
        <w:rPr>
          <w:color w:val="000000" w:themeColor="text1"/>
        </w:rPr>
        <w:t>pratica</w:t>
      </w:r>
      <w:proofErr w:type="spellEnd"/>
      <w:r w:rsidRPr="00EB34C5">
        <w:rPr>
          <w:color w:val="000000" w:themeColor="text1"/>
        </w:rPr>
        <w:t xml:space="preserve">: </w:t>
      </w:r>
      <w:proofErr w:type="spellStart"/>
      <w:r w:rsidRPr="00EB34C5">
        <w:rPr>
          <w:color w:val="000000" w:themeColor="text1"/>
        </w:rPr>
        <w:t>exemplo</w:t>
      </w:r>
      <w:proofErr w:type="spellEnd"/>
      <w:r w:rsidRPr="00EB34C5">
        <w:rPr>
          <w:color w:val="000000" w:themeColor="text1"/>
        </w:rPr>
        <w:t xml:space="preserve"> da </w:t>
      </w:r>
      <w:proofErr w:type="spellStart"/>
      <w:r w:rsidRPr="00EB34C5">
        <w:rPr>
          <w:color w:val="000000" w:themeColor="text1"/>
        </w:rPr>
        <w:t>profilaxia</w:t>
      </w:r>
      <w:proofErr w:type="spellEnd"/>
      <w:r w:rsidRPr="00EB34C5">
        <w:rPr>
          <w:color w:val="000000" w:themeColor="text1"/>
        </w:rPr>
        <w:t xml:space="preserve"> para </w:t>
      </w:r>
      <w:proofErr w:type="spellStart"/>
      <w:r w:rsidRPr="00EB34C5">
        <w:rPr>
          <w:color w:val="000000" w:themeColor="text1"/>
        </w:rPr>
        <w:t>tromboembolismo</w:t>
      </w:r>
      <w:proofErr w:type="spellEnd"/>
      <w:r w:rsidRPr="00EB34C5">
        <w:rPr>
          <w:color w:val="000000" w:themeColor="text1"/>
        </w:rPr>
        <w:t xml:space="preserve"> </w:t>
      </w:r>
      <w:proofErr w:type="spellStart"/>
      <w:r w:rsidRPr="00EB34C5">
        <w:rPr>
          <w:color w:val="000000" w:themeColor="text1"/>
        </w:rPr>
        <w:t>venoso</w:t>
      </w:r>
      <w:proofErr w:type="spellEnd"/>
      <w:r w:rsidRPr="00EB34C5">
        <w:rPr>
          <w:color w:val="000000" w:themeColor="text1"/>
        </w:rPr>
        <w:t>] </w:t>
      </w:r>
      <w:proofErr w:type="spellStart"/>
      <w:r w:rsidRPr="00EB34C5">
        <w:rPr>
          <w:i/>
          <w:iCs/>
          <w:color w:val="000000" w:themeColor="text1"/>
        </w:rPr>
        <w:t>Acta</w:t>
      </w:r>
      <w:proofErr w:type="spellEnd"/>
      <w:r w:rsidRPr="00EB34C5">
        <w:rPr>
          <w:i/>
          <w:iCs/>
          <w:color w:val="000000" w:themeColor="text1"/>
        </w:rPr>
        <w:t xml:space="preserve"> </w:t>
      </w:r>
      <w:proofErr w:type="spellStart"/>
      <w:r w:rsidRPr="00EB34C5">
        <w:rPr>
          <w:i/>
          <w:iCs/>
          <w:color w:val="000000" w:themeColor="text1"/>
        </w:rPr>
        <w:t>Medica</w:t>
      </w:r>
      <w:proofErr w:type="spellEnd"/>
      <w:r w:rsidRPr="00EB34C5">
        <w:rPr>
          <w:i/>
          <w:iCs/>
          <w:color w:val="000000" w:themeColor="text1"/>
        </w:rPr>
        <w:t xml:space="preserve"> Portuguesa, 22</w:t>
      </w:r>
      <w:r w:rsidRPr="00EB34C5">
        <w:rPr>
          <w:color w:val="000000" w:themeColor="text1"/>
        </w:rPr>
        <w:t>(1), 21-32.</w:t>
      </w:r>
    </w:p>
    <w:p w14:paraId="247B518F" w14:textId="71B142D6" w:rsidR="003152CC" w:rsidRPr="00EB34C5" w:rsidRDefault="2F12C45C" w:rsidP="2F12C45C">
      <w:pPr>
        <w:spacing w:line="480" w:lineRule="auto"/>
        <w:ind w:left="720" w:hanging="720"/>
        <w:rPr>
          <w:color w:val="000000" w:themeColor="text1"/>
        </w:rPr>
      </w:pPr>
      <w:proofErr w:type="spellStart"/>
      <w:r w:rsidRPr="00EB34C5">
        <w:rPr>
          <w:color w:val="000000" w:themeColor="text1"/>
        </w:rPr>
        <w:t>Petiprin</w:t>
      </w:r>
      <w:proofErr w:type="spellEnd"/>
      <w:r w:rsidRPr="00EB34C5">
        <w:rPr>
          <w:color w:val="000000" w:themeColor="text1"/>
        </w:rPr>
        <w:t>, A. (2016).  Health Promotion Model.  Retrieved from http://www.nursing-theory.org/theories-and-models/pender-health-promotion-model.php</w:t>
      </w:r>
    </w:p>
    <w:p w14:paraId="6B15C03C" w14:textId="4B6F49AC" w:rsidR="008E3758" w:rsidRPr="00EB34C5" w:rsidRDefault="63145FF4" w:rsidP="008E3758">
      <w:pPr>
        <w:spacing w:line="480" w:lineRule="auto"/>
        <w:ind w:left="720" w:hanging="720"/>
        <w:rPr>
          <w:color w:val="000000" w:themeColor="text1"/>
        </w:rPr>
      </w:pPr>
      <w:r w:rsidRPr="00EB34C5">
        <w:rPr>
          <w:color w:val="000000" w:themeColor="text1"/>
        </w:rPr>
        <w:t>Prior, M., Guerin, M., &amp; Grimmer-Somers, K. (2008). The effectiveness of clinical guideline implementation strategies--a synthesis of systematic review findings.</w:t>
      </w:r>
      <w:r w:rsidRPr="00EB34C5">
        <w:rPr>
          <w:i/>
          <w:iCs/>
          <w:color w:val="000000" w:themeColor="text1"/>
        </w:rPr>
        <w:t> Journal of Evaluation in Clinical Practice, 14</w:t>
      </w:r>
      <w:r w:rsidRPr="00EB34C5">
        <w:rPr>
          <w:color w:val="000000" w:themeColor="text1"/>
        </w:rPr>
        <w:t>(5), 888-897. doi:10.1111/j.1365-2753.2008.01014.x</w:t>
      </w:r>
    </w:p>
    <w:p w14:paraId="57982BF9" w14:textId="4AB711D4" w:rsidR="0A66DF1E" w:rsidRPr="00EB34C5" w:rsidRDefault="0A66DF1E" w:rsidP="00C90914">
      <w:pPr>
        <w:spacing w:line="480" w:lineRule="auto"/>
        <w:ind w:left="720" w:hanging="720"/>
        <w:rPr>
          <w:color w:val="000000" w:themeColor="text1"/>
        </w:rPr>
      </w:pPr>
      <w:r w:rsidRPr="00EB34C5">
        <w:rPr>
          <w:color w:val="000000" w:themeColor="text1"/>
        </w:rPr>
        <w:lastRenderedPageBreak/>
        <w:t xml:space="preserve">Proctor, L. (2014). Diagnostics Errors: Medical Scribes Improve Physician Satisfaction. Can They Improve Diagnosis, Too? - Patient Safety &amp; Quality Healthcare. Retrieved from </w:t>
      </w:r>
      <w:hyperlink r:id="rId19">
        <w:r w:rsidRPr="00EB34C5">
          <w:rPr>
            <w:rStyle w:val="Hyperlink"/>
            <w:color w:val="000000" w:themeColor="text1"/>
          </w:rPr>
          <w:t>https://www.psqh.com/analysis/diagnostics-errors-medical-scribes-improve-physician-satisfaction-can-they-improve-diagnosis-too/</w:t>
        </w:r>
      </w:hyperlink>
    </w:p>
    <w:p w14:paraId="11901EE6" w14:textId="55F3DCA0" w:rsidR="43A3DDCF" w:rsidRPr="00EB34C5" w:rsidRDefault="00BA4D0A" w:rsidP="00C90914">
      <w:pPr>
        <w:spacing w:line="480" w:lineRule="auto"/>
        <w:ind w:left="720" w:hanging="720"/>
        <w:rPr>
          <w:color w:val="000000" w:themeColor="text1"/>
        </w:rPr>
      </w:pPr>
      <w:hyperlink r:id="rId20">
        <w:r w:rsidR="065ECE21" w:rsidRPr="00EB34C5">
          <w:rPr>
            <w:rStyle w:val="Hyperlink"/>
            <w:color w:val="000000" w:themeColor="text1"/>
          </w:rPr>
          <w:t>Queensland Government</w:t>
        </w:r>
      </w:hyperlink>
      <w:r w:rsidR="065ECE21" w:rsidRPr="00EB34C5">
        <w:rPr>
          <w:color w:val="000000" w:themeColor="text1"/>
        </w:rPr>
        <w:t xml:space="preserve"> (2016). SWOT analysis.  Retrieved from: </w:t>
      </w:r>
      <w:hyperlink r:id="rId21">
        <w:r w:rsidR="065ECE21" w:rsidRPr="00EB34C5">
          <w:rPr>
            <w:rStyle w:val="Hyperlink"/>
            <w:color w:val="000000" w:themeColor="text1"/>
          </w:rPr>
          <w:t>https://www.business.qld.gov.au/starting-business/planning/market-customer-research/swot-analysis</w:t>
        </w:r>
      </w:hyperlink>
    </w:p>
    <w:p w14:paraId="55115BAD" w14:textId="053C8B9F" w:rsidR="00567726" w:rsidRPr="00EB34C5" w:rsidRDefault="693C9F63" w:rsidP="00C90914">
      <w:pPr>
        <w:spacing w:line="480" w:lineRule="auto"/>
        <w:ind w:left="720" w:hanging="720"/>
        <w:rPr>
          <w:color w:val="000000" w:themeColor="text1"/>
        </w:rPr>
      </w:pPr>
      <w:proofErr w:type="spellStart"/>
      <w:r w:rsidRPr="00EB34C5">
        <w:rPr>
          <w:color w:val="000000" w:themeColor="text1"/>
        </w:rPr>
        <w:t>Ripolles-Melchor</w:t>
      </w:r>
      <w:proofErr w:type="spellEnd"/>
      <w:r w:rsidRPr="00EB34C5">
        <w:rPr>
          <w:color w:val="000000" w:themeColor="text1"/>
        </w:rPr>
        <w:t>, J., Varela, M., Camargo, S., Fernandez, P., Barrio, A., Martinez-Hurtado, E</w:t>
      </w:r>
      <w:proofErr w:type="gramStart"/>
      <w:r w:rsidRPr="00EB34C5">
        <w:rPr>
          <w:color w:val="000000" w:themeColor="text1"/>
        </w:rPr>
        <w:t>., . . .</w:t>
      </w:r>
      <w:proofErr w:type="gramEnd"/>
      <w:r w:rsidRPr="00EB34C5">
        <w:rPr>
          <w:color w:val="000000" w:themeColor="text1"/>
        </w:rPr>
        <w:t xml:space="preserve"> </w:t>
      </w:r>
      <w:proofErr w:type="spellStart"/>
      <w:r w:rsidRPr="00EB34C5">
        <w:rPr>
          <w:color w:val="000000" w:themeColor="text1"/>
        </w:rPr>
        <w:t>Calvo-Vecino</w:t>
      </w:r>
      <w:proofErr w:type="spellEnd"/>
      <w:r w:rsidRPr="00EB34C5">
        <w:rPr>
          <w:color w:val="000000" w:themeColor="text1"/>
        </w:rPr>
        <w:t>, J. (2018). Enhanced recovery after surgery protocol versus conventional perioperative care in colorectal surgery. A single center cohort study. [</w:t>
      </w:r>
      <w:proofErr w:type="spellStart"/>
      <w:r w:rsidRPr="00EB34C5">
        <w:rPr>
          <w:color w:val="000000" w:themeColor="text1"/>
        </w:rPr>
        <w:t>Aceleracao</w:t>
      </w:r>
      <w:proofErr w:type="spellEnd"/>
      <w:r w:rsidRPr="00EB34C5">
        <w:rPr>
          <w:color w:val="000000" w:themeColor="text1"/>
        </w:rPr>
        <w:t xml:space="preserve"> da </w:t>
      </w:r>
      <w:proofErr w:type="spellStart"/>
      <w:r w:rsidRPr="00EB34C5">
        <w:rPr>
          <w:color w:val="000000" w:themeColor="text1"/>
        </w:rPr>
        <w:t>recuperacao</w:t>
      </w:r>
      <w:proofErr w:type="spellEnd"/>
      <w:r w:rsidRPr="00EB34C5">
        <w:rPr>
          <w:color w:val="000000" w:themeColor="text1"/>
        </w:rPr>
        <w:t xml:space="preserve"> </w:t>
      </w:r>
      <w:proofErr w:type="spellStart"/>
      <w:r w:rsidRPr="00EB34C5">
        <w:rPr>
          <w:color w:val="000000" w:themeColor="text1"/>
        </w:rPr>
        <w:t>apos</w:t>
      </w:r>
      <w:proofErr w:type="spellEnd"/>
      <w:r w:rsidRPr="00EB34C5">
        <w:rPr>
          <w:color w:val="000000" w:themeColor="text1"/>
        </w:rPr>
        <w:t xml:space="preserve"> </w:t>
      </w:r>
      <w:proofErr w:type="spellStart"/>
      <w:r w:rsidRPr="00EB34C5">
        <w:rPr>
          <w:color w:val="000000" w:themeColor="text1"/>
        </w:rPr>
        <w:t>protocolo</w:t>
      </w:r>
      <w:proofErr w:type="spellEnd"/>
      <w:r w:rsidRPr="00EB34C5">
        <w:rPr>
          <w:color w:val="000000" w:themeColor="text1"/>
        </w:rPr>
        <w:t xml:space="preserve"> </w:t>
      </w:r>
      <w:proofErr w:type="spellStart"/>
      <w:r w:rsidRPr="00EB34C5">
        <w:rPr>
          <w:color w:val="000000" w:themeColor="text1"/>
        </w:rPr>
        <w:t>cirurgico</w:t>
      </w:r>
      <w:proofErr w:type="spellEnd"/>
      <w:r w:rsidRPr="00EB34C5">
        <w:rPr>
          <w:color w:val="000000" w:themeColor="text1"/>
        </w:rPr>
        <w:t xml:space="preserve"> versus </w:t>
      </w:r>
      <w:proofErr w:type="spellStart"/>
      <w:r w:rsidRPr="00EB34C5">
        <w:rPr>
          <w:color w:val="000000" w:themeColor="text1"/>
        </w:rPr>
        <w:t>cuidados</w:t>
      </w:r>
      <w:proofErr w:type="spellEnd"/>
      <w:r w:rsidRPr="00EB34C5">
        <w:rPr>
          <w:color w:val="000000" w:themeColor="text1"/>
        </w:rPr>
        <w:t xml:space="preserve"> </w:t>
      </w:r>
      <w:proofErr w:type="spellStart"/>
      <w:r w:rsidRPr="00EB34C5">
        <w:rPr>
          <w:color w:val="000000" w:themeColor="text1"/>
        </w:rPr>
        <w:t>perioperatorios</w:t>
      </w:r>
      <w:proofErr w:type="spellEnd"/>
      <w:r w:rsidRPr="00EB34C5">
        <w:rPr>
          <w:color w:val="000000" w:themeColor="text1"/>
        </w:rPr>
        <w:t xml:space="preserve"> </w:t>
      </w:r>
      <w:proofErr w:type="spellStart"/>
      <w:r w:rsidRPr="00EB34C5">
        <w:rPr>
          <w:color w:val="000000" w:themeColor="text1"/>
        </w:rPr>
        <w:t>convencionais</w:t>
      </w:r>
      <w:proofErr w:type="spellEnd"/>
      <w:r w:rsidRPr="00EB34C5">
        <w:rPr>
          <w:color w:val="000000" w:themeColor="text1"/>
        </w:rPr>
        <w:t xml:space="preserve"> </w:t>
      </w:r>
      <w:proofErr w:type="spellStart"/>
      <w:r w:rsidRPr="00EB34C5">
        <w:rPr>
          <w:color w:val="000000" w:themeColor="text1"/>
        </w:rPr>
        <w:t>em</w:t>
      </w:r>
      <w:proofErr w:type="spellEnd"/>
      <w:r w:rsidRPr="00EB34C5">
        <w:rPr>
          <w:color w:val="000000" w:themeColor="text1"/>
        </w:rPr>
        <w:t xml:space="preserve"> </w:t>
      </w:r>
      <w:proofErr w:type="spellStart"/>
      <w:r w:rsidRPr="00EB34C5">
        <w:rPr>
          <w:color w:val="000000" w:themeColor="text1"/>
        </w:rPr>
        <w:t>cirurgia</w:t>
      </w:r>
      <w:proofErr w:type="spellEnd"/>
      <w:r w:rsidRPr="00EB34C5">
        <w:rPr>
          <w:color w:val="000000" w:themeColor="text1"/>
        </w:rPr>
        <w:t xml:space="preserve"> </w:t>
      </w:r>
      <w:proofErr w:type="spellStart"/>
      <w:r w:rsidRPr="00EB34C5">
        <w:rPr>
          <w:color w:val="000000" w:themeColor="text1"/>
        </w:rPr>
        <w:t>colorretal</w:t>
      </w:r>
      <w:proofErr w:type="spellEnd"/>
      <w:r w:rsidRPr="00EB34C5">
        <w:rPr>
          <w:color w:val="000000" w:themeColor="text1"/>
        </w:rPr>
        <w:t xml:space="preserve">. Um </w:t>
      </w:r>
      <w:proofErr w:type="spellStart"/>
      <w:r w:rsidRPr="00EB34C5">
        <w:rPr>
          <w:color w:val="000000" w:themeColor="text1"/>
        </w:rPr>
        <w:t>estudo</w:t>
      </w:r>
      <w:proofErr w:type="spellEnd"/>
      <w:r w:rsidRPr="00EB34C5">
        <w:rPr>
          <w:color w:val="000000" w:themeColor="text1"/>
        </w:rPr>
        <w:t xml:space="preserve"> de </w:t>
      </w:r>
      <w:proofErr w:type="spellStart"/>
      <w:r w:rsidRPr="00EB34C5">
        <w:rPr>
          <w:color w:val="000000" w:themeColor="text1"/>
        </w:rPr>
        <w:t>coorte</w:t>
      </w:r>
      <w:proofErr w:type="spellEnd"/>
      <w:r w:rsidRPr="00EB34C5">
        <w:rPr>
          <w:color w:val="000000" w:themeColor="text1"/>
        </w:rPr>
        <w:t xml:space="preserve"> </w:t>
      </w:r>
      <w:proofErr w:type="spellStart"/>
      <w:r w:rsidRPr="00EB34C5">
        <w:rPr>
          <w:color w:val="000000" w:themeColor="text1"/>
        </w:rPr>
        <w:t>em</w:t>
      </w:r>
      <w:proofErr w:type="spellEnd"/>
      <w:r w:rsidRPr="00EB34C5">
        <w:rPr>
          <w:color w:val="000000" w:themeColor="text1"/>
        </w:rPr>
        <w:t xml:space="preserve"> </w:t>
      </w:r>
      <w:proofErr w:type="spellStart"/>
      <w:r w:rsidRPr="00EB34C5">
        <w:rPr>
          <w:color w:val="000000" w:themeColor="text1"/>
        </w:rPr>
        <w:t>centro</w:t>
      </w:r>
      <w:proofErr w:type="spellEnd"/>
      <w:r w:rsidRPr="00EB34C5">
        <w:rPr>
          <w:color w:val="000000" w:themeColor="text1"/>
        </w:rPr>
        <w:t xml:space="preserve"> </w:t>
      </w:r>
      <w:proofErr w:type="spellStart"/>
      <w:r w:rsidRPr="00EB34C5">
        <w:rPr>
          <w:color w:val="000000" w:themeColor="text1"/>
        </w:rPr>
        <w:t>unico</w:t>
      </w:r>
      <w:proofErr w:type="spellEnd"/>
      <w:r w:rsidRPr="00EB34C5">
        <w:rPr>
          <w:color w:val="000000" w:themeColor="text1"/>
        </w:rPr>
        <w:t>] </w:t>
      </w:r>
      <w:proofErr w:type="spellStart"/>
      <w:r w:rsidRPr="00EB34C5">
        <w:rPr>
          <w:i/>
          <w:iCs/>
          <w:color w:val="000000" w:themeColor="text1"/>
        </w:rPr>
        <w:t>Revista</w:t>
      </w:r>
      <w:proofErr w:type="spellEnd"/>
      <w:r w:rsidRPr="00EB34C5">
        <w:rPr>
          <w:i/>
          <w:iCs/>
          <w:color w:val="000000" w:themeColor="text1"/>
        </w:rPr>
        <w:t xml:space="preserve"> </w:t>
      </w:r>
      <w:proofErr w:type="spellStart"/>
      <w:r w:rsidRPr="00EB34C5">
        <w:rPr>
          <w:i/>
          <w:iCs/>
          <w:color w:val="000000" w:themeColor="text1"/>
        </w:rPr>
        <w:t>Brasileira</w:t>
      </w:r>
      <w:proofErr w:type="spellEnd"/>
      <w:r w:rsidRPr="00EB34C5">
        <w:rPr>
          <w:i/>
          <w:iCs/>
          <w:color w:val="000000" w:themeColor="text1"/>
        </w:rPr>
        <w:t xml:space="preserve"> De </w:t>
      </w:r>
      <w:proofErr w:type="spellStart"/>
      <w:r w:rsidRPr="00EB34C5">
        <w:rPr>
          <w:i/>
          <w:iCs/>
          <w:color w:val="000000" w:themeColor="text1"/>
        </w:rPr>
        <w:t>Anestesiologia</w:t>
      </w:r>
      <w:proofErr w:type="spellEnd"/>
      <w:r w:rsidRPr="00EB34C5">
        <w:rPr>
          <w:i/>
          <w:iCs/>
          <w:color w:val="000000" w:themeColor="text1"/>
        </w:rPr>
        <w:t>, </w:t>
      </w:r>
      <w:r w:rsidRPr="00EB34C5">
        <w:rPr>
          <w:color w:val="000000" w:themeColor="text1"/>
        </w:rPr>
        <w:t>doi</w:t>
      </w:r>
      <w:proofErr w:type="gramStart"/>
      <w:r w:rsidRPr="00EB34C5">
        <w:rPr>
          <w:color w:val="000000" w:themeColor="text1"/>
        </w:rPr>
        <w:t>:S0034</w:t>
      </w:r>
      <w:proofErr w:type="gramEnd"/>
      <w:r w:rsidRPr="00EB34C5">
        <w:rPr>
          <w:color w:val="000000" w:themeColor="text1"/>
        </w:rPr>
        <w:t>-7094(17)30389-6</w:t>
      </w:r>
    </w:p>
    <w:p w14:paraId="01417012" w14:textId="03217841" w:rsidR="00C72F29" w:rsidRPr="00EB34C5" w:rsidRDefault="693C9F63" w:rsidP="006227AC">
      <w:pPr>
        <w:spacing w:line="480" w:lineRule="auto"/>
        <w:ind w:left="720" w:hanging="720"/>
        <w:rPr>
          <w:color w:val="000000" w:themeColor="text1"/>
        </w:rPr>
      </w:pPr>
      <w:r w:rsidRPr="00EB34C5">
        <w:rPr>
          <w:color w:val="000000" w:themeColor="text1"/>
        </w:rPr>
        <w:t xml:space="preserve">Rycroft-Malone, J., </w:t>
      </w:r>
      <w:proofErr w:type="spellStart"/>
      <w:r w:rsidRPr="00EB34C5">
        <w:rPr>
          <w:color w:val="000000" w:themeColor="text1"/>
        </w:rPr>
        <w:t>Fontenla</w:t>
      </w:r>
      <w:proofErr w:type="spellEnd"/>
      <w:r w:rsidRPr="00EB34C5">
        <w:rPr>
          <w:color w:val="000000" w:themeColor="text1"/>
        </w:rPr>
        <w:t>, M., Bick, D., &amp; Seers, K. (2008). Protocol-based care: Impact on roles and service delivery*.</w:t>
      </w:r>
      <w:r w:rsidRPr="00EB34C5">
        <w:rPr>
          <w:i/>
          <w:iCs/>
          <w:color w:val="000000" w:themeColor="text1"/>
        </w:rPr>
        <w:t> Journal of Evaluation in Clinical Practice, 14</w:t>
      </w:r>
      <w:r w:rsidRPr="00EB34C5">
        <w:rPr>
          <w:color w:val="000000" w:themeColor="text1"/>
        </w:rPr>
        <w:t>(5), 867-873. doi:10.1111/j.1365-2753.2008.01015.x</w:t>
      </w:r>
    </w:p>
    <w:p w14:paraId="404E5807" w14:textId="77777777" w:rsidR="003A55CE" w:rsidRPr="00EB34C5" w:rsidRDefault="269AEE2E" w:rsidP="003A55CE">
      <w:pPr>
        <w:spacing w:line="480" w:lineRule="auto"/>
        <w:ind w:left="720" w:hanging="720"/>
        <w:rPr>
          <w:color w:val="000000" w:themeColor="text1"/>
        </w:rPr>
      </w:pPr>
      <w:r w:rsidRPr="00EB34C5">
        <w:rPr>
          <w:color w:val="000000" w:themeColor="text1"/>
        </w:rPr>
        <w:t>Sahota, O. (2014). Understanding vitamin D deficiency.</w:t>
      </w:r>
      <w:r w:rsidRPr="00EB34C5">
        <w:rPr>
          <w:i/>
          <w:iCs/>
          <w:color w:val="000000" w:themeColor="text1"/>
        </w:rPr>
        <w:t> Age and Ageing, 43</w:t>
      </w:r>
      <w:r w:rsidRPr="00EB34C5">
        <w:rPr>
          <w:color w:val="000000" w:themeColor="text1"/>
        </w:rPr>
        <w:t>(5), 589-591. 10.1093/ageing/afu104</w:t>
      </w:r>
    </w:p>
    <w:p w14:paraId="1893E9A0" w14:textId="0FC5AA0B" w:rsidR="003A55CE" w:rsidRPr="00EB34C5" w:rsidRDefault="693C9F63" w:rsidP="003A55CE">
      <w:pPr>
        <w:spacing w:line="480" w:lineRule="auto"/>
        <w:ind w:left="720" w:hanging="720"/>
        <w:rPr>
          <w:color w:val="000000" w:themeColor="text1"/>
        </w:rPr>
      </w:pPr>
      <w:proofErr w:type="spellStart"/>
      <w:r w:rsidRPr="00EB34C5">
        <w:rPr>
          <w:color w:val="000000" w:themeColor="text1"/>
        </w:rPr>
        <w:t>Shaheen</w:t>
      </w:r>
      <w:proofErr w:type="spellEnd"/>
      <w:r w:rsidRPr="00EB34C5">
        <w:rPr>
          <w:color w:val="000000" w:themeColor="text1"/>
        </w:rPr>
        <w:t xml:space="preserve">, H., Sayed, S., </w:t>
      </w:r>
      <w:proofErr w:type="spellStart"/>
      <w:r w:rsidRPr="00EB34C5">
        <w:rPr>
          <w:color w:val="000000" w:themeColor="text1"/>
        </w:rPr>
        <w:t>Daker</w:t>
      </w:r>
      <w:proofErr w:type="spellEnd"/>
      <w:r w:rsidRPr="00EB34C5">
        <w:rPr>
          <w:color w:val="000000" w:themeColor="text1"/>
        </w:rPr>
        <w:t xml:space="preserve">, L., </w:t>
      </w:r>
      <w:proofErr w:type="spellStart"/>
      <w:r w:rsidRPr="00EB34C5">
        <w:rPr>
          <w:color w:val="000000" w:themeColor="text1"/>
        </w:rPr>
        <w:t>AbdelAziz</w:t>
      </w:r>
      <w:proofErr w:type="spellEnd"/>
      <w:r w:rsidRPr="00EB34C5">
        <w:rPr>
          <w:color w:val="000000" w:themeColor="text1"/>
        </w:rPr>
        <w:t xml:space="preserve">, H., &amp; </w:t>
      </w:r>
      <w:proofErr w:type="spellStart"/>
      <w:r w:rsidRPr="00EB34C5">
        <w:rPr>
          <w:color w:val="000000" w:themeColor="text1"/>
        </w:rPr>
        <w:t>Taha</w:t>
      </w:r>
      <w:proofErr w:type="spellEnd"/>
      <w:r w:rsidRPr="00EB34C5">
        <w:rPr>
          <w:color w:val="000000" w:themeColor="text1"/>
        </w:rPr>
        <w:t xml:space="preserve">, M. (2018). Does vitamin D deficiency predict early conversion of clinically isolated syndrome? A preliminary </w:t>
      </w:r>
      <w:proofErr w:type="spellStart"/>
      <w:proofErr w:type="gramStart"/>
      <w:r w:rsidRPr="00EB34C5">
        <w:rPr>
          <w:color w:val="000000" w:themeColor="text1"/>
        </w:rPr>
        <w:t>egyptian</w:t>
      </w:r>
      <w:proofErr w:type="spellEnd"/>
      <w:proofErr w:type="gramEnd"/>
      <w:r w:rsidRPr="00EB34C5">
        <w:rPr>
          <w:color w:val="000000" w:themeColor="text1"/>
        </w:rPr>
        <w:t xml:space="preserve"> study.</w:t>
      </w:r>
      <w:r w:rsidRPr="00EB34C5">
        <w:rPr>
          <w:i/>
          <w:iCs/>
          <w:color w:val="000000" w:themeColor="text1"/>
        </w:rPr>
        <w:t> The International Journal of Neuroscience</w:t>
      </w:r>
      <w:proofErr w:type="gramStart"/>
      <w:r w:rsidRPr="00EB34C5">
        <w:rPr>
          <w:i/>
          <w:iCs/>
          <w:color w:val="000000" w:themeColor="text1"/>
        </w:rPr>
        <w:t>, </w:t>
      </w:r>
      <w:r w:rsidRPr="00EB34C5">
        <w:rPr>
          <w:color w:val="000000" w:themeColor="text1"/>
        </w:rPr>
        <w:t>,</w:t>
      </w:r>
      <w:proofErr w:type="gramEnd"/>
      <w:r w:rsidRPr="00EB34C5">
        <w:rPr>
          <w:color w:val="000000" w:themeColor="text1"/>
        </w:rPr>
        <w:t xml:space="preserve"> 1-6. 10.1080/00207454.2018.1446954</w:t>
      </w:r>
    </w:p>
    <w:p w14:paraId="6C6D1E3C" w14:textId="264AD965" w:rsidR="2F12C45C" w:rsidRPr="00EB34C5" w:rsidRDefault="693C9F63" w:rsidP="693C9F63">
      <w:pPr>
        <w:pStyle w:val="APAReference"/>
        <w:rPr>
          <w:color w:val="000000" w:themeColor="text1"/>
          <w:szCs w:val="24"/>
        </w:rPr>
      </w:pPr>
      <w:r w:rsidRPr="00EB34C5">
        <w:rPr>
          <w:color w:val="000000" w:themeColor="text1"/>
          <w:szCs w:val="24"/>
        </w:rPr>
        <w:lastRenderedPageBreak/>
        <w:t xml:space="preserve"> Singh, A., </w:t>
      </w:r>
      <w:proofErr w:type="spellStart"/>
      <w:r w:rsidRPr="00EB34C5">
        <w:rPr>
          <w:color w:val="000000" w:themeColor="text1"/>
          <w:szCs w:val="24"/>
        </w:rPr>
        <w:t>Khare</w:t>
      </w:r>
      <w:proofErr w:type="spellEnd"/>
      <w:r w:rsidRPr="00EB34C5">
        <w:rPr>
          <w:color w:val="000000" w:themeColor="text1"/>
          <w:szCs w:val="24"/>
        </w:rPr>
        <w:t xml:space="preserve">, M., </w:t>
      </w:r>
      <w:proofErr w:type="spellStart"/>
      <w:r w:rsidRPr="00EB34C5">
        <w:rPr>
          <w:color w:val="000000" w:themeColor="text1"/>
          <w:szCs w:val="24"/>
        </w:rPr>
        <w:t>Gade</w:t>
      </w:r>
      <w:proofErr w:type="spellEnd"/>
      <w:r w:rsidRPr="00EB34C5">
        <w:rPr>
          <w:color w:val="000000" w:themeColor="text1"/>
          <w:szCs w:val="24"/>
        </w:rPr>
        <w:t xml:space="preserve">, W., &amp; Zamboni, P. (2012). </w:t>
      </w:r>
      <w:proofErr w:type="spellStart"/>
      <w:r w:rsidRPr="00EB34C5">
        <w:rPr>
          <w:color w:val="000000" w:themeColor="text1"/>
          <w:szCs w:val="24"/>
        </w:rPr>
        <w:t>Theranostic</w:t>
      </w:r>
      <w:proofErr w:type="spellEnd"/>
      <w:r w:rsidRPr="00EB34C5">
        <w:rPr>
          <w:color w:val="000000" w:themeColor="text1"/>
          <w:szCs w:val="24"/>
        </w:rPr>
        <w:t xml:space="preserve"> implications of nanotechnology in multiple sclerosis: A future perspective.</w:t>
      </w:r>
      <w:r w:rsidRPr="00EB34C5">
        <w:rPr>
          <w:i/>
          <w:iCs/>
          <w:color w:val="000000" w:themeColor="text1"/>
          <w:szCs w:val="24"/>
        </w:rPr>
        <w:t xml:space="preserve"> Autoimmune Diseases, 2012</w:t>
      </w:r>
      <w:r w:rsidRPr="00EB34C5">
        <w:rPr>
          <w:color w:val="000000" w:themeColor="text1"/>
          <w:szCs w:val="24"/>
        </w:rPr>
        <w:t>, 160830. doi:10.1155/2012/160830</w:t>
      </w:r>
    </w:p>
    <w:p w14:paraId="1C75258F" w14:textId="0DF1F0A0" w:rsidR="007119D6" w:rsidRPr="00EB34C5" w:rsidRDefault="693C9F63" w:rsidP="693C9F63">
      <w:pPr>
        <w:spacing w:line="480" w:lineRule="auto"/>
        <w:ind w:left="720" w:hanging="720"/>
        <w:rPr>
          <w:color w:val="000000" w:themeColor="text1"/>
        </w:rPr>
      </w:pPr>
      <w:proofErr w:type="spellStart"/>
      <w:r w:rsidRPr="00EB34C5">
        <w:rPr>
          <w:color w:val="000000" w:themeColor="text1"/>
        </w:rPr>
        <w:t>Sotirchos</w:t>
      </w:r>
      <w:proofErr w:type="spellEnd"/>
      <w:r w:rsidRPr="00EB34C5">
        <w:rPr>
          <w:color w:val="000000" w:themeColor="text1"/>
        </w:rPr>
        <w:t xml:space="preserve">, E. S., Bhargava, P., Eckstein, C., Van </w:t>
      </w:r>
      <w:proofErr w:type="spellStart"/>
      <w:r w:rsidRPr="00EB34C5">
        <w:rPr>
          <w:color w:val="000000" w:themeColor="text1"/>
        </w:rPr>
        <w:t>Haren</w:t>
      </w:r>
      <w:proofErr w:type="spellEnd"/>
      <w:r w:rsidRPr="00EB34C5">
        <w:rPr>
          <w:color w:val="000000" w:themeColor="text1"/>
        </w:rPr>
        <w:t xml:space="preserve">, K., </w:t>
      </w:r>
      <w:proofErr w:type="spellStart"/>
      <w:r w:rsidRPr="00EB34C5">
        <w:rPr>
          <w:color w:val="000000" w:themeColor="text1"/>
        </w:rPr>
        <w:t>Baynes</w:t>
      </w:r>
      <w:proofErr w:type="spellEnd"/>
      <w:r w:rsidRPr="00EB34C5">
        <w:rPr>
          <w:color w:val="000000" w:themeColor="text1"/>
        </w:rPr>
        <w:t xml:space="preserve">, M., </w:t>
      </w:r>
      <w:proofErr w:type="spellStart"/>
      <w:r w:rsidRPr="00EB34C5">
        <w:rPr>
          <w:color w:val="000000" w:themeColor="text1"/>
        </w:rPr>
        <w:t>Ntranos</w:t>
      </w:r>
      <w:proofErr w:type="spellEnd"/>
      <w:r w:rsidRPr="00EB34C5">
        <w:rPr>
          <w:color w:val="000000" w:themeColor="text1"/>
        </w:rPr>
        <w:t>, A</w:t>
      </w:r>
      <w:proofErr w:type="gramStart"/>
      <w:r w:rsidRPr="00EB34C5">
        <w:rPr>
          <w:color w:val="000000" w:themeColor="text1"/>
        </w:rPr>
        <w:t>.</w:t>
      </w:r>
      <w:r w:rsidR="009421C0">
        <w:rPr>
          <w:color w:val="000000" w:themeColor="text1"/>
        </w:rPr>
        <w:t>.</w:t>
      </w:r>
      <w:proofErr w:type="gramEnd"/>
      <w:r w:rsidR="009421C0">
        <w:rPr>
          <w:color w:val="000000" w:themeColor="text1"/>
        </w:rPr>
        <w:t xml:space="preserve">, </w:t>
      </w:r>
      <w:proofErr w:type="spellStart"/>
      <w:r w:rsidRPr="00EB34C5">
        <w:rPr>
          <w:color w:val="000000" w:themeColor="text1"/>
        </w:rPr>
        <w:t>Calabresi</w:t>
      </w:r>
      <w:proofErr w:type="spellEnd"/>
      <w:r w:rsidRPr="00EB34C5">
        <w:rPr>
          <w:color w:val="000000" w:themeColor="text1"/>
        </w:rPr>
        <w:t xml:space="preserve">, P. A. (2016). Safety and immunologic effects of high- vs low-dose </w:t>
      </w:r>
      <w:proofErr w:type="spellStart"/>
      <w:r w:rsidRPr="00EB34C5">
        <w:rPr>
          <w:color w:val="000000" w:themeColor="text1"/>
        </w:rPr>
        <w:t>cholecalciferol</w:t>
      </w:r>
      <w:proofErr w:type="spellEnd"/>
      <w:r w:rsidRPr="00EB34C5">
        <w:rPr>
          <w:color w:val="000000" w:themeColor="text1"/>
        </w:rPr>
        <w:t xml:space="preserve"> in multiple sclerosis.</w:t>
      </w:r>
      <w:r w:rsidRPr="00EB34C5">
        <w:rPr>
          <w:i/>
          <w:iCs/>
          <w:color w:val="000000" w:themeColor="text1"/>
        </w:rPr>
        <w:t> Neurology, 86</w:t>
      </w:r>
      <w:r w:rsidRPr="00EB34C5">
        <w:rPr>
          <w:color w:val="000000" w:themeColor="text1"/>
        </w:rPr>
        <w:t>(4), 382-390. doi:10.1212/WNL.0000000000002316</w:t>
      </w:r>
    </w:p>
    <w:p w14:paraId="3B0B9514" w14:textId="21BB45C5" w:rsidR="1FEDDE40" w:rsidRPr="00EB34C5" w:rsidRDefault="29C42EFD" w:rsidP="29C42EFD">
      <w:pPr>
        <w:spacing w:line="480" w:lineRule="auto"/>
        <w:ind w:left="720" w:hanging="720"/>
        <w:rPr>
          <w:color w:val="000000" w:themeColor="text1"/>
        </w:rPr>
      </w:pPr>
      <w:r w:rsidRPr="00EB34C5">
        <w:rPr>
          <w:color w:val="000000" w:themeColor="text1"/>
        </w:rPr>
        <w:t>Stevens, K. (2013). The impact of evidence-based practice in nursing and the next big ideas.</w:t>
      </w:r>
      <w:r w:rsidRPr="00EB34C5">
        <w:rPr>
          <w:i/>
          <w:iCs/>
          <w:color w:val="000000" w:themeColor="text1"/>
        </w:rPr>
        <w:t xml:space="preserve"> Online Journal of Issues in Nursing, 18</w:t>
      </w:r>
      <w:r w:rsidRPr="00EB34C5">
        <w:rPr>
          <w:color w:val="000000" w:themeColor="text1"/>
        </w:rPr>
        <w:t>(2), 4. doi:Vol-18-2013/No2-May-2013/Impact-of-Evidence-Based-Practice.html</w:t>
      </w:r>
    </w:p>
    <w:p w14:paraId="2D9B2171" w14:textId="23BBB3F8" w:rsidR="005E3E5E" w:rsidRPr="00EB34C5" w:rsidRDefault="693C9F63" w:rsidP="005E3E5E">
      <w:pPr>
        <w:spacing w:line="480" w:lineRule="auto"/>
        <w:ind w:left="720" w:hanging="720"/>
        <w:rPr>
          <w:color w:val="000000" w:themeColor="text1"/>
        </w:rPr>
      </w:pPr>
      <w:proofErr w:type="spellStart"/>
      <w:r w:rsidRPr="00EB34C5">
        <w:rPr>
          <w:color w:val="000000" w:themeColor="text1"/>
        </w:rPr>
        <w:t>Thouvenot</w:t>
      </w:r>
      <w:proofErr w:type="spellEnd"/>
      <w:r w:rsidRPr="00EB34C5">
        <w:rPr>
          <w:color w:val="000000" w:themeColor="text1"/>
        </w:rPr>
        <w:t xml:space="preserve">, E., </w:t>
      </w:r>
      <w:proofErr w:type="spellStart"/>
      <w:r w:rsidRPr="00EB34C5">
        <w:rPr>
          <w:color w:val="000000" w:themeColor="text1"/>
        </w:rPr>
        <w:t>Orsini</w:t>
      </w:r>
      <w:proofErr w:type="spellEnd"/>
      <w:r w:rsidRPr="00EB34C5">
        <w:rPr>
          <w:color w:val="000000" w:themeColor="text1"/>
        </w:rPr>
        <w:t xml:space="preserve">, M., </w:t>
      </w:r>
      <w:proofErr w:type="spellStart"/>
      <w:r w:rsidRPr="00EB34C5">
        <w:rPr>
          <w:color w:val="000000" w:themeColor="text1"/>
        </w:rPr>
        <w:t>Daures</w:t>
      </w:r>
      <w:proofErr w:type="spellEnd"/>
      <w:r w:rsidRPr="00EB34C5">
        <w:rPr>
          <w:color w:val="000000" w:themeColor="text1"/>
        </w:rPr>
        <w:t xml:space="preserve">, J. P., &amp; </w:t>
      </w:r>
      <w:proofErr w:type="spellStart"/>
      <w:r w:rsidRPr="00EB34C5">
        <w:rPr>
          <w:color w:val="000000" w:themeColor="text1"/>
        </w:rPr>
        <w:t>Camu</w:t>
      </w:r>
      <w:proofErr w:type="spellEnd"/>
      <w:r w:rsidRPr="00EB34C5">
        <w:rPr>
          <w:color w:val="000000" w:themeColor="text1"/>
        </w:rPr>
        <w:t>, W. (2015). Vitamin D is associated with degree of disability in patients with fully ambulatory relapsing-remitting multiple sclerosis.</w:t>
      </w:r>
      <w:r w:rsidRPr="00EB34C5">
        <w:rPr>
          <w:i/>
          <w:iCs/>
          <w:color w:val="000000" w:themeColor="text1"/>
        </w:rPr>
        <w:t> European Journal of Neurology, 22</w:t>
      </w:r>
      <w:r w:rsidRPr="00EB34C5">
        <w:rPr>
          <w:color w:val="000000" w:themeColor="text1"/>
        </w:rPr>
        <w:t>(3), 564-569. doi:10.1111/ene.12617 </w:t>
      </w:r>
    </w:p>
    <w:p w14:paraId="7B1B3C74" w14:textId="25EFBADA" w:rsidR="4E5A3D04" w:rsidRPr="00EB34C5" w:rsidRDefault="4E5A3D04" w:rsidP="4E5A3D04">
      <w:pPr>
        <w:pStyle w:val="APA"/>
        <w:ind w:left="720" w:hanging="720"/>
        <w:rPr>
          <w:color w:val="000000" w:themeColor="text1"/>
          <w:szCs w:val="24"/>
        </w:rPr>
      </w:pPr>
      <w:r w:rsidRPr="00EB34C5">
        <w:rPr>
          <w:rFonts w:eastAsia="Calibri"/>
          <w:color w:val="000000" w:themeColor="text1"/>
          <w:szCs w:val="24"/>
        </w:rPr>
        <w:t>USC Libraries.</w:t>
      </w:r>
      <w:r w:rsidRPr="00EB34C5">
        <w:rPr>
          <w:color w:val="000000" w:themeColor="text1"/>
          <w:szCs w:val="24"/>
        </w:rPr>
        <w:t xml:space="preserve"> (2018). Organizing Your Social Sciences Research Paper: Purpose of Guide. Retrieved from </w:t>
      </w:r>
      <w:hyperlink r:id="rId22">
        <w:r w:rsidRPr="00EB34C5">
          <w:rPr>
            <w:rStyle w:val="Hyperlink"/>
            <w:color w:val="000000" w:themeColor="text1"/>
            <w:szCs w:val="24"/>
          </w:rPr>
          <w:t>https://libguides.usc.edu/writingguide</w:t>
        </w:r>
      </w:hyperlink>
    </w:p>
    <w:p w14:paraId="556023C3" w14:textId="066AEDCC" w:rsidR="00F373DA" w:rsidRPr="00EB34C5" w:rsidRDefault="693C9F63" w:rsidP="693C9F63">
      <w:pPr>
        <w:spacing w:line="480" w:lineRule="auto"/>
        <w:ind w:left="720" w:hanging="720"/>
        <w:rPr>
          <w:color w:val="000000" w:themeColor="text1"/>
        </w:rPr>
      </w:pPr>
      <w:proofErr w:type="spellStart"/>
      <w:r w:rsidRPr="00EB34C5">
        <w:rPr>
          <w:color w:val="000000" w:themeColor="text1"/>
        </w:rPr>
        <w:t>Vieta</w:t>
      </w:r>
      <w:proofErr w:type="spellEnd"/>
      <w:r w:rsidRPr="00EB34C5">
        <w:rPr>
          <w:color w:val="000000" w:themeColor="text1"/>
        </w:rPr>
        <w:t xml:space="preserve">, E., </w:t>
      </w:r>
      <w:proofErr w:type="spellStart"/>
      <w:r w:rsidRPr="00EB34C5">
        <w:rPr>
          <w:color w:val="000000" w:themeColor="text1"/>
        </w:rPr>
        <w:t>Garriga</w:t>
      </w:r>
      <w:proofErr w:type="spellEnd"/>
      <w:r w:rsidRPr="00EB34C5">
        <w:rPr>
          <w:color w:val="000000" w:themeColor="text1"/>
        </w:rPr>
        <w:t xml:space="preserve">, M., </w:t>
      </w:r>
      <w:proofErr w:type="spellStart"/>
      <w:r w:rsidRPr="00EB34C5">
        <w:rPr>
          <w:color w:val="000000" w:themeColor="text1"/>
        </w:rPr>
        <w:t>Cardete</w:t>
      </w:r>
      <w:proofErr w:type="spellEnd"/>
      <w:r w:rsidRPr="00EB34C5">
        <w:rPr>
          <w:color w:val="000000" w:themeColor="text1"/>
        </w:rPr>
        <w:t xml:space="preserve">, L., Bernardo, M., </w:t>
      </w:r>
      <w:proofErr w:type="spellStart"/>
      <w:r w:rsidRPr="00EB34C5">
        <w:rPr>
          <w:color w:val="000000" w:themeColor="text1"/>
        </w:rPr>
        <w:t>Lombrana</w:t>
      </w:r>
      <w:proofErr w:type="spellEnd"/>
      <w:r w:rsidRPr="00EB34C5">
        <w:rPr>
          <w:color w:val="000000" w:themeColor="text1"/>
        </w:rPr>
        <w:t>, M., Blanch, J.</w:t>
      </w:r>
      <w:r w:rsidR="009421C0">
        <w:rPr>
          <w:color w:val="000000" w:themeColor="text1"/>
        </w:rPr>
        <w:t xml:space="preserve">., </w:t>
      </w:r>
      <w:r w:rsidRPr="00EB34C5">
        <w:rPr>
          <w:color w:val="000000" w:themeColor="text1"/>
        </w:rPr>
        <w:t>Martinez-</w:t>
      </w:r>
      <w:proofErr w:type="spellStart"/>
      <w:r w:rsidRPr="00EB34C5">
        <w:rPr>
          <w:color w:val="000000" w:themeColor="text1"/>
        </w:rPr>
        <w:t>Aran</w:t>
      </w:r>
      <w:proofErr w:type="spellEnd"/>
      <w:r w:rsidRPr="00EB34C5">
        <w:rPr>
          <w:color w:val="000000" w:themeColor="text1"/>
        </w:rPr>
        <w:t>, A. (2017). Protocol for the management of psychiatric patients with psychomotor agitation.</w:t>
      </w:r>
      <w:r w:rsidRPr="00EB34C5">
        <w:rPr>
          <w:i/>
          <w:iCs/>
          <w:color w:val="000000" w:themeColor="text1"/>
        </w:rPr>
        <w:t> BMC Psychiatry, 17</w:t>
      </w:r>
      <w:r w:rsidRPr="00EB34C5">
        <w:rPr>
          <w:color w:val="000000" w:themeColor="text1"/>
        </w:rPr>
        <w:t xml:space="preserve">(1), 328-017-1490-0. </w:t>
      </w:r>
      <w:proofErr w:type="gramStart"/>
      <w:r w:rsidRPr="00EB34C5">
        <w:rPr>
          <w:color w:val="000000" w:themeColor="text1"/>
        </w:rPr>
        <w:t>doi:</w:t>
      </w:r>
      <w:proofErr w:type="gramEnd"/>
      <w:r w:rsidRPr="00EB34C5">
        <w:rPr>
          <w:color w:val="000000" w:themeColor="text1"/>
        </w:rPr>
        <w:t>10.1186/s12888-017-1490-0 </w:t>
      </w:r>
    </w:p>
    <w:p w14:paraId="4522234B" w14:textId="439D0023" w:rsidR="2F12C45C" w:rsidRPr="00EB34C5" w:rsidRDefault="1FEDDE40" w:rsidP="1FEDDE40">
      <w:pPr>
        <w:spacing w:line="480" w:lineRule="auto"/>
        <w:ind w:left="720" w:hanging="720"/>
        <w:rPr>
          <w:color w:val="000000" w:themeColor="text1"/>
        </w:rPr>
      </w:pPr>
      <w:r w:rsidRPr="00EB34C5">
        <w:rPr>
          <w:color w:val="000000" w:themeColor="text1"/>
        </w:rPr>
        <w:t xml:space="preserve">Vitamin D Council. (2016). </w:t>
      </w:r>
      <w:proofErr w:type="gramStart"/>
      <w:r w:rsidRPr="00EB34C5">
        <w:rPr>
          <w:color w:val="000000" w:themeColor="text1"/>
        </w:rPr>
        <w:t>For</w:t>
      </w:r>
      <w:proofErr w:type="gramEnd"/>
      <w:r w:rsidRPr="00EB34C5">
        <w:rPr>
          <w:color w:val="000000" w:themeColor="text1"/>
        </w:rPr>
        <w:t xml:space="preserve"> health professionals: Council position statement on supplementation, blood levels and sun exposure. Retrieved from </w:t>
      </w:r>
      <w:hyperlink r:id="rId23" w:anchor="holick05">
        <w:r w:rsidRPr="00EB34C5">
          <w:rPr>
            <w:rStyle w:val="Hyperlink"/>
            <w:color w:val="000000" w:themeColor="text1"/>
          </w:rPr>
          <w:t>https://www.vitamindcouncil.org/for-health-professionals-position-statement-on-supplementation-blood-levels-and-sun-exposure/#holick05</w:t>
        </w:r>
      </w:hyperlink>
    </w:p>
    <w:p w14:paraId="0B3D3ADD" w14:textId="60D5361F" w:rsidR="43A3DDCF" w:rsidRPr="00EB34C5" w:rsidRDefault="29C42EFD" w:rsidP="29C42EFD">
      <w:pPr>
        <w:spacing w:line="480" w:lineRule="auto"/>
        <w:ind w:left="720" w:hanging="720"/>
        <w:rPr>
          <w:color w:val="000000" w:themeColor="text1"/>
        </w:rPr>
      </w:pPr>
      <w:r w:rsidRPr="00EB34C5">
        <w:rPr>
          <w:color w:val="000000" w:themeColor="text1"/>
        </w:rPr>
        <w:lastRenderedPageBreak/>
        <w:t>Weiner, B. (2009). A theory of organizational readiness for change.</w:t>
      </w:r>
      <w:r w:rsidRPr="00EB34C5">
        <w:rPr>
          <w:i/>
          <w:iCs/>
          <w:color w:val="000000" w:themeColor="text1"/>
        </w:rPr>
        <w:t xml:space="preserve"> Implementation </w:t>
      </w:r>
      <w:r w:rsidR="007A03E3" w:rsidRPr="00EB34C5">
        <w:rPr>
          <w:i/>
          <w:iCs/>
          <w:color w:val="000000" w:themeColor="text1"/>
        </w:rPr>
        <w:t>Science:</w:t>
      </w:r>
      <w:r w:rsidRPr="00EB34C5">
        <w:rPr>
          <w:i/>
          <w:iCs/>
          <w:color w:val="000000" w:themeColor="text1"/>
        </w:rPr>
        <w:t xml:space="preserve"> IS, 4</w:t>
      </w:r>
      <w:r w:rsidRPr="00EB34C5">
        <w:rPr>
          <w:color w:val="000000" w:themeColor="text1"/>
        </w:rPr>
        <w:t xml:space="preserve">, 67-5908-4-67. </w:t>
      </w:r>
      <w:proofErr w:type="gramStart"/>
      <w:r w:rsidRPr="00EB34C5">
        <w:rPr>
          <w:color w:val="000000" w:themeColor="text1"/>
        </w:rPr>
        <w:t>doi:</w:t>
      </w:r>
      <w:proofErr w:type="gramEnd"/>
      <w:r w:rsidRPr="00EB34C5">
        <w:rPr>
          <w:color w:val="000000" w:themeColor="text1"/>
        </w:rPr>
        <w:t xml:space="preserve">10.1186/1748-5908-4-67 </w:t>
      </w:r>
    </w:p>
    <w:p w14:paraId="7D7653DF" w14:textId="77777777" w:rsidR="003A55CE" w:rsidRPr="00EB34C5" w:rsidRDefault="693C9F63" w:rsidP="003A55CE">
      <w:pPr>
        <w:spacing w:line="480" w:lineRule="auto"/>
        <w:ind w:left="720" w:hanging="720"/>
        <w:rPr>
          <w:color w:val="000000" w:themeColor="text1"/>
        </w:rPr>
      </w:pPr>
      <w:proofErr w:type="spellStart"/>
      <w:r w:rsidRPr="00EB34C5">
        <w:rPr>
          <w:color w:val="000000" w:themeColor="text1"/>
        </w:rPr>
        <w:t>Wimalawansa</w:t>
      </w:r>
      <w:proofErr w:type="spellEnd"/>
      <w:r w:rsidRPr="00EB34C5">
        <w:rPr>
          <w:color w:val="000000" w:themeColor="text1"/>
        </w:rPr>
        <w:t xml:space="preserve">, S. J., </w:t>
      </w:r>
      <w:proofErr w:type="spellStart"/>
      <w:r w:rsidRPr="00EB34C5">
        <w:rPr>
          <w:color w:val="000000" w:themeColor="text1"/>
        </w:rPr>
        <w:t>Razzaque</w:t>
      </w:r>
      <w:proofErr w:type="spellEnd"/>
      <w:r w:rsidRPr="00EB34C5">
        <w:rPr>
          <w:color w:val="000000" w:themeColor="text1"/>
        </w:rPr>
        <w:t>, D. M. S., &amp; Al-</w:t>
      </w:r>
      <w:proofErr w:type="spellStart"/>
      <w:r w:rsidRPr="00EB34C5">
        <w:rPr>
          <w:color w:val="000000" w:themeColor="text1"/>
        </w:rPr>
        <w:t>Daghri</w:t>
      </w:r>
      <w:proofErr w:type="spellEnd"/>
      <w:r w:rsidRPr="00EB34C5">
        <w:rPr>
          <w:color w:val="000000" w:themeColor="text1"/>
        </w:rPr>
        <w:t>, N. M. (2017). Calcium and vitamin D in human health: Hype or real?</w:t>
      </w:r>
      <w:r w:rsidRPr="00EB34C5">
        <w:rPr>
          <w:i/>
          <w:iCs/>
          <w:color w:val="000000" w:themeColor="text1"/>
        </w:rPr>
        <w:t> The Journal of Steroid Biochemistry and Molecular Biology, </w:t>
      </w:r>
      <w:r w:rsidRPr="00EB34C5">
        <w:rPr>
          <w:color w:val="000000" w:themeColor="text1"/>
        </w:rPr>
        <w:t>S0960-0760(17)30381-3 </w:t>
      </w:r>
    </w:p>
    <w:bookmarkEnd w:id="8"/>
    <w:p w14:paraId="25CE5859" w14:textId="77777777" w:rsidR="00EB34C5" w:rsidRDefault="29C42EFD" w:rsidP="00EB34C5">
      <w:pPr>
        <w:spacing w:line="480" w:lineRule="auto"/>
        <w:ind w:left="720" w:hanging="720"/>
        <w:rPr>
          <w:color w:val="000000" w:themeColor="text1"/>
        </w:rPr>
      </w:pPr>
      <w:proofErr w:type="spellStart"/>
      <w:r w:rsidRPr="00EB34C5">
        <w:rPr>
          <w:color w:val="000000" w:themeColor="text1"/>
        </w:rPr>
        <w:t>Wyant</w:t>
      </w:r>
      <w:proofErr w:type="spellEnd"/>
      <w:r w:rsidRPr="00EB34C5">
        <w:rPr>
          <w:color w:val="000000" w:themeColor="text1"/>
        </w:rPr>
        <w:t xml:space="preserve">, T. (2017).  Adopt an Evidence-Based Practice Model to Facilitate Practice Change.  Retrieved from </w:t>
      </w:r>
      <w:hyperlink r:id="rId24">
        <w:r w:rsidRPr="00EB34C5">
          <w:rPr>
            <w:rStyle w:val="Hyperlink"/>
            <w:color w:val="000000" w:themeColor="text1"/>
          </w:rPr>
          <w:t>https://voice.ons.org/news-and-views/adopt-an-evidence-based-practice-model-to-facilitate-practice-change</w:t>
        </w:r>
      </w:hyperlink>
    </w:p>
    <w:p w14:paraId="6333DBE3" w14:textId="77777777" w:rsidR="00C951E5" w:rsidRDefault="00C951E5">
      <w:bookmarkStart w:id="9" w:name="_Hlk6171335"/>
      <w:r>
        <w:br w:type="page"/>
      </w:r>
    </w:p>
    <w:p w14:paraId="465D15F8" w14:textId="0D5A7B2B" w:rsidR="2597DD41" w:rsidRPr="00EB34C5" w:rsidRDefault="2F12C45C" w:rsidP="00EB34C5">
      <w:pPr>
        <w:spacing w:line="480" w:lineRule="auto"/>
        <w:ind w:left="720" w:hanging="720"/>
        <w:jc w:val="center"/>
        <w:rPr>
          <w:color w:val="000000" w:themeColor="text1"/>
        </w:rPr>
      </w:pPr>
      <w:r w:rsidRPr="2F12C45C">
        <w:lastRenderedPageBreak/>
        <w:t>Appendix A</w:t>
      </w:r>
    </w:p>
    <w:p w14:paraId="7C412042" w14:textId="2A6B6AF1" w:rsidR="00C90914" w:rsidRDefault="00C90914" w:rsidP="00C90914">
      <w:pPr>
        <w:jc w:val="center"/>
      </w:pPr>
      <w:r>
        <w:t>EDSS Scale</w:t>
      </w:r>
    </w:p>
    <w:bookmarkEnd w:id="9"/>
    <w:p w14:paraId="0CCE43AE" w14:textId="21173828" w:rsidR="2597DD41" w:rsidRDefault="2597DD41" w:rsidP="2F12C45C">
      <w:pPr>
        <w:pStyle w:val="APAReference"/>
        <w:ind w:left="0" w:firstLine="0"/>
      </w:pPr>
    </w:p>
    <w:p w14:paraId="13689068" w14:textId="4CC75AFB" w:rsidR="2597DD41" w:rsidRDefault="2597DD41" w:rsidP="2597DD41">
      <w:pPr>
        <w:pStyle w:val="APAReference"/>
        <w:ind w:left="0" w:firstLine="0"/>
      </w:pPr>
      <w:r>
        <w:rPr>
          <w:noProof/>
        </w:rPr>
        <w:drawing>
          <wp:inline distT="0" distB="0" distL="0" distR="0" wp14:anchorId="1BD250EE" wp14:editId="02E26C51">
            <wp:extent cx="4572000" cy="3124200"/>
            <wp:effectExtent l="0" t="0" r="0" b="0"/>
            <wp:docPr id="1609320155" name="Picture 160932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0490B29F" w14:textId="24128238" w:rsidR="2597DD41" w:rsidRDefault="693C9F63" w:rsidP="693C9F63">
      <w:pPr>
        <w:pStyle w:val="APAReference"/>
        <w:ind w:left="0" w:firstLine="0"/>
      </w:pPr>
      <w:r w:rsidRPr="693C9F63">
        <w:t xml:space="preserve">(Singh, A., </w:t>
      </w:r>
      <w:proofErr w:type="spellStart"/>
      <w:r w:rsidRPr="693C9F63">
        <w:t>Khare</w:t>
      </w:r>
      <w:proofErr w:type="spellEnd"/>
      <w:r w:rsidRPr="693C9F63">
        <w:t xml:space="preserve">, M., </w:t>
      </w:r>
      <w:proofErr w:type="spellStart"/>
      <w:r w:rsidRPr="693C9F63">
        <w:t>Gade</w:t>
      </w:r>
      <w:proofErr w:type="spellEnd"/>
      <w:r w:rsidRPr="693C9F63">
        <w:t>, W., &amp; Zamboni, P., 2012)</w:t>
      </w:r>
    </w:p>
    <w:p w14:paraId="3CC71D1C" w14:textId="287D35F5" w:rsidR="2597DD41" w:rsidRDefault="2597DD41" w:rsidP="2F12C45C">
      <w:pPr>
        <w:pStyle w:val="APAReference"/>
        <w:ind w:left="0" w:firstLine="0"/>
      </w:pPr>
    </w:p>
    <w:p w14:paraId="742126FB" w14:textId="75F25EB6" w:rsidR="2597DD41" w:rsidRDefault="2597DD41" w:rsidP="006842AB">
      <w:pPr>
        <w:spacing w:line="480" w:lineRule="auto"/>
        <w:jc w:val="center"/>
      </w:pPr>
      <w:r>
        <w:br w:type="page"/>
      </w:r>
      <w:bookmarkStart w:id="10" w:name="_Hlk6171352"/>
      <w:r w:rsidR="2F12C45C" w:rsidRPr="2F12C45C">
        <w:lastRenderedPageBreak/>
        <w:t>Appendix B</w:t>
      </w:r>
    </w:p>
    <w:p w14:paraId="6E28710A" w14:textId="2E62D878" w:rsidR="00C90914" w:rsidRDefault="00C90914" w:rsidP="006842AB">
      <w:pPr>
        <w:spacing w:line="480" w:lineRule="auto"/>
        <w:jc w:val="center"/>
      </w:pPr>
      <w:r>
        <w:t>Literature Review Selection Flowchart</w:t>
      </w:r>
    </w:p>
    <w:bookmarkEnd w:id="10"/>
    <w:p w14:paraId="297E3895" w14:textId="77777777" w:rsidR="00C90914" w:rsidRDefault="00C90914" w:rsidP="2F12C45C">
      <w:pPr>
        <w:jc w:val="center"/>
      </w:pPr>
    </w:p>
    <w:p w14:paraId="7E05BB7F" w14:textId="4EE55139" w:rsidR="2597DD41" w:rsidRDefault="2597DD41" w:rsidP="2F12C45C">
      <w:pPr>
        <w:ind w:left="547" w:hanging="547"/>
      </w:pPr>
      <w:r>
        <w:rPr>
          <w:noProof/>
        </w:rPr>
        <w:drawing>
          <wp:inline distT="0" distB="0" distL="0" distR="0" wp14:anchorId="33103F1E" wp14:editId="018332B7">
            <wp:extent cx="5842408" cy="3495458"/>
            <wp:effectExtent l="0" t="0" r="0" b="0"/>
            <wp:docPr id="43371545" name="Picture 4337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42408" cy="3495458"/>
                    </a:xfrm>
                    <a:prstGeom prst="rect">
                      <a:avLst/>
                    </a:prstGeom>
                  </pic:spPr>
                </pic:pic>
              </a:graphicData>
            </a:graphic>
          </wp:inline>
        </w:drawing>
      </w:r>
    </w:p>
    <w:p w14:paraId="46C40650" w14:textId="4BCE1E0A" w:rsidR="2597DD41" w:rsidRDefault="2597DD41" w:rsidP="2F12C45C">
      <w:pPr>
        <w:pStyle w:val="APAReference"/>
        <w:ind w:left="0" w:firstLine="0"/>
      </w:pPr>
    </w:p>
    <w:p w14:paraId="50A0D6FD" w14:textId="192A3146" w:rsidR="2597DD41" w:rsidRDefault="2597DD41" w:rsidP="00D30718">
      <w:pPr>
        <w:spacing w:line="480" w:lineRule="auto"/>
        <w:jc w:val="center"/>
      </w:pPr>
      <w:r>
        <w:br w:type="page"/>
      </w:r>
      <w:bookmarkStart w:id="11" w:name="_Hlk6171362"/>
      <w:r w:rsidR="2F12C45C" w:rsidRPr="2F12C45C">
        <w:lastRenderedPageBreak/>
        <w:t>Appendix C</w:t>
      </w:r>
    </w:p>
    <w:p w14:paraId="096897A7" w14:textId="0C8E93CC" w:rsidR="0068389D" w:rsidRDefault="0068389D" w:rsidP="00D30718">
      <w:pPr>
        <w:spacing w:line="480" w:lineRule="auto"/>
        <w:jc w:val="center"/>
      </w:pPr>
      <w:r>
        <w:t>Literature Matrix</w:t>
      </w:r>
    </w:p>
    <w:bookmarkEnd w:id="11"/>
    <w:p w14:paraId="12466B91" w14:textId="4FF8FC07" w:rsidR="269AEE2E" w:rsidRDefault="269AEE2E" w:rsidP="2F12C45C">
      <w:pPr>
        <w:jc w:val="center"/>
      </w:pPr>
    </w:p>
    <w:tbl>
      <w:tblPr>
        <w:tblStyle w:val="GridTable1Light-Accent1"/>
        <w:tblW w:w="0" w:type="auto"/>
        <w:tblLayout w:type="fixed"/>
        <w:tblLook w:val="06A0" w:firstRow="1" w:lastRow="0" w:firstColumn="1" w:lastColumn="0" w:noHBand="1" w:noVBand="1"/>
      </w:tblPr>
      <w:tblGrid>
        <w:gridCol w:w="2512"/>
        <w:gridCol w:w="720"/>
        <w:gridCol w:w="2642"/>
        <w:gridCol w:w="2153"/>
        <w:gridCol w:w="1332"/>
      </w:tblGrid>
      <w:tr w:rsidR="2F12C45C" w14:paraId="50EB3475" w14:textId="77777777" w:rsidTr="693C9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dxa"/>
            <w:shd w:val="clear" w:color="auto" w:fill="DBE5F1" w:themeFill="accent1" w:themeFillTint="33"/>
          </w:tcPr>
          <w:p w14:paraId="2F73A97F" w14:textId="5A6F6762" w:rsidR="2F12C45C" w:rsidRDefault="2F12C45C" w:rsidP="2F12C45C">
            <w:pPr>
              <w:jc w:val="center"/>
            </w:pPr>
            <w:r w:rsidRPr="2F12C45C">
              <w:t>Article (APA Citation)</w:t>
            </w:r>
          </w:p>
        </w:tc>
        <w:tc>
          <w:tcPr>
            <w:tcW w:w="720" w:type="dxa"/>
            <w:shd w:val="clear" w:color="auto" w:fill="DBE5F1" w:themeFill="accent1" w:themeFillTint="33"/>
          </w:tcPr>
          <w:p w14:paraId="05F90B3A" w14:textId="6F6BA9AA"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Level of Evidence</w:t>
            </w:r>
          </w:p>
          <w:p w14:paraId="3ABEDF74" w14:textId="0FD6F707"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 xml:space="preserve"> (I to VII)</w:t>
            </w:r>
          </w:p>
        </w:tc>
        <w:tc>
          <w:tcPr>
            <w:tcW w:w="2642" w:type="dxa"/>
            <w:shd w:val="clear" w:color="auto" w:fill="DBE5F1" w:themeFill="accent1" w:themeFillTint="33"/>
          </w:tcPr>
          <w:p w14:paraId="350DC3D8" w14:textId="1218428D"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Data/Evidence</w:t>
            </w:r>
          </w:p>
          <w:p w14:paraId="6ABF836D" w14:textId="7B373021"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Findings</w:t>
            </w:r>
          </w:p>
        </w:tc>
        <w:tc>
          <w:tcPr>
            <w:tcW w:w="2153" w:type="dxa"/>
            <w:shd w:val="clear" w:color="auto" w:fill="DBE5F1" w:themeFill="accent1" w:themeFillTint="33"/>
          </w:tcPr>
          <w:p w14:paraId="7C05724B" w14:textId="557CDD0B"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Conclusion</w:t>
            </w:r>
          </w:p>
        </w:tc>
        <w:tc>
          <w:tcPr>
            <w:tcW w:w="1332" w:type="dxa"/>
            <w:shd w:val="clear" w:color="auto" w:fill="DBE5F1" w:themeFill="accent1" w:themeFillTint="33"/>
          </w:tcPr>
          <w:p w14:paraId="5EB145AC" w14:textId="7BEAB675"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Use of Evidence in EBP Project Plan</w:t>
            </w:r>
          </w:p>
          <w:p w14:paraId="151DEB09" w14:textId="28EB3D49" w:rsidR="2F12C45C" w:rsidRDefault="2F12C45C" w:rsidP="2F12C45C">
            <w:pPr>
              <w:jc w:val="center"/>
              <w:cnfStyle w:val="100000000000" w:firstRow="1" w:lastRow="0" w:firstColumn="0" w:lastColumn="0" w:oddVBand="0" w:evenVBand="0" w:oddHBand="0" w:evenHBand="0" w:firstRowFirstColumn="0" w:firstRowLastColumn="0" w:lastRowFirstColumn="0" w:lastRowLastColumn="0"/>
            </w:pPr>
            <w:r w:rsidRPr="2F12C45C">
              <w:t>(Include your evaluation, strengths/limitations, and relevance)</w:t>
            </w:r>
          </w:p>
        </w:tc>
      </w:tr>
      <w:tr w:rsidR="2F12C45C" w14:paraId="718ACCE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1913053D" w14:textId="5BA630B7" w:rsidR="2F12C45C" w:rsidRDefault="693C9F63" w:rsidP="693C9F63">
            <w:pPr>
              <w:ind w:left="720" w:hanging="720"/>
              <w:rPr>
                <w:sz w:val="20"/>
                <w:szCs w:val="20"/>
              </w:rPr>
            </w:pPr>
            <w:r w:rsidRPr="693C9F63">
              <w:rPr>
                <w:sz w:val="20"/>
                <w:szCs w:val="20"/>
              </w:rPr>
              <w:t xml:space="preserve">Choi, Y. K., Han, J. H., Li, R., Kung, K., &amp; Lam, A. (2015). Implementation of secondary stroke prevention protocol for </w:t>
            </w:r>
            <w:proofErr w:type="spellStart"/>
            <w:r w:rsidRPr="693C9F63">
              <w:rPr>
                <w:sz w:val="20"/>
                <w:szCs w:val="20"/>
              </w:rPr>
              <w:t>ischaemic</w:t>
            </w:r>
            <w:proofErr w:type="spellEnd"/>
            <w:r w:rsidRPr="693C9F63">
              <w:rPr>
                <w:sz w:val="20"/>
                <w:szCs w:val="20"/>
              </w:rPr>
              <w:t xml:space="preserve"> stroke patients in primary care.</w:t>
            </w:r>
            <w:r w:rsidRPr="693C9F63">
              <w:rPr>
                <w:i/>
                <w:iCs/>
                <w:sz w:val="20"/>
                <w:szCs w:val="20"/>
              </w:rPr>
              <w:t xml:space="preserve"> Hong Kong Medical Journal = </w:t>
            </w:r>
            <w:proofErr w:type="spellStart"/>
            <w:r w:rsidRPr="693C9F63">
              <w:rPr>
                <w:i/>
                <w:iCs/>
                <w:sz w:val="20"/>
                <w:szCs w:val="20"/>
              </w:rPr>
              <w:t>Xianggang</w:t>
            </w:r>
            <w:proofErr w:type="spellEnd"/>
            <w:r w:rsidRPr="693C9F63">
              <w:rPr>
                <w:i/>
                <w:iCs/>
                <w:sz w:val="20"/>
                <w:szCs w:val="20"/>
              </w:rPr>
              <w:t xml:space="preserve"> Yi </w:t>
            </w:r>
            <w:proofErr w:type="spellStart"/>
            <w:r w:rsidRPr="693C9F63">
              <w:rPr>
                <w:i/>
                <w:iCs/>
                <w:sz w:val="20"/>
                <w:szCs w:val="20"/>
              </w:rPr>
              <w:t>Xue</w:t>
            </w:r>
            <w:proofErr w:type="spellEnd"/>
            <w:r w:rsidRPr="693C9F63">
              <w:rPr>
                <w:i/>
                <w:iCs/>
                <w:sz w:val="20"/>
                <w:szCs w:val="20"/>
              </w:rPr>
              <w:t xml:space="preserve"> </w:t>
            </w:r>
            <w:proofErr w:type="spellStart"/>
            <w:r w:rsidRPr="693C9F63">
              <w:rPr>
                <w:i/>
                <w:iCs/>
                <w:sz w:val="20"/>
                <w:szCs w:val="20"/>
              </w:rPr>
              <w:t>Za</w:t>
            </w:r>
            <w:proofErr w:type="spellEnd"/>
            <w:r w:rsidRPr="693C9F63">
              <w:rPr>
                <w:i/>
                <w:iCs/>
                <w:sz w:val="20"/>
                <w:szCs w:val="20"/>
              </w:rPr>
              <w:t xml:space="preserve"> </w:t>
            </w:r>
            <w:proofErr w:type="spellStart"/>
            <w:r w:rsidRPr="693C9F63">
              <w:rPr>
                <w:i/>
                <w:iCs/>
                <w:sz w:val="20"/>
                <w:szCs w:val="20"/>
              </w:rPr>
              <w:t>Zhi</w:t>
            </w:r>
            <w:proofErr w:type="spellEnd"/>
            <w:r w:rsidRPr="693C9F63">
              <w:rPr>
                <w:i/>
                <w:iCs/>
                <w:sz w:val="20"/>
                <w:szCs w:val="20"/>
              </w:rPr>
              <w:t>, 21</w:t>
            </w:r>
            <w:r w:rsidRPr="693C9F63">
              <w:rPr>
                <w:sz w:val="20"/>
                <w:szCs w:val="20"/>
              </w:rPr>
              <w:t>(2), 136-142. doi:10.12809/hkmj144236 </w:t>
            </w:r>
          </w:p>
          <w:p w14:paraId="7310A7A0" w14:textId="76E4D1C5" w:rsidR="2F12C45C" w:rsidRDefault="2F12C45C" w:rsidP="2F12C45C">
            <w:pPr>
              <w:rPr>
                <w:sz w:val="20"/>
                <w:szCs w:val="20"/>
              </w:rPr>
            </w:pPr>
          </w:p>
        </w:tc>
        <w:tc>
          <w:tcPr>
            <w:tcW w:w="720" w:type="dxa"/>
          </w:tcPr>
          <w:p w14:paraId="7A78F986" w14:textId="45FDF07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43D69253" w14:textId="0B43ABF1"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Total of 328 patients recruited into the intervention group and 249 into the control group; data </w:t>
            </w:r>
            <w:r w:rsidR="002428D6" w:rsidRPr="693C9F63">
              <w:rPr>
                <w:sz w:val="20"/>
                <w:szCs w:val="20"/>
              </w:rPr>
              <w:t>analyzed</w:t>
            </w:r>
            <w:r w:rsidRPr="693C9F63">
              <w:rPr>
                <w:sz w:val="20"/>
                <w:szCs w:val="20"/>
              </w:rPr>
              <w:t xml:space="preserve"> from 256 and 210 patients from the groups.</w:t>
            </w:r>
          </w:p>
          <w:p w14:paraId="52AF74EA" w14:textId="1CD9D219"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There were significant reductions in mean systolic </w:t>
            </w:r>
            <w:proofErr w:type="spellStart"/>
            <w:r w:rsidRPr="693C9F63">
              <w:rPr>
                <w:sz w:val="20"/>
                <w:szCs w:val="20"/>
              </w:rPr>
              <w:t>bp</w:t>
            </w:r>
            <w:proofErr w:type="spellEnd"/>
            <w:r w:rsidRPr="693C9F63">
              <w:rPr>
                <w:sz w:val="20"/>
                <w:szCs w:val="20"/>
              </w:rPr>
              <w:t xml:space="preserve"> (135.2+/- 17.5 mm to 127.7 +/- 12.2), </w:t>
            </w:r>
            <w:proofErr w:type="spellStart"/>
            <w:r w:rsidRPr="693C9F63">
              <w:rPr>
                <w:sz w:val="20"/>
                <w:szCs w:val="20"/>
              </w:rPr>
              <w:t>glycated</w:t>
            </w:r>
            <w:proofErr w:type="spellEnd"/>
            <w:r w:rsidRPr="693C9F63">
              <w:rPr>
                <w:sz w:val="20"/>
                <w:szCs w:val="20"/>
              </w:rPr>
              <w:t xml:space="preserve"> </w:t>
            </w:r>
            <w:r w:rsidR="002428D6" w:rsidRPr="693C9F63">
              <w:rPr>
                <w:sz w:val="20"/>
                <w:szCs w:val="20"/>
              </w:rPr>
              <w:t>hemoglobin</w:t>
            </w:r>
            <w:r w:rsidRPr="693C9F63">
              <w:rPr>
                <w:sz w:val="20"/>
                <w:szCs w:val="20"/>
              </w:rPr>
              <w:t xml:space="preserve"> level (7.2 +/- 1% to 6.5 +/- 0.8%), and LDL level (3.4 +/- 0.8 to 2.8 +/- 1.3) in the intervention group (all P&lt; 0.01).  Significant increase in statin use in both clinics (P&lt; 0.01).</w:t>
            </w:r>
          </w:p>
        </w:tc>
        <w:tc>
          <w:tcPr>
            <w:tcW w:w="2153" w:type="dxa"/>
          </w:tcPr>
          <w:p w14:paraId="18741758" w14:textId="27140AB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Through implementation of a clinic protocol, the standard of care of secondary stroke prevention for ischemic stroke patients could be improved in a general outpatient clinic.</w:t>
            </w:r>
          </w:p>
        </w:tc>
        <w:tc>
          <w:tcPr>
            <w:tcW w:w="1332" w:type="dxa"/>
          </w:tcPr>
          <w:p w14:paraId="64D3DDFD" w14:textId="459CB8A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Protocols can improve standard of care for patients.</w:t>
            </w:r>
          </w:p>
          <w:p w14:paraId="0F3C6959" w14:textId="34F3D0C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4D40249" w14:textId="337B705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Heavy workload and shortage of consultation time can be barriers to introduction of an evidenced based protocol in an outpatient clinic.</w:t>
            </w:r>
          </w:p>
          <w:p w14:paraId="451ADCAD" w14:textId="4FDB3D1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7C82F8D6"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FB88909" w14:textId="656F10C0" w:rsidR="2F12C45C" w:rsidRDefault="43A3DDCF" w:rsidP="43A3DDCF">
            <w:pPr>
              <w:ind w:left="720" w:hanging="720"/>
              <w:rPr>
                <w:sz w:val="20"/>
                <w:szCs w:val="20"/>
              </w:rPr>
            </w:pPr>
            <w:r w:rsidRPr="43A3DDCF">
              <w:rPr>
                <w:sz w:val="20"/>
                <w:szCs w:val="20"/>
              </w:rPr>
              <w:t>Prior, M., Guerin, M., &amp; Grimmer-Somers, K. (2008). The effectiveness of clinical guideline implementation strategies—a synthesis of systematic review findings.</w:t>
            </w:r>
            <w:r w:rsidRPr="43A3DDCF">
              <w:rPr>
                <w:i/>
                <w:iCs/>
                <w:sz w:val="20"/>
                <w:szCs w:val="20"/>
              </w:rPr>
              <w:t> Journal of Evaluation in Clinical Practice, 14</w:t>
            </w:r>
            <w:r w:rsidRPr="43A3DDCF">
              <w:rPr>
                <w:sz w:val="20"/>
                <w:szCs w:val="20"/>
              </w:rPr>
              <w:t xml:space="preserve">(5), 888-897. </w:t>
            </w:r>
            <w:r w:rsidRPr="43A3DDCF">
              <w:rPr>
                <w:sz w:val="20"/>
                <w:szCs w:val="20"/>
              </w:rPr>
              <w:lastRenderedPageBreak/>
              <w:t>Doi:10.1111/j.1365-2753.2008.01014.x</w:t>
            </w:r>
          </w:p>
          <w:p w14:paraId="7B109D3D" w14:textId="1C0CC760" w:rsidR="2F12C45C" w:rsidRDefault="2F12C45C" w:rsidP="2F12C45C">
            <w:pPr>
              <w:rPr>
                <w:sz w:val="20"/>
                <w:szCs w:val="20"/>
              </w:rPr>
            </w:pPr>
          </w:p>
        </w:tc>
        <w:tc>
          <w:tcPr>
            <w:tcW w:w="720" w:type="dxa"/>
          </w:tcPr>
          <w:p w14:paraId="3D1B15E5" w14:textId="5837795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IV</w:t>
            </w:r>
          </w:p>
        </w:tc>
        <w:tc>
          <w:tcPr>
            <w:tcW w:w="2642" w:type="dxa"/>
          </w:tcPr>
          <w:p w14:paraId="53DAE66D" w14:textId="3264814C"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Independent critical appraisal using AMSTAR, primary author undertaking all data extraction using a </w:t>
            </w:r>
            <w:r w:rsidR="002428D6" w:rsidRPr="43A3DDCF">
              <w:rPr>
                <w:sz w:val="20"/>
                <w:szCs w:val="20"/>
              </w:rPr>
              <w:t>purpose-built</w:t>
            </w:r>
            <w:r w:rsidRPr="43A3DDCF">
              <w:rPr>
                <w:sz w:val="20"/>
                <w:szCs w:val="20"/>
              </w:rPr>
              <w:t xml:space="preserve"> form.  </w:t>
            </w:r>
          </w:p>
          <w:p w14:paraId="09978F7E" w14:textId="7AAFC0C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144 potential papers identified with 33 systematic reviews included.  These reflected 714 primary studies involving 22 512 clinicians, in a range of health care settings.  Implementation strategies were varied, rarely comparable, with variable </w:t>
            </w:r>
            <w:r w:rsidRPr="2F12C45C">
              <w:rPr>
                <w:sz w:val="20"/>
                <w:szCs w:val="20"/>
              </w:rPr>
              <w:lastRenderedPageBreak/>
              <w:t>outcomes.  Effective implementation strategies included multifaceted interventions, interactive education and clinical reminder systems.  Didactic education and passive dissemination strategies were ineffective. Cost effectiveness studies were rare.</w:t>
            </w:r>
          </w:p>
        </w:tc>
        <w:tc>
          <w:tcPr>
            <w:tcW w:w="2153" w:type="dxa"/>
          </w:tcPr>
          <w:p w14:paraId="03B89E78" w14:textId="7C47A5C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Successful guideline implementation strategies should be multifaceted, and actively engage clinicians throughout the process. </w:t>
            </w:r>
          </w:p>
        </w:tc>
        <w:tc>
          <w:tcPr>
            <w:tcW w:w="1332" w:type="dxa"/>
          </w:tcPr>
          <w:p w14:paraId="7F3BFB19" w14:textId="59C22D4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Use multifaceted strategies and engage clinicians in process of guideline implementation for success.</w:t>
            </w:r>
          </w:p>
          <w:p w14:paraId="1612F1A0" w14:textId="36A30480"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79C1E78" w14:textId="52055CD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Use interactive education </w:t>
            </w:r>
            <w:r w:rsidRPr="2F12C45C">
              <w:rPr>
                <w:sz w:val="20"/>
                <w:szCs w:val="20"/>
              </w:rPr>
              <w:lastRenderedPageBreak/>
              <w:t>and clinical reminder systems for effective implementation.</w:t>
            </w:r>
          </w:p>
        </w:tc>
      </w:tr>
      <w:tr w:rsidR="2F12C45C" w14:paraId="5F86EC6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9DE5812" w14:textId="283734BA" w:rsidR="2F12C45C" w:rsidRDefault="693C9F63" w:rsidP="693C9F63">
            <w:pPr>
              <w:ind w:left="720" w:hanging="720"/>
              <w:rPr>
                <w:sz w:val="20"/>
                <w:szCs w:val="20"/>
              </w:rPr>
            </w:pPr>
            <w:r w:rsidRPr="693C9F63">
              <w:rPr>
                <w:sz w:val="20"/>
                <w:szCs w:val="20"/>
              </w:rPr>
              <w:lastRenderedPageBreak/>
              <w:t xml:space="preserve">Rycroft-Malone, J., </w:t>
            </w:r>
            <w:proofErr w:type="spellStart"/>
            <w:r w:rsidRPr="693C9F63">
              <w:rPr>
                <w:sz w:val="20"/>
                <w:szCs w:val="20"/>
              </w:rPr>
              <w:t>Fontenla</w:t>
            </w:r>
            <w:proofErr w:type="spellEnd"/>
            <w:r w:rsidRPr="693C9F63">
              <w:rPr>
                <w:sz w:val="20"/>
                <w:szCs w:val="20"/>
              </w:rPr>
              <w:t>, M., Bick, D., &amp; Seers, K. (2008). Protocol-based care: Impact on roles and service delivery*.</w:t>
            </w:r>
            <w:r w:rsidRPr="693C9F63">
              <w:rPr>
                <w:i/>
                <w:iCs/>
                <w:sz w:val="20"/>
                <w:szCs w:val="20"/>
              </w:rPr>
              <w:t> Journal of Evaluation in Clinical Practice, 14</w:t>
            </w:r>
            <w:r w:rsidRPr="693C9F63">
              <w:rPr>
                <w:sz w:val="20"/>
                <w:szCs w:val="20"/>
              </w:rPr>
              <w:t>(5), 867-873. doi:10.1111/j.1365-2753.2008.01015.x</w:t>
            </w:r>
          </w:p>
          <w:p w14:paraId="4A5CC3FF" w14:textId="365752E3" w:rsidR="2F12C45C" w:rsidRDefault="2F12C45C" w:rsidP="2F12C45C">
            <w:pPr>
              <w:rPr>
                <w:sz w:val="20"/>
                <w:szCs w:val="20"/>
              </w:rPr>
            </w:pPr>
          </w:p>
        </w:tc>
        <w:tc>
          <w:tcPr>
            <w:tcW w:w="720" w:type="dxa"/>
          </w:tcPr>
          <w:p w14:paraId="73C25207" w14:textId="4CE7EA7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p w14:paraId="6C49C1BE" w14:textId="4CC328A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0ABEE9A" w14:textId="0812C8B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642" w:type="dxa"/>
          </w:tcPr>
          <w:p w14:paraId="63AEDBC3" w14:textId="112007E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141 participants took part including 73 nurses, midwives and health visitors, 4 allied health professionals, 20 doctors, 5 support staff and 39 patients.  Five sites were sampled and included acute and primary care service provision.  </w:t>
            </w:r>
          </w:p>
          <w:p w14:paraId="3674F332" w14:textId="614810E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65CAA97" w14:textId="16F6625A"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b/>
                <w:bCs/>
                <w:sz w:val="20"/>
                <w:szCs w:val="20"/>
              </w:rPr>
              <w:t>Findings:</w:t>
            </w:r>
            <w:r w:rsidRPr="693C9F63">
              <w:rPr>
                <w:sz w:val="20"/>
                <w:szCs w:val="20"/>
              </w:rPr>
              <w:t xml:space="preserve">  As a mechanism for standardization, the use of protocol-based care approaches such as guidelines, care pathways, protocols and algorithms </w:t>
            </w:r>
            <w:r w:rsidR="002428D6" w:rsidRPr="693C9F63">
              <w:rPr>
                <w:sz w:val="20"/>
                <w:szCs w:val="20"/>
              </w:rPr>
              <w:t>were</w:t>
            </w:r>
            <w:r w:rsidRPr="693C9F63">
              <w:rPr>
                <w:sz w:val="20"/>
                <w:szCs w:val="20"/>
              </w:rPr>
              <w:t xml:space="preserve"> patchy and dependent on contextual, professional and individual factors. Protocol-based care approaches were commonly used as checklists and for reference; nurses and doctors expressed concern that such use could lead to a 'tick box mentality' and restricted </w:t>
            </w:r>
            <w:proofErr w:type="spellStart"/>
            <w:r w:rsidRPr="693C9F63">
              <w:rPr>
                <w:sz w:val="20"/>
                <w:szCs w:val="20"/>
              </w:rPr>
              <w:t>judgement</w:t>
            </w:r>
            <w:proofErr w:type="spellEnd"/>
            <w:r w:rsidRPr="693C9F63">
              <w:rPr>
                <w:sz w:val="20"/>
                <w:szCs w:val="20"/>
              </w:rPr>
              <w:t>. By using standardized care approaches nurses were taking on new tasks and developing skills beyond the traditional scope of practice including prescribing, diagnosing, ordering tests and sometimes deciding on treatments. The ability to perform these </w:t>
            </w:r>
            <w:r w:rsidR="00C928A0" w:rsidRPr="693C9F63">
              <w:rPr>
                <w:sz w:val="20"/>
                <w:szCs w:val="20"/>
              </w:rPr>
              <w:t>roles meant</w:t>
            </w:r>
            <w:r w:rsidRPr="693C9F63">
              <w:rPr>
                <w:sz w:val="20"/>
                <w:szCs w:val="20"/>
              </w:rPr>
              <w:t xml:space="preserve"> that they were able to run clinics or services independently. The extension of roles to incorporate prescribing, for example, meant that nurses were able to provide a more streamlined service for patients because they did not have to refer to </w:t>
            </w:r>
            <w:r w:rsidRPr="693C9F63">
              <w:rPr>
                <w:sz w:val="20"/>
                <w:szCs w:val="20"/>
              </w:rPr>
              <w:lastRenderedPageBreak/>
              <w:t>doctors. In turn, it was reported that this reduced doctors' workload. Protocol-based care was viewed as a 'nurses' thing'; however, some General Practitioners and junior doctors were using available standardized care approaches.</w:t>
            </w:r>
          </w:p>
          <w:p w14:paraId="5730E1EB" w14:textId="3787593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tc>
        <w:tc>
          <w:tcPr>
            <w:tcW w:w="2153" w:type="dxa"/>
          </w:tcPr>
          <w:p w14:paraId="32C9B8D6" w14:textId="62169092"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The potential of standardization was mediated by the patchy use of </w:t>
            </w:r>
            <w:r w:rsidR="002428D6" w:rsidRPr="43A3DDCF">
              <w:rPr>
                <w:sz w:val="20"/>
                <w:szCs w:val="20"/>
              </w:rPr>
              <w:t>protocol-based</w:t>
            </w:r>
            <w:r w:rsidRPr="43A3DDCF">
              <w:rPr>
                <w:sz w:val="20"/>
                <w:szCs w:val="20"/>
              </w:rPr>
              <w:t xml:space="preserve"> care approaches and negative perceptions about standardization.  Use of protocol- based care has the potential to impact on nurses’ roles, increasing their autonomy and subsequently impacting on service delivery.  </w:t>
            </w:r>
          </w:p>
        </w:tc>
        <w:tc>
          <w:tcPr>
            <w:tcW w:w="1332" w:type="dxa"/>
          </w:tcPr>
          <w:p w14:paraId="63918AC9" w14:textId="3AD6A6C1"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Possible benefits to </w:t>
            </w:r>
            <w:r w:rsidR="002428D6" w:rsidRPr="43A3DDCF">
              <w:rPr>
                <w:sz w:val="20"/>
                <w:szCs w:val="20"/>
              </w:rPr>
              <w:t>protocol-based</w:t>
            </w:r>
            <w:r w:rsidRPr="43A3DDCF">
              <w:rPr>
                <w:sz w:val="20"/>
                <w:szCs w:val="20"/>
              </w:rPr>
              <w:t xml:space="preserve"> care implementation include a more streamlined service delivery for patients, increased autonomy for nurses, and reduced provider workload.</w:t>
            </w:r>
          </w:p>
        </w:tc>
      </w:tr>
      <w:tr w:rsidR="2F12C45C" w14:paraId="7DC1CC47"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D63CF11" w14:textId="03A8EF97" w:rsidR="2F12C45C" w:rsidRDefault="693C9F63" w:rsidP="693C9F63">
            <w:pPr>
              <w:ind w:left="720" w:hanging="720"/>
              <w:rPr>
                <w:sz w:val="20"/>
                <w:szCs w:val="20"/>
              </w:rPr>
            </w:pPr>
            <w:proofErr w:type="spellStart"/>
            <w:r w:rsidRPr="693C9F63">
              <w:rPr>
                <w:sz w:val="20"/>
                <w:szCs w:val="20"/>
              </w:rPr>
              <w:lastRenderedPageBreak/>
              <w:t>Dulipsingh</w:t>
            </w:r>
            <w:proofErr w:type="spellEnd"/>
            <w:r w:rsidRPr="693C9F63">
              <w:rPr>
                <w:sz w:val="20"/>
                <w:szCs w:val="20"/>
              </w:rPr>
              <w:t xml:space="preserve">, L., </w:t>
            </w:r>
            <w:proofErr w:type="spellStart"/>
            <w:r w:rsidRPr="693C9F63">
              <w:rPr>
                <w:sz w:val="20"/>
                <w:szCs w:val="20"/>
              </w:rPr>
              <w:t>Gaudian</w:t>
            </w:r>
            <w:proofErr w:type="spellEnd"/>
            <w:r w:rsidRPr="693C9F63">
              <w:rPr>
                <w:sz w:val="20"/>
                <w:szCs w:val="20"/>
              </w:rPr>
              <w:t xml:space="preserve">, B., </w:t>
            </w:r>
            <w:proofErr w:type="spellStart"/>
            <w:r w:rsidRPr="693C9F63">
              <w:rPr>
                <w:sz w:val="20"/>
                <w:szCs w:val="20"/>
              </w:rPr>
              <w:t>Spurrier</w:t>
            </w:r>
            <w:proofErr w:type="spellEnd"/>
            <w:r w:rsidRPr="693C9F63">
              <w:rPr>
                <w:sz w:val="20"/>
                <w:szCs w:val="20"/>
              </w:rPr>
              <w:t xml:space="preserve">, W., Taylor, L., Wakefield, D., </w:t>
            </w:r>
            <w:proofErr w:type="spellStart"/>
            <w:r w:rsidRPr="693C9F63">
              <w:rPr>
                <w:sz w:val="20"/>
                <w:szCs w:val="20"/>
              </w:rPr>
              <w:t>Rychlewicz</w:t>
            </w:r>
            <w:proofErr w:type="spellEnd"/>
            <w:r w:rsidRPr="693C9F63">
              <w:rPr>
                <w:sz w:val="20"/>
                <w:szCs w:val="20"/>
              </w:rPr>
              <w:t xml:space="preserve">, S., &amp; </w:t>
            </w:r>
            <w:proofErr w:type="spellStart"/>
            <w:r w:rsidRPr="693C9F63">
              <w:rPr>
                <w:sz w:val="20"/>
                <w:szCs w:val="20"/>
              </w:rPr>
              <w:t>Giwa</w:t>
            </w:r>
            <w:proofErr w:type="spellEnd"/>
            <w:r w:rsidRPr="693C9F63">
              <w:rPr>
                <w:sz w:val="20"/>
                <w:szCs w:val="20"/>
              </w:rPr>
              <w:t xml:space="preserve">, K. (2016). Educational intervention along with standardization of diabetes care increased inpatient </w:t>
            </w:r>
            <w:proofErr w:type="spellStart"/>
            <w:proofErr w:type="gramStart"/>
            <w:r w:rsidRPr="693C9F63">
              <w:rPr>
                <w:sz w:val="20"/>
                <w:szCs w:val="20"/>
              </w:rPr>
              <w:t>HbA</w:t>
            </w:r>
            <w:proofErr w:type="spellEnd"/>
            <w:r w:rsidRPr="693C9F63">
              <w:rPr>
                <w:sz w:val="20"/>
                <w:szCs w:val="20"/>
              </w:rPr>
              <w:t>(</w:t>
            </w:r>
            <w:proofErr w:type="gramEnd"/>
            <w:r w:rsidRPr="693C9F63">
              <w:rPr>
                <w:sz w:val="20"/>
                <w:szCs w:val="20"/>
              </w:rPr>
              <w:t xml:space="preserve">1c) testing: A pilot </w:t>
            </w:r>
            <w:proofErr w:type="spellStart"/>
            <w:r w:rsidRPr="693C9F63">
              <w:rPr>
                <w:sz w:val="20"/>
                <w:szCs w:val="20"/>
              </w:rPr>
              <w:t>program.</w:t>
            </w:r>
            <w:r w:rsidRPr="693C9F63">
              <w:rPr>
                <w:i/>
                <w:iCs/>
                <w:sz w:val="20"/>
                <w:szCs w:val="20"/>
              </w:rPr>
              <w:t>Connecticut</w:t>
            </w:r>
            <w:proofErr w:type="spellEnd"/>
            <w:r w:rsidRPr="693C9F63">
              <w:rPr>
                <w:i/>
                <w:iCs/>
                <w:sz w:val="20"/>
                <w:szCs w:val="20"/>
              </w:rPr>
              <w:t xml:space="preserve"> Medicine, 80</w:t>
            </w:r>
            <w:r w:rsidRPr="693C9F63">
              <w:rPr>
                <w:sz w:val="20"/>
                <w:szCs w:val="20"/>
              </w:rPr>
              <w:t>(4), 231-237.</w:t>
            </w:r>
          </w:p>
          <w:p w14:paraId="0116836D" w14:textId="1D40B08A" w:rsidR="2F12C45C" w:rsidRDefault="2F12C45C" w:rsidP="2F12C45C">
            <w:pPr>
              <w:rPr>
                <w:sz w:val="20"/>
                <w:szCs w:val="20"/>
              </w:rPr>
            </w:pPr>
          </w:p>
        </w:tc>
        <w:tc>
          <w:tcPr>
            <w:tcW w:w="720" w:type="dxa"/>
          </w:tcPr>
          <w:p w14:paraId="129EA5AA" w14:textId="044E8F5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Level III or VI</w:t>
            </w:r>
          </w:p>
        </w:tc>
        <w:tc>
          <w:tcPr>
            <w:tcW w:w="2642" w:type="dxa"/>
          </w:tcPr>
          <w:p w14:paraId="00E88917" w14:textId="2591DA7C"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A total of 144 patients with a primary or secondary diagnosis of diabetes were admitted to these two units between June 1 and July 31, 2014. The study group was found to have an increase in the percentage of </w:t>
            </w:r>
            <w:proofErr w:type="spellStart"/>
            <w:proofErr w:type="gramStart"/>
            <w:r w:rsidRPr="693C9F63">
              <w:rPr>
                <w:sz w:val="20"/>
                <w:szCs w:val="20"/>
              </w:rPr>
              <w:t>HbA</w:t>
            </w:r>
            <w:proofErr w:type="spellEnd"/>
            <w:r w:rsidRPr="693C9F63">
              <w:rPr>
                <w:sz w:val="20"/>
                <w:szCs w:val="20"/>
              </w:rPr>
              <w:t>(</w:t>
            </w:r>
            <w:proofErr w:type="gramEnd"/>
            <w:r w:rsidRPr="693C9F63">
              <w:rPr>
                <w:sz w:val="20"/>
                <w:szCs w:val="20"/>
              </w:rPr>
              <w:t>1c) tests (P &lt; .01) being done when compared with 1173 patients in the rest of hospital. As a result of staff education, there was a decrease in hypoglycemia events (P = .05), and hyperglycemia events (P &lt; .01) in the study group immediately following education; however during the follow-up period, the rate of hypoglycemic events was unchanged in both groups.</w:t>
            </w:r>
          </w:p>
          <w:p w14:paraId="206ACE20" w14:textId="6AE5DCE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38D3D97E" w14:textId="29FF06D5"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Standardization of inpatient diabetes management with staff and patient education increased the testing of </w:t>
            </w:r>
            <w:proofErr w:type="spellStart"/>
            <w:proofErr w:type="gramStart"/>
            <w:r w:rsidRPr="693C9F63">
              <w:rPr>
                <w:sz w:val="20"/>
                <w:szCs w:val="20"/>
              </w:rPr>
              <w:t>HbA</w:t>
            </w:r>
            <w:proofErr w:type="spellEnd"/>
            <w:r w:rsidRPr="693C9F63">
              <w:rPr>
                <w:sz w:val="20"/>
                <w:szCs w:val="20"/>
              </w:rPr>
              <w:t>(</w:t>
            </w:r>
            <w:proofErr w:type="gramEnd"/>
            <w:r w:rsidRPr="693C9F63">
              <w:rPr>
                <w:sz w:val="20"/>
                <w:szCs w:val="20"/>
              </w:rPr>
              <w:t>1c) in hospitalized patients and has potential to improve quality of care and patient safety.</w:t>
            </w:r>
          </w:p>
          <w:p w14:paraId="116ABD57" w14:textId="48F98AA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075B4FE1" w14:textId="1E20D8D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Educate staff on current clinical practice guidelines for increased testing and decreased adverse events after implementation.</w:t>
            </w:r>
          </w:p>
        </w:tc>
      </w:tr>
      <w:tr w:rsidR="2F12C45C" w14:paraId="28CE49EF"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623F13C8" w14:textId="5E97D4EA" w:rsidR="2F12C45C" w:rsidRDefault="693C9F63" w:rsidP="693C9F63">
            <w:pPr>
              <w:ind w:left="720" w:hanging="720"/>
              <w:rPr>
                <w:sz w:val="20"/>
                <w:szCs w:val="20"/>
              </w:rPr>
            </w:pPr>
            <w:proofErr w:type="spellStart"/>
            <w:r w:rsidRPr="693C9F63">
              <w:rPr>
                <w:sz w:val="20"/>
                <w:szCs w:val="20"/>
              </w:rPr>
              <w:t>Paiva</w:t>
            </w:r>
            <w:proofErr w:type="spellEnd"/>
            <w:r w:rsidRPr="693C9F63">
              <w:rPr>
                <w:sz w:val="20"/>
                <w:szCs w:val="20"/>
              </w:rPr>
              <w:t xml:space="preserve">, E. F., &amp; Rocha, A. T. (2009). How to implement a guideline from theory to practice: The example of the venous thromboembolism prophylaxis. [Como </w:t>
            </w:r>
            <w:proofErr w:type="spellStart"/>
            <w:r w:rsidRPr="693C9F63">
              <w:rPr>
                <w:sz w:val="20"/>
                <w:szCs w:val="20"/>
              </w:rPr>
              <w:t>implementar</w:t>
            </w:r>
            <w:proofErr w:type="spellEnd"/>
            <w:r w:rsidRPr="693C9F63">
              <w:rPr>
                <w:sz w:val="20"/>
                <w:szCs w:val="20"/>
              </w:rPr>
              <w:t xml:space="preserve"> </w:t>
            </w:r>
            <w:proofErr w:type="spellStart"/>
            <w:r w:rsidRPr="693C9F63">
              <w:rPr>
                <w:sz w:val="20"/>
                <w:szCs w:val="20"/>
              </w:rPr>
              <w:t>uma</w:t>
            </w:r>
            <w:proofErr w:type="spellEnd"/>
            <w:r w:rsidRPr="693C9F63">
              <w:rPr>
                <w:sz w:val="20"/>
                <w:szCs w:val="20"/>
              </w:rPr>
              <w:t xml:space="preserve"> </w:t>
            </w:r>
            <w:proofErr w:type="spellStart"/>
            <w:r w:rsidRPr="693C9F63">
              <w:rPr>
                <w:sz w:val="20"/>
                <w:szCs w:val="20"/>
              </w:rPr>
              <w:t>diretriz</w:t>
            </w:r>
            <w:proofErr w:type="spellEnd"/>
            <w:r w:rsidRPr="693C9F63">
              <w:rPr>
                <w:sz w:val="20"/>
                <w:szCs w:val="20"/>
              </w:rPr>
              <w:t xml:space="preserve"> da </w:t>
            </w:r>
            <w:proofErr w:type="spellStart"/>
            <w:r w:rsidRPr="693C9F63">
              <w:rPr>
                <w:sz w:val="20"/>
                <w:szCs w:val="20"/>
              </w:rPr>
              <w:t>teoria</w:t>
            </w:r>
            <w:proofErr w:type="spellEnd"/>
            <w:r w:rsidRPr="693C9F63">
              <w:rPr>
                <w:sz w:val="20"/>
                <w:szCs w:val="20"/>
              </w:rPr>
              <w:t xml:space="preserve"> a </w:t>
            </w:r>
            <w:proofErr w:type="spellStart"/>
            <w:r w:rsidRPr="693C9F63">
              <w:rPr>
                <w:sz w:val="20"/>
                <w:szCs w:val="20"/>
              </w:rPr>
              <w:t>pratica</w:t>
            </w:r>
            <w:proofErr w:type="spellEnd"/>
            <w:r w:rsidRPr="693C9F63">
              <w:rPr>
                <w:sz w:val="20"/>
                <w:szCs w:val="20"/>
              </w:rPr>
              <w:t xml:space="preserve">: </w:t>
            </w:r>
            <w:proofErr w:type="spellStart"/>
            <w:r w:rsidRPr="693C9F63">
              <w:rPr>
                <w:sz w:val="20"/>
                <w:szCs w:val="20"/>
              </w:rPr>
              <w:t>exemplo</w:t>
            </w:r>
            <w:proofErr w:type="spellEnd"/>
            <w:r w:rsidRPr="693C9F63">
              <w:rPr>
                <w:sz w:val="20"/>
                <w:szCs w:val="20"/>
              </w:rPr>
              <w:t xml:space="preserve"> da </w:t>
            </w:r>
            <w:proofErr w:type="spellStart"/>
            <w:r w:rsidRPr="693C9F63">
              <w:rPr>
                <w:sz w:val="20"/>
                <w:szCs w:val="20"/>
              </w:rPr>
              <w:t>profilaxia</w:t>
            </w:r>
            <w:proofErr w:type="spellEnd"/>
            <w:r w:rsidRPr="693C9F63">
              <w:rPr>
                <w:sz w:val="20"/>
                <w:szCs w:val="20"/>
              </w:rPr>
              <w:t xml:space="preserve"> para </w:t>
            </w:r>
            <w:proofErr w:type="spellStart"/>
            <w:r w:rsidRPr="693C9F63">
              <w:rPr>
                <w:sz w:val="20"/>
                <w:szCs w:val="20"/>
              </w:rPr>
              <w:t>tromboembolismo</w:t>
            </w:r>
            <w:proofErr w:type="spellEnd"/>
            <w:r w:rsidRPr="693C9F63">
              <w:rPr>
                <w:sz w:val="20"/>
                <w:szCs w:val="20"/>
              </w:rPr>
              <w:t xml:space="preserve"> </w:t>
            </w:r>
            <w:proofErr w:type="spellStart"/>
            <w:r w:rsidRPr="693C9F63">
              <w:rPr>
                <w:sz w:val="20"/>
                <w:szCs w:val="20"/>
              </w:rPr>
              <w:t>venoso</w:t>
            </w:r>
            <w:proofErr w:type="spellEnd"/>
            <w:r w:rsidRPr="693C9F63">
              <w:rPr>
                <w:sz w:val="20"/>
                <w:szCs w:val="20"/>
              </w:rPr>
              <w:t>] </w:t>
            </w:r>
            <w:proofErr w:type="spellStart"/>
            <w:r w:rsidRPr="693C9F63">
              <w:rPr>
                <w:i/>
                <w:iCs/>
                <w:sz w:val="20"/>
                <w:szCs w:val="20"/>
              </w:rPr>
              <w:t>Acta</w:t>
            </w:r>
            <w:proofErr w:type="spellEnd"/>
            <w:r w:rsidRPr="693C9F63">
              <w:rPr>
                <w:i/>
                <w:iCs/>
                <w:sz w:val="20"/>
                <w:szCs w:val="20"/>
              </w:rPr>
              <w:t xml:space="preserve"> </w:t>
            </w:r>
            <w:proofErr w:type="spellStart"/>
            <w:r w:rsidRPr="693C9F63">
              <w:rPr>
                <w:i/>
                <w:iCs/>
                <w:sz w:val="20"/>
                <w:szCs w:val="20"/>
              </w:rPr>
              <w:t>Medica</w:t>
            </w:r>
            <w:proofErr w:type="spellEnd"/>
            <w:r w:rsidRPr="693C9F63">
              <w:rPr>
                <w:i/>
                <w:iCs/>
                <w:sz w:val="20"/>
                <w:szCs w:val="20"/>
              </w:rPr>
              <w:t xml:space="preserve"> Portuguesa, 22</w:t>
            </w:r>
            <w:r w:rsidRPr="693C9F63">
              <w:rPr>
                <w:sz w:val="20"/>
                <w:szCs w:val="20"/>
              </w:rPr>
              <w:t>(1), 21-32.</w:t>
            </w:r>
          </w:p>
          <w:p w14:paraId="5F1E94B1" w14:textId="6E116633" w:rsidR="2F12C45C" w:rsidRDefault="2F12C45C" w:rsidP="2F12C45C">
            <w:pPr>
              <w:ind w:left="720" w:hanging="720"/>
              <w:rPr>
                <w:sz w:val="20"/>
                <w:szCs w:val="20"/>
              </w:rPr>
            </w:pPr>
          </w:p>
        </w:tc>
        <w:tc>
          <w:tcPr>
            <w:tcW w:w="720" w:type="dxa"/>
          </w:tcPr>
          <w:p w14:paraId="09B22D40" w14:textId="4288D03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w:t>
            </w:r>
          </w:p>
          <w:p w14:paraId="705D24FC" w14:textId="5FC11DC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4AA9ED6" w14:textId="26FFF0D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7D5B2FE" w14:textId="01EA878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642" w:type="dxa"/>
          </w:tcPr>
          <w:p w14:paraId="724CA838" w14:textId="0673E7BA"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The literature shows that it usually takes several years until new scientific evidence is adopted in current practice, even when there is obvious impact in patients' morbidity and mortality. There are some examples where more than thirty years have elapsed since the first case reports about the use of </w:t>
            </w:r>
            <w:r w:rsidR="00285D7D" w:rsidRPr="693C9F63">
              <w:rPr>
                <w:sz w:val="20"/>
                <w:szCs w:val="20"/>
              </w:rPr>
              <w:t>an</w:t>
            </w:r>
            <w:r w:rsidRPr="693C9F63">
              <w:rPr>
                <w:sz w:val="20"/>
                <w:szCs w:val="20"/>
              </w:rPr>
              <w:t xml:space="preserve"> effective therapy were published until its utilization became routine. That is the case of fibrinolysis for the treatment of acute myocardial infarction. Some of the main barriers for the implementation of new recommendations are: the lack of knowledge of a new guideline, personal resistance to changes, uncertainty about the efficacy of the proposed </w:t>
            </w:r>
            <w:r w:rsidRPr="693C9F63">
              <w:rPr>
                <w:sz w:val="20"/>
                <w:szCs w:val="20"/>
              </w:rPr>
              <w:lastRenderedPageBreak/>
              <w:t xml:space="preserve">recommendation, fear of potential side-effects, difficulties in remembering the recommendations, inexistence of institutional policies reinforcing the recommendation and even economical restrains. In order to overcome these barriers a strategy that involves a program with multiple tools is always the best. That must include the implementation of easy-to-use algorithms, continuous medical education materials and lectures, electronic or paper alerts, tools to facilitate evaluation and prescription, and periodic audits to show results to the practitioners involved in the process. It is also fundamental that the medical societies involved with the specific medical issue support the program for its scientific and ethical soundness. The creation of multidisciplinary committees in each institution and the inclusion of opinion leaders that have pro-active and lasting attitudes are the key-points for the program's success. In this manuscript we use as an example the implementation of a guideline for venous thromboembolism prophylaxis, but the concepts described here can be easily applied to any other guideline. Therefore, these concepts could be very useful for institutions and services that aim at quality improvement of patient care. Changes in current medical practice recommended by guidelines may take some time. However, if there is a broader participation of opinion leaders and the use of several tools listed here, they surely have a greater probability of reaching the main objectives: improvement in provided </w:t>
            </w:r>
            <w:r w:rsidRPr="693C9F63">
              <w:rPr>
                <w:sz w:val="20"/>
                <w:szCs w:val="20"/>
              </w:rPr>
              <w:lastRenderedPageBreak/>
              <w:t>medical care and patient safety.</w:t>
            </w:r>
          </w:p>
          <w:p w14:paraId="427A8A91" w14:textId="4F90266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0B1BACE4" w14:textId="5C4CE3B2"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 In order to overcome these barriers a strategy that involves a program with multiple tools is always the best. That must include the implementation of easy-to-use algorithms, continuous medical education materials and lectures, electronic or paper alerts, tools to facilitate evaluation and prescription, and periodic audits to show results to the practitioners involved in the process. It is also fundamental that the medical societies involved with the specific medical issue support the program for its scientific and ethical </w:t>
            </w:r>
            <w:r w:rsidRPr="43A3DDCF">
              <w:rPr>
                <w:sz w:val="20"/>
                <w:szCs w:val="20"/>
              </w:rPr>
              <w:lastRenderedPageBreak/>
              <w:t>soundness. The creation of multidisciplinary committees in each institution and the inclusion of opinion leaders that have pro-active and lasting attitudes are the key-points for the program's success. </w:t>
            </w:r>
          </w:p>
          <w:p w14:paraId="2B12713A" w14:textId="45C19AA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0ECC550" w14:textId="6DB426A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Therefore, these concepts could be very useful for institutions and services that aim at quality improvement of patient care. </w:t>
            </w:r>
          </w:p>
          <w:p w14:paraId="62292F03" w14:textId="3CA681F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C364A27" w14:textId="3F1D799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Changes in current medical practice recommended by guidelines may take some time. However, if there is a broader participation of opinion leaders and the use of several tools listed here, they surely have a greater probability of reaching the main objectives: improvement in provided medical care and patient safety.</w:t>
            </w:r>
          </w:p>
          <w:p w14:paraId="2007AD2A" w14:textId="6100DDF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171A5E81" w14:textId="051EE87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Use a strategy involving a program with multiple tools to overcome implementation barriers. </w:t>
            </w:r>
          </w:p>
          <w:p w14:paraId="6FFD2F2B" w14:textId="49B6F91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C1C294C" w14:textId="5B05098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Use easy to use algorithm, continuous medical education, electronic alerts, </w:t>
            </w:r>
            <w:proofErr w:type="gramStart"/>
            <w:r w:rsidRPr="2F12C45C">
              <w:rPr>
                <w:sz w:val="20"/>
                <w:szCs w:val="20"/>
              </w:rPr>
              <w:t>tools</w:t>
            </w:r>
            <w:proofErr w:type="gramEnd"/>
            <w:r w:rsidRPr="2F12C45C">
              <w:rPr>
                <w:sz w:val="20"/>
                <w:szCs w:val="20"/>
              </w:rPr>
              <w:t xml:space="preserve"> to facilitate evaluation and prescription and complete periodic audits.</w:t>
            </w:r>
          </w:p>
          <w:p w14:paraId="00B80C7B" w14:textId="6163E42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C295696" w14:textId="08255FF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Include opinion leaders that have proactive and lasting attitudes for success.</w:t>
            </w:r>
          </w:p>
        </w:tc>
      </w:tr>
      <w:tr w:rsidR="2F12C45C" w14:paraId="5A1147DF"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5ED5366" w14:textId="74404CE8" w:rsidR="2F12C45C" w:rsidRDefault="693C9F63" w:rsidP="693C9F63">
            <w:pPr>
              <w:ind w:left="720" w:hanging="720"/>
              <w:rPr>
                <w:sz w:val="20"/>
                <w:szCs w:val="20"/>
              </w:rPr>
            </w:pPr>
            <w:proofErr w:type="spellStart"/>
            <w:r w:rsidRPr="693C9F63">
              <w:rPr>
                <w:sz w:val="20"/>
                <w:szCs w:val="20"/>
              </w:rPr>
              <w:lastRenderedPageBreak/>
              <w:t>Vieta</w:t>
            </w:r>
            <w:proofErr w:type="spellEnd"/>
            <w:r w:rsidRPr="693C9F63">
              <w:rPr>
                <w:sz w:val="20"/>
                <w:szCs w:val="20"/>
              </w:rPr>
              <w:t xml:space="preserve">, E., </w:t>
            </w:r>
            <w:proofErr w:type="spellStart"/>
            <w:r w:rsidRPr="693C9F63">
              <w:rPr>
                <w:sz w:val="20"/>
                <w:szCs w:val="20"/>
              </w:rPr>
              <w:t>Garriga</w:t>
            </w:r>
            <w:proofErr w:type="spellEnd"/>
            <w:r w:rsidRPr="693C9F63">
              <w:rPr>
                <w:sz w:val="20"/>
                <w:szCs w:val="20"/>
              </w:rPr>
              <w:t xml:space="preserve">, M., </w:t>
            </w:r>
            <w:proofErr w:type="spellStart"/>
            <w:r w:rsidRPr="693C9F63">
              <w:rPr>
                <w:sz w:val="20"/>
                <w:szCs w:val="20"/>
              </w:rPr>
              <w:t>Cardete</w:t>
            </w:r>
            <w:proofErr w:type="spellEnd"/>
            <w:r w:rsidRPr="693C9F63">
              <w:rPr>
                <w:sz w:val="20"/>
                <w:szCs w:val="20"/>
              </w:rPr>
              <w:t xml:space="preserve">, L., Bernardo, M., </w:t>
            </w:r>
            <w:proofErr w:type="spellStart"/>
            <w:r w:rsidRPr="693C9F63">
              <w:rPr>
                <w:sz w:val="20"/>
                <w:szCs w:val="20"/>
              </w:rPr>
              <w:t>Lombrana</w:t>
            </w:r>
            <w:proofErr w:type="spellEnd"/>
            <w:r w:rsidRPr="693C9F63">
              <w:rPr>
                <w:sz w:val="20"/>
                <w:szCs w:val="20"/>
              </w:rPr>
              <w:t>, M., Blanch, J</w:t>
            </w:r>
            <w:proofErr w:type="gramStart"/>
            <w:r w:rsidRPr="693C9F63">
              <w:rPr>
                <w:sz w:val="20"/>
                <w:szCs w:val="20"/>
              </w:rPr>
              <w:t>., . . .</w:t>
            </w:r>
            <w:proofErr w:type="gramEnd"/>
            <w:r w:rsidRPr="693C9F63">
              <w:rPr>
                <w:sz w:val="20"/>
                <w:szCs w:val="20"/>
              </w:rPr>
              <w:t xml:space="preserve"> Martinez-</w:t>
            </w:r>
            <w:proofErr w:type="spellStart"/>
            <w:r w:rsidRPr="693C9F63">
              <w:rPr>
                <w:sz w:val="20"/>
                <w:szCs w:val="20"/>
              </w:rPr>
              <w:t>Aran</w:t>
            </w:r>
            <w:proofErr w:type="spellEnd"/>
            <w:r w:rsidRPr="693C9F63">
              <w:rPr>
                <w:sz w:val="20"/>
                <w:szCs w:val="20"/>
              </w:rPr>
              <w:t>, A. (2017). Protocol for the management of psychiatric patients with psychomotor agitation.</w:t>
            </w:r>
            <w:r w:rsidRPr="693C9F63">
              <w:rPr>
                <w:i/>
                <w:iCs/>
                <w:sz w:val="20"/>
                <w:szCs w:val="20"/>
              </w:rPr>
              <w:t> BMC Psychiatry, 17</w:t>
            </w:r>
            <w:r w:rsidRPr="693C9F63">
              <w:rPr>
                <w:sz w:val="20"/>
                <w:szCs w:val="20"/>
              </w:rPr>
              <w:t>(1), 328-017-1490-0. doi:10.1186/s12888-017-1490-0 </w:t>
            </w:r>
          </w:p>
          <w:p w14:paraId="2083E856" w14:textId="44F1F0DB" w:rsidR="2F12C45C" w:rsidRDefault="2F12C45C" w:rsidP="2F12C45C">
            <w:pPr>
              <w:ind w:left="720" w:hanging="720"/>
              <w:rPr>
                <w:sz w:val="20"/>
                <w:szCs w:val="20"/>
              </w:rPr>
            </w:pPr>
          </w:p>
        </w:tc>
        <w:tc>
          <w:tcPr>
            <w:tcW w:w="720" w:type="dxa"/>
          </w:tcPr>
          <w:p w14:paraId="4E052921" w14:textId="43F7F30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w:t>
            </w:r>
          </w:p>
        </w:tc>
        <w:tc>
          <w:tcPr>
            <w:tcW w:w="2642" w:type="dxa"/>
          </w:tcPr>
          <w:p w14:paraId="19E4DD38" w14:textId="5FE4AFC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protocol presented here provides guidance on the appropriate selection and use of pharmacological agents (inhaled/oral/IM), seclusion, and physical restraint for psychiatric patients suspected of or presenting with PMA. The protocol is applicable within the Spanish healthcare system. Implementation of the protocol and the constituent algorithms described here should ensure the best standard of care of patients at risk of PMA. Episodes of PMA could be identified earlier in their clinical course and patients could be managed in the least invasive and coercive manner, ensuring their own safety and that of others around them.</w:t>
            </w:r>
          </w:p>
          <w:p w14:paraId="7CAF6551" w14:textId="3A1E930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4EC3156D" w14:textId="104FEB4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Establishing specialized teams in agitation and providing them with continued training on the identification of agitation, patient management and therapeutic alternatives might reduce the burden of PMA for both the patient and the healthcare system.</w:t>
            </w:r>
          </w:p>
          <w:p w14:paraId="185B4802" w14:textId="6040F35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5D595CAA" w14:textId="050F42E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Standardized protocols are tools which support providers in prompt diagnosis and allow timely implementation of management strategies</w:t>
            </w:r>
            <w:r w:rsidRPr="2F12C45C">
              <w:rPr>
                <w:b/>
                <w:bCs/>
                <w:sz w:val="20"/>
                <w:szCs w:val="20"/>
              </w:rPr>
              <w:t>.</w:t>
            </w:r>
          </w:p>
          <w:p w14:paraId="1F730467" w14:textId="299483F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D47BB9D" w14:textId="1644260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 standardized protocol, for a unified approach according to the local standards of care, for psychomotor agitation resulted in earlier identification of episodes and a less invasive and coercive management. </w:t>
            </w:r>
          </w:p>
          <w:p w14:paraId="3C3B5673" w14:textId="4D2FB30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686ED9E" w14:textId="4CBB2DB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Establish specialized teams and providing them with training on identification and management to reduce burden for the patient and the healthcare system.  </w:t>
            </w:r>
          </w:p>
          <w:p w14:paraId="16F94BCC" w14:textId="199BEFC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034BC75" w14:textId="241F9DC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Hold meetings to provide opportunity </w:t>
            </w:r>
            <w:r w:rsidRPr="2F12C45C">
              <w:rPr>
                <w:sz w:val="20"/>
                <w:szCs w:val="20"/>
              </w:rPr>
              <w:lastRenderedPageBreak/>
              <w:t xml:space="preserve">to address the complexities in assessment and management with experts, to create an agreement for a unified approach according to standards of care and allow for review &amp; ratification for protocol implementation. </w:t>
            </w:r>
          </w:p>
        </w:tc>
      </w:tr>
      <w:tr w:rsidR="2F12C45C" w14:paraId="7E9632E4"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74A6285" w14:textId="11534F81" w:rsidR="2F12C45C" w:rsidRDefault="693C9F63" w:rsidP="693C9F63">
            <w:pPr>
              <w:ind w:left="720" w:hanging="720"/>
              <w:rPr>
                <w:sz w:val="20"/>
                <w:szCs w:val="20"/>
              </w:rPr>
            </w:pPr>
            <w:r w:rsidRPr="693C9F63">
              <w:rPr>
                <w:sz w:val="20"/>
                <w:szCs w:val="20"/>
              </w:rPr>
              <w:lastRenderedPageBreak/>
              <w:t xml:space="preserve">Carey, M., Buchan, H., &amp; </w:t>
            </w:r>
            <w:proofErr w:type="spellStart"/>
            <w:r w:rsidRPr="693C9F63">
              <w:rPr>
                <w:sz w:val="20"/>
                <w:szCs w:val="20"/>
              </w:rPr>
              <w:t>Sanson</w:t>
            </w:r>
            <w:proofErr w:type="spellEnd"/>
            <w:r w:rsidRPr="693C9F63">
              <w:rPr>
                <w:sz w:val="20"/>
                <w:szCs w:val="20"/>
              </w:rPr>
              <w:t>-Fisher, R. (2009). The cycle of change: Implementing best-evidence clinical practice.</w:t>
            </w:r>
            <w:r w:rsidRPr="693C9F63">
              <w:rPr>
                <w:i/>
                <w:iCs/>
                <w:sz w:val="20"/>
                <w:szCs w:val="20"/>
              </w:rPr>
              <w:t xml:space="preserve"> International Journal for Quality in Health </w:t>
            </w:r>
            <w:proofErr w:type="gramStart"/>
            <w:r w:rsidRPr="693C9F63">
              <w:rPr>
                <w:i/>
                <w:iCs/>
                <w:sz w:val="20"/>
                <w:szCs w:val="20"/>
              </w:rPr>
              <w:t>Care :</w:t>
            </w:r>
            <w:proofErr w:type="gramEnd"/>
            <w:r w:rsidRPr="693C9F63">
              <w:rPr>
                <w:i/>
                <w:iCs/>
                <w:sz w:val="20"/>
                <w:szCs w:val="20"/>
              </w:rPr>
              <w:t xml:space="preserve"> Journal of the International Society for Quality in Health Care, 21</w:t>
            </w:r>
            <w:r w:rsidRPr="693C9F63">
              <w:rPr>
                <w:sz w:val="20"/>
                <w:szCs w:val="20"/>
              </w:rPr>
              <w:t>(1), 37-43. doi:10.1093/</w:t>
            </w:r>
            <w:proofErr w:type="spellStart"/>
            <w:r w:rsidRPr="693C9F63">
              <w:rPr>
                <w:sz w:val="20"/>
                <w:szCs w:val="20"/>
              </w:rPr>
              <w:t>intqhc</w:t>
            </w:r>
            <w:proofErr w:type="spellEnd"/>
            <w:r w:rsidRPr="693C9F63">
              <w:rPr>
                <w:sz w:val="20"/>
                <w:szCs w:val="20"/>
              </w:rPr>
              <w:t>/mzn049 </w:t>
            </w:r>
          </w:p>
          <w:p w14:paraId="18F45A14" w14:textId="20054A2C" w:rsidR="2F12C45C" w:rsidRDefault="2F12C45C" w:rsidP="2F12C45C">
            <w:pPr>
              <w:ind w:left="720" w:hanging="720"/>
              <w:rPr>
                <w:sz w:val="20"/>
                <w:szCs w:val="20"/>
              </w:rPr>
            </w:pPr>
          </w:p>
        </w:tc>
        <w:tc>
          <w:tcPr>
            <w:tcW w:w="720" w:type="dxa"/>
          </w:tcPr>
          <w:p w14:paraId="34D1C870" w14:textId="0548F26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7D32D2B1" w14:textId="1307B7C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2A2A2A"/>
                <w:sz w:val="20"/>
                <w:szCs w:val="20"/>
              </w:rPr>
              <w:t>To improve health outcomes, effective and systematic mechanisms to foster the adoption of evidence-based guideline recommendations into routine practice need to be identified. A cyclical process for achieving this objective involving three key phases is suggested.</w:t>
            </w:r>
          </w:p>
          <w:p w14:paraId="24AFA4C4" w14:textId="563826D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Phase 1</w:t>
            </w:r>
          </w:p>
          <w:p w14:paraId="0307534B" w14:textId="04F9F77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Writing actionable best-evidence guidelines that prioritize key recommendations while indicating the levels of adoption needed for population health benefits to be accomplished.</w:t>
            </w:r>
          </w:p>
          <w:p w14:paraId="560F9CF0" w14:textId="7E0FCDE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Phase 2</w:t>
            </w:r>
          </w:p>
          <w:p w14:paraId="4AEF5E61" w14:textId="0440576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Developing implementation plans for the priority guideline recommendations. These should systematically consider skills training and accreditation; social influences including opinion leaders and patient influences; environmental factors; monitoring and feedback; and incentives for clinical change.</w:t>
            </w:r>
          </w:p>
          <w:p w14:paraId="7345F744" w14:textId="3F1D9A2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Phase 3</w:t>
            </w:r>
          </w:p>
          <w:p w14:paraId="56CC8A1F" w14:textId="13125F8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Pilot testing the effectiveness of proposed approaches in producing the desired clinical changes. If implementation </w:t>
            </w:r>
            <w:r w:rsidRPr="2F12C45C">
              <w:rPr>
                <w:sz w:val="20"/>
                <w:szCs w:val="20"/>
              </w:rPr>
              <w:lastRenderedPageBreak/>
              <w:t>requires system changes and evaluation at an organizational level, the use of alternative research designs to the randomized controlled trial could be considered. The purpose evaluation would be to enable refinement of the implementation plans before widespread dissemination.</w:t>
            </w:r>
          </w:p>
          <w:p w14:paraId="60E40672" w14:textId="344C5E4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073403BD" w14:textId="4B8D8E79" w:rsidR="2F12C45C" w:rsidRDefault="2F12C45C" w:rsidP="2F12C45C">
            <w:pPr>
              <w:spacing w:beforeAutospacing="1"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2A2A2A"/>
                <w:sz w:val="20"/>
                <w:szCs w:val="20"/>
              </w:rPr>
              <w:lastRenderedPageBreak/>
              <w:t xml:space="preserve">Guideline production and dissemination do not necessarily result in the widespread adoption of best-evidence clinical care. Guideline developers should give more attention to the coordinated and systematic approaches required for implementation. We suggest that three overlapping phases are required. Firstly, the guidelines should be presented in a way that identifies priorities and maximizes the likelihood of implementation. Secondly, mechanisms designed to maximize implementation should be identified concurrently with the guideline development. Such implementation plans should involve testable strategies that systematically address knowledge, skills, motivational and environmental factors that influence clinical performance. Thirdly, </w:t>
            </w:r>
            <w:r w:rsidRPr="2F12C45C">
              <w:rPr>
                <w:color w:val="2A2A2A"/>
                <w:sz w:val="20"/>
                <w:szCs w:val="20"/>
              </w:rPr>
              <w:lastRenderedPageBreak/>
              <w:t>pilot testing to evaluate the effectiveness of implementation plans should routinely occur. This would allow for improvement in the plans as well as the accumulation of evidence about how to implement best-evidence care successfully.</w:t>
            </w:r>
          </w:p>
          <w:p w14:paraId="63E78BC9" w14:textId="3E6E970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33B9A98" w14:textId="5EEBB66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2DD4AEFC" w14:textId="4A12D314"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Standardization</w:t>
            </w:r>
          </w:p>
          <w:p w14:paraId="3A28C054" w14:textId="4408FC7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4B2A69D" w14:textId="7EED97B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Carey, Buchan, &amp; </w:t>
            </w:r>
            <w:proofErr w:type="spellStart"/>
            <w:r w:rsidRPr="2F12C45C">
              <w:rPr>
                <w:sz w:val="20"/>
                <w:szCs w:val="20"/>
              </w:rPr>
              <w:t>Sanson</w:t>
            </w:r>
            <w:proofErr w:type="spellEnd"/>
            <w:r w:rsidRPr="2F12C45C">
              <w:rPr>
                <w:sz w:val="20"/>
                <w:szCs w:val="20"/>
              </w:rPr>
              <w:t>-Fisher, (2009) advised guidelines should be specific when describing the desired behavior by including details such as the specific recommended action, the appropriate person to take the action, which group of patients it should be applied, and under what circumstances.</w:t>
            </w:r>
          </w:p>
          <w:p w14:paraId="65B85A7B" w14:textId="1BA5418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D755645" w14:textId="08EBA16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advised guidelines should be specific when </w:t>
            </w:r>
            <w:r w:rsidRPr="2F12C45C">
              <w:rPr>
                <w:sz w:val="20"/>
                <w:szCs w:val="20"/>
              </w:rPr>
              <w:lastRenderedPageBreak/>
              <w:t xml:space="preserve">describing the desired behavior by including details such as the specific recommended action, the appropriate person to take the action, which group of patients it should be applied, and under what circumstances.  </w:t>
            </w:r>
          </w:p>
          <w:p w14:paraId="6F580310" w14:textId="69BAFE9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E1636DE" w14:textId="07BD558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Several theories suggest people’s behavior is influenced by their beliefs </w:t>
            </w:r>
            <w:r w:rsidRPr="2F12C45C">
              <w:rPr>
                <w:color w:val="2A2A2A"/>
                <w:sz w:val="20"/>
                <w:szCs w:val="20"/>
              </w:rPr>
              <w:t>about the likely outcomes and the perceived value attached to those outcomes</w:t>
            </w:r>
          </w:p>
          <w:p w14:paraId="61695D47" w14:textId="03F7047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A70A87D" w14:textId="0F918CD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color w:val="2A2A2A"/>
                <w:sz w:val="20"/>
                <w:szCs w:val="20"/>
              </w:rPr>
              <w:t>recognized</w:t>
            </w:r>
            <w:proofErr w:type="gramEnd"/>
            <w:r w:rsidRPr="2F12C45C">
              <w:rPr>
                <w:color w:val="2A2A2A"/>
                <w:sz w:val="20"/>
                <w:szCs w:val="20"/>
              </w:rPr>
              <w:t xml:space="preserve"> evidence from a review that determined continuing medical education improves knowledge, skills, attitudes, clinical behavior, and patient outcomes.  </w:t>
            </w:r>
            <w:r w:rsidRPr="2F12C45C">
              <w:rPr>
                <w:sz w:val="20"/>
                <w:szCs w:val="20"/>
              </w:rPr>
              <w:t xml:space="preserve">   </w:t>
            </w:r>
          </w:p>
        </w:tc>
      </w:tr>
      <w:tr w:rsidR="2F12C45C" w14:paraId="1B6B8318"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52CC4C6D" w14:textId="4448854D" w:rsidR="2F12C45C" w:rsidRDefault="693C9F63" w:rsidP="693C9F63">
            <w:pPr>
              <w:ind w:left="720" w:hanging="720"/>
              <w:rPr>
                <w:sz w:val="20"/>
                <w:szCs w:val="20"/>
              </w:rPr>
            </w:pPr>
            <w:r w:rsidRPr="693C9F63">
              <w:rPr>
                <w:sz w:val="20"/>
                <w:szCs w:val="20"/>
              </w:rPr>
              <w:lastRenderedPageBreak/>
              <w:t xml:space="preserve">Jones, K. L., </w:t>
            </w:r>
            <w:proofErr w:type="spellStart"/>
            <w:r w:rsidRPr="693C9F63">
              <w:rPr>
                <w:sz w:val="20"/>
                <w:szCs w:val="20"/>
              </w:rPr>
              <w:t>Sejersen</w:t>
            </w:r>
            <w:proofErr w:type="spellEnd"/>
            <w:r w:rsidRPr="693C9F63">
              <w:rPr>
                <w:sz w:val="20"/>
                <w:szCs w:val="20"/>
              </w:rPr>
              <w:t xml:space="preserve">, T., Amato, A. A., Hilton-Jones, D., </w:t>
            </w:r>
            <w:r w:rsidRPr="693C9F63">
              <w:rPr>
                <w:sz w:val="20"/>
                <w:szCs w:val="20"/>
              </w:rPr>
              <w:lastRenderedPageBreak/>
              <w:t>Schmidt, J., Wallace, A. C</w:t>
            </w:r>
            <w:r w:rsidR="009421C0" w:rsidRPr="693C9F63">
              <w:rPr>
                <w:sz w:val="20"/>
                <w:szCs w:val="20"/>
              </w:rPr>
              <w:t>.,</w:t>
            </w:r>
            <w:r w:rsidRPr="693C9F63">
              <w:rPr>
                <w:sz w:val="20"/>
                <w:szCs w:val="20"/>
              </w:rPr>
              <w:t xml:space="preserve"> IBM Guideline Development Group. (2016). A protocol to develop clinical guidelines for inclusion-body myositis.</w:t>
            </w:r>
            <w:r w:rsidRPr="693C9F63">
              <w:rPr>
                <w:i/>
                <w:iCs/>
                <w:sz w:val="20"/>
                <w:szCs w:val="20"/>
              </w:rPr>
              <w:t> Muscle &amp; Nerve, 53</w:t>
            </w:r>
            <w:r w:rsidRPr="693C9F63">
              <w:rPr>
                <w:sz w:val="20"/>
                <w:szCs w:val="20"/>
              </w:rPr>
              <w:t>(4), 503-507. doi:10.1002/mus.25036</w:t>
            </w:r>
          </w:p>
          <w:p w14:paraId="20B3C549" w14:textId="5B4E084B" w:rsidR="2F12C45C" w:rsidRDefault="2F12C45C" w:rsidP="2F12C45C">
            <w:pPr>
              <w:ind w:left="720" w:hanging="720"/>
              <w:rPr>
                <w:sz w:val="20"/>
                <w:szCs w:val="20"/>
              </w:rPr>
            </w:pPr>
          </w:p>
        </w:tc>
        <w:tc>
          <w:tcPr>
            <w:tcW w:w="720" w:type="dxa"/>
          </w:tcPr>
          <w:p w14:paraId="569B6507" w14:textId="29E2D26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I</w:t>
            </w:r>
          </w:p>
          <w:p w14:paraId="5EE24C8B" w14:textId="472396E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642" w:type="dxa"/>
          </w:tcPr>
          <w:p w14:paraId="7D5F0A85" w14:textId="56B6BD8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 protocol has been developed to produce best practice clinical guidelines </w:t>
            </w:r>
            <w:r w:rsidRPr="2F12C45C">
              <w:rPr>
                <w:sz w:val="20"/>
                <w:szCs w:val="20"/>
              </w:rPr>
              <w:lastRenderedPageBreak/>
              <w:t>for IBM based on a combination of published research and expert consensus</w:t>
            </w:r>
          </w:p>
          <w:p w14:paraId="2BF7893E" w14:textId="53932F8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F42B442" w14:textId="5EE6220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2681F9D" w14:textId="7A16065B"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Establishing a consensus of opinion on questions relating to diagnosis and management of IBM is expected to help reduce inconsistencies in the care and resources allocated to those living with this condition</w:t>
            </w:r>
          </w:p>
          <w:p w14:paraId="068C10AF" w14:textId="16EBAAA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74DCA23" w14:textId="4F2608C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B825C80" w14:textId="26732F0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62796E9C" w14:textId="5C05472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In this study we describe the proposed protocol for developing </w:t>
            </w:r>
            <w:r w:rsidRPr="2F12C45C">
              <w:rPr>
                <w:sz w:val="20"/>
                <w:szCs w:val="20"/>
              </w:rPr>
              <w:lastRenderedPageBreak/>
              <w:t>methods for producing robust and transparent clinical guidance on aspects of diagnosis, drug treatment, physical and practical management, respiration, nutrition and cardiac management, psychosocial management, and multidisciplinary care.</w:t>
            </w:r>
          </w:p>
          <w:p w14:paraId="053DE699" w14:textId="5699562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4CF48D5E" w14:textId="6FC196AC"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Standardization</w:t>
            </w:r>
          </w:p>
          <w:p w14:paraId="5EF09B34" w14:textId="696F4CE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B04D9B6" w14:textId="532C111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Creation of a transparent and robust guideline protocol can also help to attain recognition from applicable professional organizations (Jones et al., 2016b).  Production of a guideline begins with literature examination, evidence ranking, and formation of recommendations (Jones et al., 2016b).  Jones et al. (2016b) recommends utilization of a PICO appraisal for standardization of data extraction, a systematic approach to clinical recommendation development to decrease reporting bias beyond the existing knowledge base, and a collaborative appraisal of the evidence to optimize the quality and accountability of concurrent expert </w:t>
            </w:r>
            <w:r w:rsidRPr="2F12C45C">
              <w:rPr>
                <w:sz w:val="20"/>
                <w:szCs w:val="20"/>
              </w:rPr>
              <w:lastRenderedPageBreak/>
              <w:t xml:space="preserve">recommendations.  </w:t>
            </w:r>
          </w:p>
          <w:p w14:paraId="645CCA6E" w14:textId="6D9CF37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5A85783" w14:textId="37843EC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Guideline creation is not standardized, and the methods used may not be detailed fully beforehand which can increase the risk of author bias; the impact of guideline authors’ biases can be reduced by having a defined protocol for guideline development, as with clinical trials.</w:t>
            </w:r>
          </w:p>
        </w:tc>
      </w:tr>
      <w:tr w:rsidR="2F12C45C" w14:paraId="6970AC70"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336B8547" w14:textId="0FEA2271" w:rsidR="2F12C45C" w:rsidRDefault="693C9F63" w:rsidP="693C9F63">
            <w:pPr>
              <w:ind w:left="720" w:hanging="720"/>
              <w:rPr>
                <w:sz w:val="20"/>
                <w:szCs w:val="20"/>
              </w:rPr>
            </w:pPr>
            <w:proofErr w:type="spellStart"/>
            <w:r w:rsidRPr="693C9F63">
              <w:rPr>
                <w:sz w:val="20"/>
                <w:szCs w:val="20"/>
              </w:rPr>
              <w:lastRenderedPageBreak/>
              <w:t>Ripolles-Melchor</w:t>
            </w:r>
            <w:proofErr w:type="spellEnd"/>
            <w:r w:rsidRPr="693C9F63">
              <w:rPr>
                <w:sz w:val="20"/>
                <w:szCs w:val="20"/>
              </w:rPr>
              <w:t xml:space="preserve">, J., Varela, M. L. F., Camargo, S. C., Fernandez, P. J., Barrio, A. C. D., Martinez-Hurtado, E., . . . </w:t>
            </w:r>
            <w:proofErr w:type="spellStart"/>
            <w:r w:rsidRPr="693C9F63">
              <w:rPr>
                <w:sz w:val="20"/>
                <w:szCs w:val="20"/>
              </w:rPr>
              <w:t>Calvo-Vecino</w:t>
            </w:r>
            <w:proofErr w:type="spellEnd"/>
            <w:r w:rsidRPr="693C9F63">
              <w:rPr>
                <w:sz w:val="20"/>
                <w:szCs w:val="20"/>
              </w:rPr>
              <w:t>, J. M. (2018). Enhanced recovery after surgery protocol versus conventional perioperative care in colorectal surgery. A single center cohort study. [</w:t>
            </w:r>
            <w:proofErr w:type="spellStart"/>
            <w:r w:rsidRPr="693C9F63">
              <w:rPr>
                <w:sz w:val="20"/>
                <w:szCs w:val="20"/>
              </w:rPr>
              <w:t>Aceleracao</w:t>
            </w:r>
            <w:proofErr w:type="spellEnd"/>
            <w:r w:rsidRPr="693C9F63">
              <w:rPr>
                <w:sz w:val="20"/>
                <w:szCs w:val="20"/>
              </w:rPr>
              <w:t xml:space="preserve"> da </w:t>
            </w:r>
            <w:proofErr w:type="spellStart"/>
            <w:r w:rsidRPr="693C9F63">
              <w:rPr>
                <w:sz w:val="20"/>
                <w:szCs w:val="20"/>
              </w:rPr>
              <w:t>recuperacao</w:t>
            </w:r>
            <w:proofErr w:type="spellEnd"/>
            <w:r w:rsidRPr="693C9F63">
              <w:rPr>
                <w:sz w:val="20"/>
                <w:szCs w:val="20"/>
              </w:rPr>
              <w:t xml:space="preserve"> </w:t>
            </w:r>
            <w:proofErr w:type="spellStart"/>
            <w:r w:rsidRPr="693C9F63">
              <w:rPr>
                <w:sz w:val="20"/>
                <w:szCs w:val="20"/>
              </w:rPr>
              <w:t>apos</w:t>
            </w:r>
            <w:proofErr w:type="spellEnd"/>
            <w:r w:rsidRPr="693C9F63">
              <w:rPr>
                <w:sz w:val="20"/>
                <w:szCs w:val="20"/>
              </w:rPr>
              <w:t xml:space="preserve"> </w:t>
            </w:r>
            <w:proofErr w:type="spellStart"/>
            <w:r w:rsidRPr="693C9F63">
              <w:rPr>
                <w:sz w:val="20"/>
                <w:szCs w:val="20"/>
              </w:rPr>
              <w:t>protocolo</w:t>
            </w:r>
            <w:proofErr w:type="spellEnd"/>
            <w:r w:rsidRPr="693C9F63">
              <w:rPr>
                <w:sz w:val="20"/>
                <w:szCs w:val="20"/>
              </w:rPr>
              <w:t xml:space="preserve"> </w:t>
            </w:r>
            <w:proofErr w:type="spellStart"/>
            <w:r w:rsidRPr="693C9F63">
              <w:rPr>
                <w:sz w:val="20"/>
                <w:szCs w:val="20"/>
              </w:rPr>
              <w:t>cirurgico</w:t>
            </w:r>
            <w:proofErr w:type="spellEnd"/>
            <w:r w:rsidRPr="693C9F63">
              <w:rPr>
                <w:sz w:val="20"/>
                <w:szCs w:val="20"/>
              </w:rPr>
              <w:t xml:space="preserve"> versus </w:t>
            </w:r>
            <w:proofErr w:type="spellStart"/>
            <w:r w:rsidRPr="693C9F63">
              <w:rPr>
                <w:sz w:val="20"/>
                <w:szCs w:val="20"/>
              </w:rPr>
              <w:t>cuidados</w:t>
            </w:r>
            <w:proofErr w:type="spellEnd"/>
            <w:r w:rsidRPr="693C9F63">
              <w:rPr>
                <w:sz w:val="20"/>
                <w:szCs w:val="20"/>
              </w:rPr>
              <w:t xml:space="preserve"> </w:t>
            </w:r>
            <w:proofErr w:type="spellStart"/>
            <w:r w:rsidRPr="693C9F63">
              <w:rPr>
                <w:sz w:val="20"/>
                <w:szCs w:val="20"/>
              </w:rPr>
              <w:t>perioperatorios</w:t>
            </w:r>
            <w:proofErr w:type="spellEnd"/>
            <w:r w:rsidRPr="693C9F63">
              <w:rPr>
                <w:sz w:val="20"/>
                <w:szCs w:val="20"/>
              </w:rPr>
              <w:t xml:space="preserve"> </w:t>
            </w:r>
            <w:proofErr w:type="spellStart"/>
            <w:r w:rsidRPr="693C9F63">
              <w:rPr>
                <w:sz w:val="20"/>
                <w:szCs w:val="20"/>
              </w:rPr>
              <w:t>convencionais</w:t>
            </w:r>
            <w:proofErr w:type="spellEnd"/>
            <w:r w:rsidRPr="693C9F63">
              <w:rPr>
                <w:sz w:val="20"/>
                <w:szCs w:val="20"/>
              </w:rPr>
              <w:t xml:space="preserve"> </w:t>
            </w:r>
            <w:proofErr w:type="spellStart"/>
            <w:r w:rsidRPr="693C9F63">
              <w:rPr>
                <w:sz w:val="20"/>
                <w:szCs w:val="20"/>
              </w:rPr>
              <w:t>em</w:t>
            </w:r>
            <w:proofErr w:type="spellEnd"/>
            <w:r w:rsidRPr="693C9F63">
              <w:rPr>
                <w:sz w:val="20"/>
                <w:szCs w:val="20"/>
              </w:rPr>
              <w:t xml:space="preserve"> </w:t>
            </w:r>
            <w:proofErr w:type="spellStart"/>
            <w:r w:rsidRPr="693C9F63">
              <w:rPr>
                <w:sz w:val="20"/>
                <w:szCs w:val="20"/>
              </w:rPr>
              <w:t>cirurgia</w:t>
            </w:r>
            <w:proofErr w:type="spellEnd"/>
            <w:r w:rsidRPr="693C9F63">
              <w:rPr>
                <w:sz w:val="20"/>
                <w:szCs w:val="20"/>
              </w:rPr>
              <w:t xml:space="preserve"> </w:t>
            </w:r>
            <w:proofErr w:type="spellStart"/>
            <w:r w:rsidRPr="693C9F63">
              <w:rPr>
                <w:sz w:val="20"/>
                <w:szCs w:val="20"/>
              </w:rPr>
              <w:t>colorretal</w:t>
            </w:r>
            <w:proofErr w:type="spellEnd"/>
            <w:r w:rsidRPr="693C9F63">
              <w:rPr>
                <w:sz w:val="20"/>
                <w:szCs w:val="20"/>
              </w:rPr>
              <w:t xml:space="preserve">. Um </w:t>
            </w:r>
            <w:proofErr w:type="spellStart"/>
            <w:r w:rsidRPr="693C9F63">
              <w:rPr>
                <w:sz w:val="20"/>
                <w:szCs w:val="20"/>
              </w:rPr>
              <w:lastRenderedPageBreak/>
              <w:t>estudo</w:t>
            </w:r>
            <w:proofErr w:type="spellEnd"/>
            <w:r w:rsidRPr="693C9F63">
              <w:rPr>
                <w:sz w:val="20"/>
                <w:szCs w:val="20"/>
              </w:rPr>
              <w:t xml:space="preserve"> de </w:t>
            </w:r>
            <w:proofErr w:type="spellStart"/>
            <w:r w:rsidRPr="693C9F63">
              <w:rPr>
                <w:sz w:val="20"/>
                <w:szCs w:val="20"/>
              </w:rPr>
              <w:t>coorte</w:t>
            </w:r>
            <w:proofErr w:type="spellEnd"/>
            <w:r w:rsidRPr="693C9F63">
              <w:rPr>
                <w:sz w:val="20"/>
                <w:szCs w:val="20"/>
              </w:rPr>
              <w:t xml:space="preserve"> </w:t>
            </w:r>
            <w:proofErr w:type="spellStart"/>
            <w:r w:rsidRPr="693C9F63">
              <w:rPr>
                <w:sz w:val="20"/>
                <w:szCs w:val="20"/>
              </w:rPr>
              <w:t>em</w:t>
            </w:r>
            <w:proofErr w:type="spellEnd"/>
            <w:r w:rsidRPr="693C9F63">
              <w:rPr>
                <w:sz w:val="20"/>
                <w:szCs w:val="20"/>
              </w:rPr>
              <w:t xml:space="preserve"> </w:t>
            </w:r>
            <w:proofErr w:type="spellStart"/>
            <w:r w:rsidRPr="693C9F63">
              <w:rPr>
                <w:sz w:val="20"/>
                <w:szCs w:val="20"/>
              </w:rPr>
              <w:t>centro</w:t>
            </w:r>
            <w:proofErr w:type="spellEnd"/>
            <w:r w:rsidRPr="693C9F63">
              <w:rPr>
                <w:sz w:val="20"/>
                <w:szCs w:val="20"/>
              </w:rPr>
              <w:t xml:space="preserve"> </w:t>
            </w:r>
            <w:proofErr w:type="spellStart"/>
            <w:r w:rsidRPr="693C9F63">
              <w:rPr>
                <w:sz w:val="20"/>
                <w:szCs w:val="20"/>
              </w:rPr>
              <w:t>unico</w:t>
            </w:r>
            <w:proofErr w:type="spellEnd"/>
            <w:r w:rsidRPr="693C9F63">
              <w:rPr>
                <w:sz w:val="20"/>
                <w:szCs w:val="20"/>
              </w:rPr>
              <w:t>] </w:t>
            </w:r>
            <w:proofErr w:type="spellStart"/>
            <w:r w:rsidRPr="693C9F63">
              <w:rPr>
                <w:i/>
                <w:iCs/>
                <w:sz w:val="20"/>
                <w:szCs w:val="20"/>
              </w:rPr>
              <w:t>Revista</w:t>
            </w:r>
            <w:proofErr w:type="spellEnd"/>
            <w:r w:rsidRPr="693C9F63">
              <w:rPr>
                <w:i/>
                <w:iCs/>
                <w:sz w:val="20"/>
                <w:szCs w:val="20"/>
              </w:rPr>
              <w:t xml:space="preserve"> </w:t>
            </w:r>
            <w:proofErr w:type="spellStart"/>
            <w:r w:rsidRPr="693C9F63">
              <w:rPr>
                <w:i/>
                <w:iCs/>
                <w:sz w:val="20"/>
                <w:szCs w:val="20"/>
              </w:rPr>
              <w:t>Brasileira</w:t>
            </w:r>
            <w:proofErr w:type="spellEnd"/>
            <w:r w:rsidRPr="693C9F63">
              <w:rPr>
                <w:i/>
                <w:iCs/>
                <w:sz w:val="20"/>
                <w:szCs w:val="20"/>
              </w:rPr>
              <w:t xml:space="preserve"> De </w:t>
            </w:r>
            <w:proofErr w:type="spellStart"/>
            <w:r w:rsidRPr="693C9F63">
              <w:rPr>
                <w:i/>
                <w:iCs/>
                <w:sz w:val="20"/>
                <w:szCs w:val="20"/>
              </w:rPr>
              <w:t>Anestesiologia</w:t>
            </w:r>
            <w:proofErr w:type="spellEnd"/>
            <w:r w:rsidRPr="693C9F63">
              <w:rPr>
                <w:i/>
                <w:iCs/>
                <w:sz w:val="20"/>
                <w:szCs w:val="20"/>
              </w:rPr>
              <w:t>, </w:t>
            </w:r>
            <w:r w:rsidRPr="693C9F63">
              <w:rPr>
                <w:sz w:val="20"/>
                <w:szCs w:val="20"/>
              </w:rPr>
              <w:t>doi:S0034-7094(17)30389-6</w:t>
            </w:r>
          </w:p>
          <w:p w14:paraId="12E8A642" w14:textId="441ACCD9" w:rsidR="2F12C45C" w:rsidRDefault="2F12C45C" w:rsidP="2F12C45C">
            <w:pPr>
              <w:rPr>
                <w:sz w:val="20"/>
                <w:szCs w:val="20"/>
              </w:rPr>
            </w:pPr>
          </w:p>
          <w:p w14:paraId="337C60E2" w14:textId="59EDE529" w:rsidR="2F12C45C" w:rsidRDefault="2F12C45C" w:rsidP="2F12C45C">
            <w:pPr>
              <w:ind w:left="720" w:hanging="720"/>
              <w:rPr>
                <w:sz w:val="20"/>
                <w:szCs w:val="20"/>
              </w:rPr>
            </w:pPr>
          </w:p>
        </w:tc>
        <w:tc>
          <w:tcPr>
            <w:tcW w:w="720" w:type="dxa"/>
          </w:tcPr>
          <w:p w14:paraId="0EA025A8" w14:textId="19660D3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IV</w:t>
            </w:r>
          </w:p>
        </w:tc>
        <w:tc>
          <w:tcPr>
            <w:tcW w:w="2642" w:type="dxa"/>
          </w:tcPr>
          <w:p w14:paraId="71252FB4" w14:textId="5FF12506"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There were 360 patients in the Pre-ERAS group and 319 patients in the Post-ERAS Group. 214 (59.8%) patients developed at least one complication in the pre ERAS group, versus 163 patients in the Post-ERAS group (51.10%). More patients in the Pre-ERAS group developed moderate or severe complications (31.9% vs. 22.26%, p=0.009); and severe complications (15.5% vs. 5.3%; p&lt;0.0001). The median length of stay was 13 (17) days in Pre-ERAS Group and 11 (10) days in the Post-ERAS Group (p=0.034). No differences were found on mortality rates (4.7% vs. 2.5%; p=0.154), or readmission (6.39% vs. 4.39%; p=0.31). Overall ERAS protocol compliance in the Post-ERAS cohort was 88%.</w:t>
            </w:r>
          </w:p>
          <w:p w14:paraId="3060ADAF" w14:textId="472DFD3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61B53CC7" w14:textId="11BEE43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implementation of ERAS protocol for colorectal surgery was associated with a significantly reduction of postoperative complications and length of stay.</w:t>
            </w:r>
          </w:p>
          <w:p w14:paraId="72E0600B" w14:textId="32DBDFC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2411D12" w14:textId="277F9C1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786576E" w14:textId="0461885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21E56BEF" w14:textId="542F3C5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Implementation of a standardized protocol for their postoperative patients was associated with improved patient outcomes such as significantly reduced complications and length of stay as well as a great protocol compliance of 88%.</w:t>
            </w:r>
          </w:p>
        </w:tc>
      </w:tr>
      <w:tr w:rsidR="2F12C45C" w14:paraId="6D6FE53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5C9B4063" w14:textId="1B5D2606" w:rsidR="2F12C45C" w:rsidRDefault="693C9F63" w:rsidP="693C9F63">
            <w:pPr>
              <w:ind w:left="720" w:hanging="720"/>
              <w:rPr>
                <w:sz w:val="20"/>
                <w:szCs w:val="20"/>
              </w:rPr>
            </w:pPr>
            <w:proofErr w:type="spellStart"/>
            <w:r w:rsidRPr="693C9F63">
              <w:rPr>
                <w:sz w:val="20"/>
                <w:szCs w:val="20"/>
              </w:rPr>
              <w:lastRenderedPageBreak/>
              <w:t>Alharbi</w:t>
            </w:r>
            <w:proofErr w:type="spellEnd"/>
            <w:r w:rsidRPr="693C9F63">
              <w:rPr>
                <w:sz w:val="20"/>
                <w:szCs w:val="20"/>
              </w:rPr>
              <w:t>, F. M. (2015). Update in vitamin D and multiple sclerosis.</w:t>
            </w:r>
            <w:r w:rsidRPr="693C9F63">
              <w:rPr>
                <w:i/>
                <w:iCs/>
                <w:sz w:val="20"/>
                <w:szCs w:val="20"/>
              </w:rPr>
              <w:t> Neurosciences (Riyadh, Saudi Arabia), 20</w:t>
            </w:r>
            <w:r w:rsidRPr="693C9F63">
              <w:rPr>
                <w:sz w:val="20"/>
                <w:szCs w:val="20"/>
              </w:rPr>
              <w:t>(4), 329-335. 10.17712/nsj.2015.4.20150357</w:t>
            </w:r>
          </w:p>
          <w:p w14:paraId="174789D2" w14:textId="5811ADA6" w:rsidR="2F12C45C" w:rsidRDefault="2F12C45C" w:rsidP="2F12C45C">
            <w:pPr>
              <w:ind w:left="720" w:hanging="720"/>
              <w:rPr>
                <w:sz w:val="20"/>
                <w:szCs w:val="20"/>
              </w:rPr>
            </w:pPr>
          </w:p>
        </w:tc>
        <w:tc>
          <w:tcPr>
            <w:tcW w:w="720" w:type="dxa"/>
          </w:tcPr>
          <w:p w14:paraId="5EE2D8B0" w14:textId="1038A77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w:t>
            </w:r>
          </w:p>
        </w:tc>
        <w:tc>
          <w:tcPr>
            <w:tcW w:w="2642" w:type="dxa"/>
          </w:tcPr>
          <w:p w14:paraId="32ACEBB8" w14:textId="5DF2399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Several studies have demonstrated vitamin D levels are lower in MS patients compared to control patients.  </w:t>
            </w:r>
          </w:p>
          <w:p w14:paraId="1B0C4086" w14:textId="74E2AB8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CB6DA11" w14:textId="6B46733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deficiency has been identified as a predictor of developing clinically definite MS for patients with clinically isolated syndrome while higher vitamin D levels have been correlated with lower relapse rate in MS patients</w:t>
            </w:r>
          </w:p>
          <w:p w14:paraId="7B766800" w14:textId="4A57A8C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B2ED633" w14:textId="24F91FE6"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Due to factors such as immobility, avoidance of the sun, IV steroids, and use of anti-epileptic medications, the risk for osteoporosis and prevalence for vitamin D deficiency is increased in MS patients; given this vitamin D levels should be determined and deficiency must be treated.</w:t>
            </w:r>
          </w:p>
          <w:p w14:paraId="3F9B7223" w14:textId="64F09CF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03CB735" w14:textId="654A157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Another case-control study</w:t>
            </w:r>
            <w:hyperlink r:id="rId27">
              <w:r w:rsidRPr="2F12C45C">
                <w:rPr>
                  <w:rStyle w:val="Hyperlink"/>
                  <w:color w:val="auto"/>
                  <w:sz w:val="20"/>
                  <w:szCs w:val="20"/>
                  <w:u w:val="none"/>
                </w:rPr>
                <w:t>32</w:t>
              </w:r>
            </w:hyperlink>
            <w:r w:rsidRPr="2F12C45C">
              <w:rPr>
                <w:sz w:val="20"/>
                <w:szCs w:val="20"/>
              </w:rPr>
              <w:t xml:space="preserve"> prospectively collected blood samples from 192 MS patients and showed that serum 25-hydroxyvitamin D (25(OH)D) levels ≥ 75 (versus &lt; 75) </w:t>
            </w:r>
            <w:proofErr w:type="spellStart"/>
            <w:r w:rsidRPr="2F12C45C">
              <w:rPr>
                <w:sz w:val="20"/>
                <w:szCs w:val="20"/>
              </w:rPr>
              <w:t>nmol</w:t>
            </w:r>
            <w:proofErr w:type="spellEnd"/>
            <w:r w:rsidRPr="2F12C45C">
              <w:rPr>
                <w:sz w:val="20"/>
                <w:szCs w:val="20"/>
              </w:rPr>
              <w:t>/L in the blood were associated with a 61% decrease in the risk of MS.</w:t>
            </w:r>
          </w:p>
          <w:p w14:paraId="2AA2D36E" w14:textId="62719AC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7555272" w14:textId="360D07F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Observational studies correlating vitamin D levels to MS severity cannot prove that increased sun exposure alleviates the symptoms of MS, especially given that severely disabled patients with MS receive less sun </w:t>
            </w:r>
            <w:r w:rsidRPr="2F12C45C">
              <w:rPr>
                <w:sz w:val="20"/>
                <w:szCs w:val="20"/>
              </w:rPr>
              <w:lastRenderedPageBreak/>
              <w:t>exposure, which can cause vitamin D deficiency. Even MS patients who are fully mobile are theoretically more susceptible to vitamin D deficiency because they avoid sun exposure, worsening their symptoms.</w:t>
            </w:r>
          </w:p>
          <w:p w14:paraId="1C70B61D" w14:textId="067DCD9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E63DCCC" w14:textId="40A9573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 high dose of vitamin D is safe in the short term. </w:t>
            </w:r>
          </w:p>
          <w:p w14:paraId="43EAFE50" w14:textId="0C2D3B8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25CDCCB" w14:textId="1027D9B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 Institute of Medicine defines vitamin D sufficiency as a level ≥ 50nmol/L. </w:t>
            </w:r>
          </w:p>
          <w:p w14:paraId="2174643C" w14:textId="1D7E4B1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Level maintenance between 75 to 125 </w:t>
            </w:r>
            <w:proofErr w:type="spellStart"/>
            <w:r w:rsidRPr="2F12C45C">
              <w:rPr>
                <w:sz w:val="20"/>
                <w:szCs w:val="20"/>
              </w:rPr>
              <w:t>nmol</w:t>
            </w:r>
            <w:proofErr w:type="spellEnd"/>
            <w:r w:rsidRPr="2F12C45C">
              <w:rPr>
                <w:sz w:val="20"/>
                <w:szCs w:val="20"/>
              </w:rPr>
              <w:t>/L in MS patients has been recommended by some, which is still within a safe range.</w:t>
            </w:r>
          </w:p>
          <w:p w14:paraId="27DBC170" w14:textId="7B0FE26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F0ED86E" w14:textId="788DCDB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Even in those who are healthy, toxicity is unlikely when taking 4000 IU of vitamin D daily.</w:t>
            </w:r>
          </w:p>
        </w:tc>
        <w:tc>
          <w:tcPr>
            <w:tcW w:w="2153" w:type="dxa"/>
          </w:tcPr>
          <w:p w14:paraId="1099689F" w14:textId="75122A2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It is clear from observational studies that vitamin D deficiency is a modifiable risk factor for MS. Therefore, persons who are at risk for MS (for example, first-degree relatives of MS patients, or patients with a single episode demyelinating attack) should be screened for vitamin D deficiency. As stated previously, evidence for the effect of vitamin D on disease progression is lacking, but it is known that MS patients have an increased prevalence for vitamin D deficiency (due to for example, immobility, sun avoidance, corticosteroids, and anti-epileptic use). These patients are also susceptible to osteoporosis.</w:t>
            </w:r>
            <w:hyperlink r:id="rId28">
              <w:r w:rsidRPr="2F12C45C">
                <w:rPr>
                  <w:rStyle w:val="Hyperlink"/>
                  <w:color w:val="auto"/>
                  <w:sz w:val="20"/>
                  <w:szCs w:val="20"/>
                  <w:u w:val="none"/>
                </w:rPr>
                <w:t>70</w:t>
              </w:r>
            </w:hyperlink>
            <w:r w:rsidRPr="2F12C45C">
              <w:rPr>
                <w:sz w:val="20"/>
                <w:szCs w:val="20"/>
              </w:rPr>
              <w:t xml:space="preserve">Therefore, vitamin D levels should be determined, and deficiency should be treated. The optimal serum vitamin D levels for exerting </w:t>
            </w:r>
            <w:proofErr w:type="spellStart"/>
            <w:r w:rsidRPr="2F12C45C">
              <w:rPr>
                <w:sz w:val="20"/>
                <w:szCs w:val="20"/>
              </w:rPr>
              <w:t>immunomodulatory</w:t>
            </w:r>
            <w:proofErr w:type="spellEnd"/>
            <w:r w:rsidRPr="2F12C45C">
              <w:rPr>
                <w:sz w:val="20"/>
                <w:szCs w:val="20"/>
              </w:rPr>
              <w:t xml:space="preserve"> effects have not been clinically established. Based on bone health criteria, the US and Canadian Institute of Medicine (IOM) recently stated that individuals are vitamin D sufficient at 25OHD levels ≥ 50 </w:t>
            </w:r>
            <w:proofErr w:type="spellStart"/>
            <w:r w:rsidRPr="2F12C45C">
              <w:rPr>
                <w:sz w:val="20"/>
                <w:szCs w:val="20"/>
              </w:rPr>
              <w:t>nmol</w:t>
            </w:r>
            <w:proofErr w:type="spellEnd"/>
            <w:r w:rsidRPr="2F12C45C">
              <w:rPr>
                <w:sz w:val="20"/>
                <w:szCs w:val="20"/>
              </w:rPr>
              <w:t xml:space="preserve">/L; </w:t>
            </w:r>
            <w:r w:rsidRPr="2F12C45C">
              <w:rPr>
                <w:sz w:val="20"/>
                <w:szCs w:val="20"/>
              </w:rPr>
              <w:lastRenderedPageBreak/>
              <w:t xml:space="preserve">levels above 75 </w:t>
            </w:r>
            <w:proofErr w:type="spellStart"/>
            <w:r w:rsidRPr="2F12C45C">
              <w:rPr>
                <w:sz w:val="20"/>
                <w:szCs w:val="20"/>
              </w:rPr>
              <w:t>nmol</w:t>
            </w:r>
            <w:proofErr w:type="spellEnd"/>
            <w:r w:rsidRPr="2F12C45C">
              <w:rPr>
                <w:sz w:val="20"/>
                <w:szCs w:val="20"/>
              </w:rPr>
              <w:t xml:space="preserve">/L have not consistently been associated with an increased benefit. Although risks have been identified for some outcomes at levels above 125 </w:t>
            </w:r>
            <w:proofErr w:type="spellStart"/>
            <w:r w:rsidRPr="2F12C45C">
              <w:rPr>
                <w:sz w:val="20"/>
                <w:szCs w:val="20"/>
              </w:rPr>
              <w:t>nmol</w:t>
            </w:r>
            <w:proofErr w:type="spellEnd"/>
            <w:r w:rsidRPr="2F12C45C">
              <w:rPr>
                <w:sz w:val="20"/>
                <w:szCs w:val="20"/>
              </w:rPr>
              <w:t>/L, it has been suggested that up to 4000 IU/day of vitamin D intake is unlikely to cause toxicity, even in healthy individuals.</w:t>
            </w:r>
            <w:hyperlink r:id="rId29">
              <w:r w:rsidRPr="2F12C45C">
                <w:rPr>
                  <w:rStyle w:val="Hyperlink"/>
                  <w:color w:val="auto"/>
                  <w:sz w:val="20"/>
                  <w:szCs w:val="20"/>
                  <w:u w:val="none"/>
                </w:rPr>
                <w:t>71</w:t>
              </w:r>
            </w:hyperlink>
            <w:r w:rsidRPr="2F12C45C">
              <w:rPr>
                <w:sz w:val="20"/>
                <w:szCs w:val="20"/>
              </w:rPr>
              <w:t> Some experts favor maintaining 25(OH</w:t>
            </w:r>
            <w:proofErr w:type="gramStart"/>
            <w:r w:rsidRPr="2F12C45C">
              <w:rPr>
                <w:sz w:val="20"/>
                <w:szCs w:val="20"/>
              </w:rPr>
              <w:t>)D</w:t>
            </w:r>
            <w:proofErr w:type="gramEnd"/>
            <w:r w:rsidRPr="2F12C45C">
              <w:rPr>
                <w:sz w:val="20"/>
                <w:szCs w:val="20"/>
              </w:rPr>
              <w:t xml:space="preserve"> levels between 75 to 125 </w:t>
            </w:r>
            <w:proofErr w:type="spellStart"/>
            <w:r w:rsidRPr="2F12C45C">
              <w:rPr>
                <w:sz w:val="20"/>
                <w:szCs w:val="20"/>
              </w:rPr>
              <w:t>nmol</w:t>
            </w:r>
            <w:proofErr w:type="spellEnd"/>
            <w:r w:rsidRPr="2F12C45C">
              <w:rPr>
                <w:sz w:val="20"/>
                <w:szCs w:val="20"/>
              </w:rPr>
              <w:t xml:space="preserve">/L in MS patients, as these levels are still within the safe range of the IOM report, and </w:t>
            </w:r>
            <w:proofErr w:type="spellStart"/>
            <w:r w:rsidRPr="2F12C45C">
              <w:rPr>
                <w:sz w:val="20"/>
                <w:szCs w:val="20"/>
              </w:rPr>
              <w:t>immunomodulatory</w:t>
            </w:r>
            <w:proofErr w:type="spellEnd"/>
            <w:r w:rsidRPr="2F12C45C">
              <w:rPr>
                <w:sz w:val="20"/>
                <w:szCs w:val="20"/>
              </w:rPr>
              <w:t xml:space="preserve"> effects have been observed in hyper-physiologic ranges in experimental studies. However, the long-term effects of such high levels are unknown.</w:t>
            </w:r>
          </w:p>
          <w:p w14:paraId="49A1BFD6" w14:textId="5622535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3A6B9FF2" w14:textId="1DFCE3D2" w:rsidR="2F12C45C" w:rsidRDefault="2F12C45C" w:rsidP="2F12C45C">
            <w:pPr>
              <w:cnfStyle w:val="000000000000" w:firstRow="0" w:lastRow="0" w:firstColumn="0" w:lastColumn="0" w:oddVBand="0" w:evenVBand="0" w:oddHBand="0" w:evenHBand="0" w:firstRowFirstColumn="0" w:firstRowLastColumn="0" w:lastRowFirstColumn="0" w:lastRowLastColumn="0"/>
              <w:rPr>
                <w:sz w:val="22"/>
                <w:szCs w:val="22"/>
              </w:rPr>
            </w:pPr>
            <w:r w:rsidRPr="2F12C45C">
              <w:rPr>
                <w:sz w:val="22"/>
                <w:szCs w:val="22"/>
              </w:rPr>
              <w:lastRenderedPageBreak/>
              <w:t xml:space="preserve">The Institute of Medicine defines vitamin D sufficiency as a level ≥ 50nmol/L. </w:t>
            </w:r>
          </w:p>
          <w:p w14:paraId="598498FA" w14:textId="48DF9BC1" w:rsidR="2F12C45C" w:rsidRDefault="2F12C45C" w:rsidP="2F12C45C">
            <w:pPr>
              <w:cnfStyle w:val="000000000000" w:firstRow="0" w:lastRow="0" w:firstColumn="0" w:lastColumn="0" w:oddVBand="0" w:evenVBand="0" w:oddHBand="0" w:evenHBand="0" w:firstRowFirstColumn="0" w:firstRowLastColumn="0" w:lastRowFirstColumn="0" w:lastRowLastColumn="0"/>
              <w:rPr>
                <w:sz w:val="22"/>
                <w:szCs w:val="22"/>
              </w:rPr>
            </w:pPr>
            <w:r w:rsidRPr="2F12C45C">
              <w:rPr>
                <w:sz w:val="22"/>
                <w:szCs w:val="22"/>
              </w:rPr>
              <w:t xml:space="preserve">Level maintenance between 75 to 125 </w:t>
            </w:r>
            <w:proofErr w:type="spellStart"/>
            <w:r w:rsidRPr="2F12C45C">
              <w:rPr>
                <w:sz w:val="22"/>
                <w:szCs w:val="22"/>
              </w:rPr>
              <w:t>nmol</w:t>
            </w:r>
            <w:proofErr w:type="spellEnd"/>
            <w:r w:rsidRPr="2F12C45C">
              <w:rPr>
                <w:sz w:val="22"/>
                <w:szCs w:val="22"/>
              </w:rPr>
              <w:t>/L in MS patients has been recommended by some, which is still within a safe range.</w:t>
            </w:r>
          </w:p>
          <w:p w14:paraId="4EC079BF" w14:textId="1FDF55AB" w:rsidR="2F12C45C" w:rsidRDefault="2F12C45C" w:rsidP="2F12C45C">
            <w:pPr>
              <w:cnfStyle w:val="000000000000" w:firstRow="0" w:lastRow="0" w:firstColumn="0" w:lastColumn="0" w:oddVBand="0" w:evenVBand="0" w:oddHBand="0" w:evenHBand="0" w:firstRowFirstColumn="0" w:firstRowLastColumn="0" w:lastRowFirstColumn="0" w:lastRowLastColumn="0"/>
              <w:rPr>
                <w:sz w:val="22"/>
                <w:szCs w:val="22"/>
              </w:rPr>
            </w:pPr>
          </w:p>
          <w:p w14:paraId="286D47B1" w14:textId="6FCB8E42" w:rsidR="2F12C45C" w:rsidRDefault="693C9F63" w:rsidP="693C9F63">
            <w:pPr>
              <w:cnfStyle w:val="000000000000" w:firstRow="0" w:lastRow="0" w:firstColumn="0" w:lastColumn="0" w:oddVBand="0" w:evenVBand="0" w:oddHBand="0" w:evenHBand="0" w:firstRowFirstColumn="0" w:firstRowLastColumn="0" w:lastRowFirstColumn="0" w:lastRowLastColumn="0"/>
              <w:rPr>
                <w:sz w:val="22"/>
                <w:szCs w:val="22"/>
              </w:rPr>
            </w:pPr>
            <w:r w:rsidRPr="693C9F63">
              <w:rPr>
                <w:sz w:val="22"/>
                <w:szCs w:val="22"/>
              </w:rPr>
              <w:t xml:space="preserve">Toxicity is unlikely with 4000 IU </w:t>
            </w:r>
            <w:proofErr w:type="spellStart"/>
            <w:r w:rsidRPr="693C9F63">
              <w:rPr>
                <w:sz w:val="22"/>
                <w:szCs w:val="22"/>
              </w:rPr>
              <w:t>qd</w:t>
            </w:r>
            <w:proofErr w:type="spellEnd"/>
            <w:r w:rsidRPr="693C9F63">
              <w:rPr>
                <w:sz w:val="22"/>
                <w:szCs w:val="22"/>
              </w:rPr>
              <w:t xml:space="preserve"> supplementation.</w:t>
            </w:r>
          </w:p>
          <w:p w14:paraId="1F3E5ADE" w14:textId="06717AF6" w:rsidR="2F12C45C" w:rsidRDefault="2F12C45C" w:rsidP="2F12C45C">
            <w:pPr>
              <w:cnfStyle w:val="000000000000" w:firstRow="0" w:lastRow="0" w:firstColumn="0" w:lastColumn="0" w:oddVBand="0" w:evenVBand="0" w:oddHBand="0" w:evenHBand="0" w:firstRowFirstColumn="0" w:firstRowLastColumn="0" w:lastRowFirstColumn="0" w:lastRowLastColumn="0"/>
              <w:rPr>
                <w:sz w:val="22"/>
                <w:szCs w:val="22"/>
              </w:rPr>
            </w:pPr>
          </w:p>
        </w:tc>
      </w:tr>
      <w:tr w:rsidR="2F12C45C" w14:paraId="291E8545"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7239B8D" w14:textId="1D3B2777" w:rsidR="2F12C45C" w:rsidRDefault="693C9F63" w:rsidP="693C9F63">
            <w:pPr>
              <w:ind w:left="720" w:hanging="720"/>
              <w:rPr>
                <w:sz w:val="20"/>
                <w:szCs w:val="20"/>
              </w:rPr>
            </w:pPr>
            <w:proofErr w:type="spellStart"/>
            <w:r w:rsidRPr="693C9F63">
              <w:rPr>
                <w:sz w:val="20"/>
                <w:szCs w:val="20"/>
              </w:rPr>
              <w:lastRenderedPageBreak/>
              <w:t>Ascherio</w:t>
            </w:r>
            <w:proofErr w:type="spellEnd"/>
            <w:r w:rsidRPr="693C9F63">
              <w:rPr>
                <w:sz w:val="20"/>
                <w:szCs w:val="20"/>
              </w:rPr>
              <w:t xml:space="preserve">, A., </w:t>
            </w:r>
            <w:proofErr w:type="spellStart"/>
            <w:r w:rsidRPr="693C9F63">
              <w:rPr>
                <w:sz w:val="20"/>
                <w:szCs w:val="20"/>
              </w:rPr>
              <w:t>Munger</w:t>
            </w:r>
            <w:proofErr w:type="spellEnd"/>
            <w:r w:rsidRPr="693C9F63">
              <w:rPr>
                <w:sz w:val="20"/>
                <w:szCs w:val="20"/>
              </w:rPr>
              <w:t xml:space="preserve">, K., White, R., </w:t>
            </w:r>
            <w:proofErr w:type="spellStart"/>
            <w:r w:rsidRPr="693C9F63">
              <w:rPr>
                <w:sz w:val="20"/>
                <w:szCs w:val="20"/>
              </w:rPr>
              <w:t>Kochert</w:t>
            </w:r>
            <w:proofErr w:type="spellEnd"/>
            <w:r w:rsidRPr="693C9F63">
              <w:rPr>
                <w:sz w:val="20"/>
                <w:szCs w:val="20"/>
              </w:rPr>
              <w:t xml:space="preserve">, K., Simon, K., </w:t>
            </w:r>
            <w:proofErr w:type="spellStart"/>
            <w:r w:rsidRPr="693C9F63">
              <w:rPr>
                <w:sz w:val="20"/>
                <w:szCs w:val="20"/>
              </w:rPr>
              <w:t>Polman</w:t>
            </w:r>
            <w:proofErr w:type="spellEnd"/>
            <w:r w:rsidRPr="693C9F63">
              <w:rPr>
                <w:sz w:val="20"/>
                <w:szCs w:val="20"/>
              </w:rPr>
              <w:t>, C</w:t>
            </w:r>
            <w:proofErr w:type="gramStart"/>
            <w:r w:rsidRPr="693C9F63">
              <w:rPr>
                <w:sz w:val="20"/>
                <w:szCs w:val="20"/>
              </w:rPr>
              <w:t>., . . .</w:t>
            </w:r>
            <w:proofErr w:type="gramEnd"/>
            <w:r w:rsidRPr="693C9F63">
              <w:rPr>
                <w:sz w:val="20"/>
                <w:szCs w:val="20"/>
              </w:rPr>
              <w:t xml:space="preserve"> Pohl, C. (2014). Vitamin D as an early predictor of multiple sclerosis activity and progression.</w:t>
            </w:r>
            <w:r w:rsidRPr="693C9F63">
              <w:rPr>
                <w:i/>
                <w:iCs/>
                <w:sz w:val="20"/>
                <w:szCs w:val="20"/>
              </w:rPr>
              <w:t> JAMA Neurology, 71</w:t>
            </w:r>
            <w:r w:rsidRPr="693C9F63">
              <w:rPr>
                <w:sz w:val="20"/>
                <w:szCs w:val="20"/>
              </w:rPr>
              <w:t>(3), 306-314. 10.1001/jamaneurol.2013.5993 </w:t>
            </w:r>
          </w:p>
          <w:p w14:paraId="0DB8E422" w14:textId="04366484" w:rsidR="2F12C45C" w:rsidRDefault="2F12C45C" w:rsidP="2F12C45C">
            <w:pPr>
              <w:ind w:left="720" w:hanging="720"/>
              <w:rPr>
                <w:sz w:val="20"/>
                <w:szCs w:val="20"/>
              </w:rPr>
            </w:pPr>
          </w:p>
        </w:tc>
        <w:tc>
          <w:tcPr>
            <w:tcW w:w="720" w:type="dxa"/>
          </w:tcPr>
          <w:p w14:paraId="36B16BE5" w14:textId="3FD0975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II</w:t>
            </w:r>
          </w:p>
        </w:tc>
        <w:tc>
          <w:tcPr>
            <w:tcW w:w="2642" w:type="dxa"/>
          </w:tcPr>
          <w:p w14:paraId="14B4FA45" w14:textId="28BA42FB"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Ascherio</w:t>
            </w:r>
            <w:proofErr w:type="spellEnd"/>
            <w:r w:rsidRPr="693C9F63">
              <w:rPr>
                <w:sz w:val="20"/>
                <w:szCs w:val="20"/>
              </w:rPr>
              <w:t xml:space="preserve"> et al. (2014) examined data from 465 early- stage MS patients from 18 European countries, Israel, and Canada for 5 years.  Serum concentrations of 25-hydroxyvitamin D (25[OH]D were tested at baseline, 6 months, 12 months, and 24 months later. They discovered that higher serum 25(OH)D levels in the first 12 months predicted reduced MS activity and a slower rate of MS progression and at 5 years patients with a concentration of at least 50 </w:t>
            </w:r>
            <w:proofErr w:type="spellStart"/>
            <w:r w:rsidRPr="693C9F63">
              <w:rPr>
                <w:sz w:val="20"/>
                <w:szCs w:val="20"/>
              </w:rPr>
              <w:t>nmol</w:t>
            </w:r>
            <w:proofErr w:type="spellEnd"/>
            <w:r w:rsidRPr="693C9F63">
              <w:rPr>
                <w:sz w:val="20"/>
                <w:szCs w:val="20"/>
              </w:rPr>
              <w:t xml:space="preserve">/L had significantly less new active lesions, slower increase in brain lesion volume, reduced loss of brain volume, and lower disability compared to those with concentrations less than 50 </w:t>
            </w:r>
            <w:proofErr w:type="spellStart"/>
            <w:r w:rsidRPr="693C9F63">
              <w:rPr>
                <w:sz w:val="20"/>
                <w:szCs w:val="20"/>
              </w:rPr>
              <w:t>nmol</w:t>
            </w:r>
            <w:proofErr w:type="spellEnd"/>
            <w:r w:rsidRPr="693C9F63">
              <w:rPr>
                <w:sz w:val="20"/>
                <w:szCs w:val="20"/>
              </w:rPr>
              <w:t>/L.</w:t>
            </w:r>
          </w:p>
        </w:tc>
        <w:tc>
          <w:tcPr>
            <w:tcW w:w="2153" w:type="dxa"/>
          </w:tcPr>
          <w:p w14:paraId="7B34BD49" w14:textId="40744F5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Among patients with MS mainly treated with interferon beta-1b, low 25(OH</w:t>
            </w:r>
            <w:proofErr w:type="gramStart"/>
            <w:r w:rsidRPr="2F12C45C">
              <w:rPr>
                <w:sz w:val="20"/>
                <w:szCs w:val="20"/>
              </w:rPr>
              <w:t>)D</w:t>
            </w:r>
            <w:proofErr w:type="gramEnd"/>
            <w:r w:rsidRPr="2F12C45C">
              <w:rPr>
                <w:sz w:val="20"/>
                <w:szCs w:val="20"/>
              </w:rPr>
              <w:t xml:space="preserve"> levels early in the disease course are a strong risk factor for long-term MS activity and progression.</w:t>
            </w:r>
          </w:p>
        </w:tc>
        <w:tc>
          <w:tcPr>
            <w:tcW w:w="1332" w:type="dxa"/>
          </w:tcPr>
          <w:p w14:paraId="69013645" w14:textId="5AB353B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insufficiency and deficiency is common in MS patients and vitamin D concentrations are lower during times of relapse than during remissions</w:t>
            </w:r>
          </w:p>
          <w:p w14:paraId="51E5B243" w14:textId="361BA94B"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1AFDA52" w14:textId="6A33319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Among people with early-stage multiple sclerosis (MS), those with higher blood levels of vitamin D </w:t>
            </w:r>
            <w:r w:rsidRPr="2F12C45C">
              <w:rPr>
                <w:sz w:val="20"/>
                <w:szCs w:val="20"/>
              </w:rPr>
              <w:lastRenderedPageBreak/>
              <w:t>had better outcomes during 5 years of follow-up. Identifying and correcting vitamin D insufficiency could aid in the early treatment of MS</w:t>
            </w:r>
          </w:p>
          <w:p w14:paraId="4F65E798" w14:textId="3B41F886"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86B91EE" w14:textId="400A688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Recommended target level &gt; 50 ng/ml</w:t>
            </w:r>
          </w:p>
        </w:tc>
      </w:tr>
      <w:tr w:rsidR="2F12C45C" w14:paraId="790A0A63"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8F0BD93" w14:textId="6BD4CE04" w:rsidR="2F12C45C" w:rsidRDefault="2F12C45C" w:rsidP="2F12C45C">
            <w:pPr>
              <w:ind w:left="720" w:hanging="720"/>
              <w:rPr>
                <w:sz w:val="20"/>
                <w:szCs w:val="20"/>
              </w:rPr>
            </w:pPr>
            <w:r w:rsidRPr="2F12C45C">
              <w:rPr>
                <w:sz w:val="20"/>
                <w:szCs w:val="20"/>
              </w:rPr>
              <w:lastRenderedPageBreak/>
              <w:t>Sahota, O. (2014). Understanding vitamin D deficiency.</w:t>
            </w:r>
            <w:r w:rsidRPr="2F12C45C">
              <w:rPr>
                <w:i/>
                <w:iCs/>
                <w:sz w:val="20"/>
                <w:szCs w:val="20"/>
              </w:rPr>
              <w:t> Age and Ageing, 43</w:t>
            </w:r>
            <w:r w:rsidRPr="2F12C45C">
              <w:rPr>
                <w:sz w:val="20"/>
                <w:szCs w:val="20"/>
              </w:rPr>
              <w:t>(5), 589-591. 10.1093/ageing/afu104</w:t>
            </w:r>
          </w:p>
          <w:p w14:paraId="52D1C14F" w14:textId="6611655B" w:rsidR="2F12C45C" w:rsidRDefault="2F12C45C" w:rsidP="2F12C45C">
            <w:pPr>
              <w:ind w:left="720" w:hanging="720"/>
              <w:rPr>
                <w:sz w:val="20"/>
                <w:szCs w:val="20"/>
              </w:rPr>
            </w:pPr>
          </w:p>
        </w:tc>
        <w:tc>
          <w:tcPr>
            <w:tcW w:w="720" w:type="dxa"/>
          </w:tcPr>
          <w:p w14:paraId="5BD32B11" w14:textId="0B65E7E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634FFF90" w14:textId="3294C09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Sahota, (2014) acknowledged vitamin D deficiencies adverse effect on muscle function producing slower walking speed, longer sit-to-stand time, reduced </w:t>
            </w:r>
            <w:proofErr w:type="spellStart"/>
            <w:r w:rsidRPr="2F12C45C">
              <w:rPr>
                <w:sz w:val="20"/>
                <w:szCs w:val="20"/>
              </w:rPr>
              <w:t>quadricep</w:t>
            </w:r>
            <w:proofErr w:type="spellEnd"/>
            <w:r w:rsidRPr="2F12C45C">
              <w:rPr>
                <w:sz w:val="20"/>
                <w:szCs w:val="20"/>
              </w:rPr>
              <w:t xml:space="preserve"> strength, </w:t>
            </w:r>
            <w:r w:rsidRPr="2F12C45C">
              <w:rPr>
                <w:color w:val="2A2A2A"/>
                <w:sz w:val="20"/>
                <w:szCs w:val="20"/>
              </w:rPr>
              <w:t xml:space="preserve">poor Short Physical Performance Battery (SPPB) scores, </w:t>
            </w:r>
            <w:r w:rsidRPr="2F12C45C">
              <w:rPr>
                <w:sz w:val="20"/>
                <w:szCs w:val="20"/>
              </w:rPr>
              <w:t xml:space="preserve">and increased falls.  He described 20 – 30% fall rate reduction and body sway improvement with vitamin D dosing from 800 to 1000 IU daily demonstrated by interventional studies.  Sahota, (2014) outlined the observational findings of lower limb power increase exhibited in those with replete vitamin D levels of &gt; 67.5 </w:t>
            </w:r>
            <w:proofErr w:type="spellStart"/>
            <w:r w:rsidRPr="2F12C45C">
              <w:rPr>
                <w:sz w:val="20"/>
                <w:szCs w:val="20"/>
              </w:rPr>
              <w:t>nmol</w:t>
            </w:r>
            <w:proofErr w:type="spellEnd"/>
            <w:r w:rsidRPr="2F12C45C">
              <w:rPr>
                <w:sz w:val="20"/>
                <w:szCs w:val="20"/>
              </w:rPr>
              <w:t xml:space="preserve">/l versus absence of improvement in those with levels of &lt;47.5 </w:t>
            </w:r>
            <w:proofErr w:type="spellStart"/>
            <w:r w:rsidRPr="2F12C45C">
              <w:rPr>
                <w:sz w:val="20"/>
                <w:szCs w:val="20"/>
              </w:rPr>
              <w:t>nmol</w:t>
            </w:r>
            <w:proofErr w:type="spellEnd"/>
            <w:r w:rsidRPr="2F12C45C">
              <w:rPr>
                <w:sz w:val="20"/>
                <w:szCs w:val="20"/>
              </w:rPr>
              <w:t xml:space="preserve">/l.  </w:t>
            </w:r>
          </w:p>
        </w:tc>
        <w:tc>
          <w:tcPr>
            <w:tcW w:w="2153" w:type="dxa"/>
          </w:tcPr>
          <w:p w14:paraId="098C52CC" w14:textId="0076C60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deficiency is associated with muscle weakness predominately of the proximal muscle groups through both genomic and non-genomic pathways.</w:t>
            </w:r>
          </w:p>
        </w:tc>
        <w:tc>
          <w:tcPr>
            <w:tcW w:w="1332" w:type="dxa"/>
          </w:tcPr>
          <w:p w14:paraId="196E402A" w14:textId="2E55397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Vitamin D affects muscle function and results in increased falls, however this can be reversed with vitamin D repletion.  </w:t>
            </w:r>
          </w:p>
        </w:tc>
      </w:tr>
      <w:tr w:rsidR="2F12C45C" w14:paraId="28C48630"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3A4F1839" w14:textId="385F38F0" w:rsidR="2F12C45C" w:rsidRDefault="693C9F63" w:rsidP="693C9F63">
            <w:pPr>
              <w:ind w:left="720" w:hanging="720"/>
              <w:rPr>
                <w:sz w:val="20"/>
                <w:szCs w:val="20"/>
              </w:rPr>
            </w:pPr>
            <w:proofErr w:type="spellStart"/>
            <w:r w:rsidRPr="693C9F63">
              <w:rPr>
                <w:sz w:val="20"/>
                <w:szCs w:val="20"/>
              </w:rPr>
              <w:t>Mazumder</w:t>
            </w:r>
            <w:proofErr w:type="spellEnd"/>
            <w:r w:rsidRPr="693C9F63">
              <w:rPr>
                <w:sz w:val="20"/>
                <w:szCs w:val="20"/>
              </w:rPr>
              <w:t xml:space="preserve">, R., Murchison, C., </w:t>
            </w:r>
            <w:proofErr w:type="spellStart"/>
            <w:r w:rsidRPr="693C9F63">
              <w:rPr>
                <w:sz w:val="20"/>
                <w:szCs w:val="20"/>
              </w:rPr>
              <w:t>Bourdette</w:t>
            </w:r>
            <w:proofErr w:type="spellEnd"/>
            <w:r w:rsidRPr="693C9F63">
              <w:rPr>
                <w:sz w:val="20"/>
                <w:szCs w:val="20"/>
              </w:rPr>
              <w:t>, D., &amp; Cameron, M. (2014). Falls in people with multiple sclerosis compared with falls in healthy controls.</w:t>
            </w:r>
            <w:r w:rsidRPr="693C9F63">
              <w:rPr>
                <w:i/>
                <w:iCs/>
                <w:sz w:val="20"/>
                <w:szCs w:val="20"/>
              </w:rPr>
              <w:t> </w:t>
            </w:r>
            <w:proofErr w:type="spellStart"/>
            <w:r w:rsidRPr="693C9F63">
              <w:rPr>
                <w:i/>
                <w:iCs/>
                <w:sz w:val="20"/>
                <w:szCs w:val="20"/>
              </w:rPr>
              <w:t>PloS</w:t>
            </w:r>
            <w:proofErr w:type="spellEnd"/>
            <w:r w:rsidRPr="693C9F63">
              <w:rPr>
                <w:i/>
                <w:iCs/>
                <w:sz w:val="20"/>
                <w:szCs w:val="20"/>
              </w:rPr>
              <w:t xml:space="preserve"> One, 9</w:t>
            </w:r>
            <w:r w:rsidRPr="693C9F63">
              <w:rPr>
                <w:sz w:val="20"/>
                <w:szCs w:val="20"/>
              </w:rPr>
              <w:t>(9), e107620. 10.1371/journal.pone.0107620</w:t>
            </w:r>
          </w:p>
          <w:p w14:paraId="01B472BA" w14:textId="70532482" w:rsidR="2F12C45C" w:rsidRDefault="2F12C45C" w:rsidP="2F12C45C">
            <w:pPr>
              <w:ind w:left="720" w:hanging="720"/>
              <w:rPr>
                <w:sz w:val="20"/>
                <w:szCs w:val="20"/>
              </w:rPr>
            </w:pPr>
          </w:p>
        </w:tc>
        <w:tc>
          <w:tcPr>
            <w:tcW w:w="720" w:type="dxa"/>
          </w:tcPr>
          <w:p w14:paraId="117E5C54" w14:textId="0CB2EDF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36CE7166" w14:textId="1D5F25D2"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Mazunder</w:t>
            </w:r>
            <w:proofErr w:type="spellEnd"/>
            <w:r w:rsidRPr="693C9F63">
              <w:rPr>
                <w:sz w:val="20"/>
                <w:szCs w:val="20"/>
              </w:rPr>
              <w:t xml:space="preserve"> et al., (2014) conducted prospective cohort study including 58 people with MS and 58 healthy controls whom were community- dwelling.  Falls were recorded by participants prospectively using fall calendars and additional context such as fall location, fall related injuries, and cause of falls were also documented.  </w:t>
            </w:r>
            <w:proofErr w:type="spellStart"/>
            <w:r w:rsidRPr="693C9F63">
              <w:rPr>
                <w:sz w:val="20"/>
                <w:szCs w:val="20"/>
              </w:rPr>
              <w:t>Mazumder</w:t>
            </w:r>
            <w:proofErr w:type="spellEnd"/>
            <w:r w:rsidRPr="693C9F63">
              <w:rPr>
                <w:sz w:val="20"/>
                <w:szCs w:val="20"/>
              </w:rPr>
              <w:t xml:space="preserve"> et al., (2014) utilized Kaplan Meier survival analysis and </w:t>
            </w:r>
            <w:r w:rsidRPr="693C9F63">
              <w:rPr>
                <w:sz w:val="20"/>
                <w:szCs w:val="20"/>
              </w:rPr>
              <w:lastRenderedPageBreak/>
              <w:t xml:space="preserve">log-rank tests for distribution comparison of survival without falling between the two groups. They found that 40.8% of healthy controls and 71.2% of persons with MS fell at least once, 18.4% of controls and 48.1% of persons with MS fell at least twice, and 20.4% of controls and 42.3% of persons with MS sustained a fall-related injury.   </w:t>
            </w:r>
            <w:proofErr w:type="spellStart"/>
            <w:r w:rsidRPr="693C9F63">
              <w:rPr>
                <w:sz w:val="20"/>
                <w:szCs w:val="20"/>
              </w:rPr>
              <w:t>Mazumder</w:t>
            </w:r>
            <w:proofErr w:type="spellEnd"/>
            <w:r w:rsidRPr="693C9F63">
              <w:rPr>
                <w:sz w:val="20"/>
                <w:szCs w:val="20"/>
              </w:rPr>
              <w:t xml:space="preserve"> et al., (2014) discovered a significant difference between time to first fall (HR: 1.87, p = 0.033) and time to recurrent falls (HR: 2.87, p = 0.0082) between the control and persons with MS groups after adjusting the data for age and gender.</w:t>
            </w:r>
          </w:p>
        </w:tc>
        <w:tc>
          <w:tcPr>
            <w:tcW w:w="2153" w:type="dxa"/>
          </w:tcPr>
          <w:p w14:paraId="755B8F35" w14:textId="654FBA7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Fall risk, circumstances, consequences, and causes are different for persons with MS than for healthy people of the same age and gender.  Persons with MS fall more, are more likely to be injured by a fall, and often fall indoors.  Persons with MS, but not healthy controls, frequently fall because they are </w:t>
            </w:r>
            <w:r w:rsidRPr="2F12C45C">
              <w:rPr>
                <w:sz w:val="20"/>
                <w:szCs w:val="20"/>
              </w:rPr>
              <w:lastRenderedPageBreak/>
              <w:t xml:space="preserve">distracted, fatigued, or hot.  </w:t>
            </w:r>
          </w:p>
        </w:tc>
        <w:tc>
          <w:tcPr>
            <w:tcW w:w="1332" w:type="dxa"/>
          </w:tcPr>
          <w:p w14:paraId="018A17E2" w14:textId="19904B6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People with MS have a high occurrence of falls which may be associated with injury or death and can negatively impact their quality of life.  </w:t>
            </w:r>
          </w:p>
        </w:tc>
      </w:tr>
      <w:tr w:rsidR="2F12C45C" w14:paraId="44BF12BA"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54AAE0A" w14:textId="512CD887" w:rsidR="2F12C45C" w:rsidRDefault="693C9F63" w:rsidP="693C9F63">
            <w:pPr>
              <w:ind w:left="720" w:hanging="720"/>
              <w:rPr>
                <w:sz w:val="20"/>
                <w:szCs w:val="20"/>
              </w:rPr>
            </w:pPr>
            <w:proofErr w:type="spellStart"/>
            <w:r w:rsidRPr="693C9F63">
              <w:rPr>
                <w:sz w:val="20"/>
                <w:szCs w:val="20"/>
              </w:rPr>
              <w:lastRenderedPageBreak/>
              <w:t>Shaheen</w:t>
            </w:r>
            <w:proofErr w:type="spellEnd"/>
            <w:r w:rsidRPr="693C9F63">
              <w:rPr>
                <w:sz w:val="20"/>
                <w:szCs w:val="20"/>
              </w:rPr>
              <w:t xml:space="preserve">, H. A., Sayed, S. S., </w:t>
            </w:r>
            <w:proofErr w:type="spellStart"/>
            <w:r w:rsidRPr="693C9F63">
              <w:rPr>
                <w:sz w:val="20"/>
                <w:szCs w:val="20"/>
              </w:rPr>
              <w:t>Daker</w:t>
            </w:r>
            <w:proofErr w:type="spellEnd"/>
            <w:r w:rsidRPr="693C9F63">
              <w:rPr>
                <w:sz w:val="20"/>
                <w:szCs w:val="20"/>
              </w:rPr>
              <w:t xml:space="preserve">, L. I., </w:t>
            </w:r>
            <w:proofErr w:type="spellStart"/>
            <w:r w:rsidRPr="693C9F63">
              <w:rPr>
                <w:sz w:val="20"/>
                <w:szCs w:val="20"/>
              </w:rPr>
              <w:t>AbdelAziz</w:t>
            </w:r>
            <w:proofErr w:type="spellEnd"/>
            <w:r w:rsidRPr="693C9F63">
              <w:rPr>
                <w:sz w:val="20"/>
                <w:szCs w:val="20"/>
              </w:rPr>
              <w:t xml:space="preserve">, H. E., &amp; </w:t>
            </w:r>
            <w:proofErr w:type="spellStart"/>
            <w:r w:rsidRPr="693C9F63">
              <w:rPr>
                <w:sz w:val="20"/>
                <w:szCs w:val="20"/>
              </w:rPr>
              <w:t>Taha</w:t>
            </w:r>
            <w:proofErr w:type="spellEnd"/>
            <w:r w:rsidRPr="693C9F63">
              <w:rPr>
                <w:sz w:val="20"/>
                <w:szCs w:val="20"/>
              </w:rPr>
              <w:t xml:space="preserve">, M. A. (2018). Does vitamin D deficiency predict early conversion of clinically isolated syndrome? A preliminary </w:t>
            </w:r>
            <w:proofErr w:type="spellStart"/>
            <w:r w:rsidRPr="693C9F63">
              <w:rPr>
                <w:sz w:val="20"/>
                <w:szCs w:val="20"/>
              </w:rPr>
              <w:t>egyptian</w:t>
            </w:r>
            <w:proofErr w:type="spellEnd"/>
            <w:r w:rsidRPr="693C9F63">
              <w:rPr>
                <w:sz w:val="20"/>
                <w:szCs w:val="20"/>
              </w:rPr>
              <w:t xml:space="preserve"> study.</w:t>
            </w:r>
            <w:r w:rsidRPr="693C9F63">
              <w:rPr>
                <w:i/>
                <w:iCs/>
                <w:sz w:val="20"/>
                <w:szCs w:val="20"/>
              </w:rPr>
              <w:t> The International Journal of Neuroscience</w:t>
            </w:r>
            <w:proofErr w:type="gramStart"/>
            <w:r w:rsidRPr="693C9F63">
              <w:rPr>
                <w:i/>
                <w:iCs/>
                <w:sz w:val="20"/>
                <w:szCs w:val="20"/>
              </w:rPr>
              <w:t>, </w:t>
            </w:r>
            <w:r w:rsidRPr="693C9F63">
              <w:rPr>
                <w:sz w:val="20"/>
                <w:szCs w:val="20"/>
              </w:rPr>
              <w:t>,</w:t>
            </w:r>
            <w:proofErr w:type="gramEnd"/>
            <w:r w:rsidRPr="693C9F63">
              <w:rPr>
                <w:sz w:val="20"/>
                <w:szCs w:val="20"/>
              </w:rPr>
              <w:t xml:space="preserve"> 1-6. 10.1080/00207454.2018.1446954</w:t>
            </w:r>
          </w:p>
          <w:p w14:paraId="09D94B75" w14:textId="7E94B92D" w:rsidR="2F12C45C" w:rsidRDefault="2F12C45C" w:rsidP="2F12C45C">
            <w:pPr>
              <w:ind w:left="720" w:hanging="720"/>
              <w:rPr>
                <w:sz w:val="20"/>
                <w:szCs w:val="20"/>
              </w:rPr>
            </w:pPr>
          </w:p>
        </w:tc>
        <w:tc>
          <w:tcPr>
            <w:tcW w:w="720" w:type="dxa"/>
          </w:tcPr>
          <w:p w14:paraId="3E2BCA52" w14:textId="149400A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190556B5" w14:textId="7B24007C"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Shaheen</w:t>
            </w:r>
            <w:proofErr w:type="spellEnd"/>
            <w:r w:rsidRPr="693C9F63">
              <w:rPr>
                <w:sz w:val="20"/>
                <w:szCs w:val="20"/>
              </w:rPr>
              <w:t xml:space="preserve"> et al., (2018) completed a longitudinal prospective case control study with 43 Egyptian patients diagnosed as Clinically Isolated Syndrome according to the 2010 McDonald criteria to study the contribution of vitamin D deficiency to conversion of CIS to clinically definite multiple sclerosis and the correlation of vitamin D level to cognitive and MRI results. The </w:t>
            </w:r>
            <w:r w:rsidR="009421C0" w:rsidRPr="693C9F63">
              <w:rPr>
                <w:sz w:val="20"/>
                <w:szCs w:val="20"/>
              </w:rPr>
              <w:t>participant’s</w:t>
            </w:r>
            <w:r w:rsidRPr="693C9F63">
              <w:rPr>
                <w:sz w:val="20"/>
                <w:szCs w:val="20"/>
              </w:rPr>
              <w:t xml:space="preserve"> clinical presentation, brain MRI, and 25-hydrocyvitamin D levels were evaluated at baseline and at one year </w:t>
            </w:r>
            <w:r w:rsidR="00285D7D" w:rsidRPr="693C9F63">
              <w:rPr>
                <w:sz w:val="20"/>
                <w:szCs w:val="20"/>
              </w:rPr>
              <w:t>follow up</w:t>
            </w:r>
            <w:r w:rsidRPr="693C9F63">
              <w:rPr>
                <w:sz w:val="20"/>
                <w:szCs w:val="20"/>
              </w:rPr>
              <w:t>.  They determined patients who converted from CIS to MS had a significantly lower vitamin D level in comparison to the non-</w:t>
            </w:r>
            <w:r w:rsidR="00285D7D" w:rsidRPr="693C9F63">
              <w:rPr>
                <w:sz w:val="20"/>
                <w:szCs w:val="20"/>
              </w:rPr>
              <w:t>converters</w:t>
            </w:r>
            <w:r w:rsidRPr="693C9F63">
              <w:rPr>
                <w:sz w:val="20"/>
                <w:szCs w:val="20"/>
              </w:rPr>
              <w:t xml:space="preserve">.  Multivariate logistic regression analysis demonstrated that CIS patients with lower vitamin D levels were at higher risk for early conversion to MS.  Their findings determined a significant positive correlation (r = 0.36, p = 0.02) between vitamin D </w:t>
            </w:r>
            <w:r w:rsidRPr="693C9F63">
              <w:rPr>
                <w:sz w:val="20"/>
                <w:szCs w:val="20"/>
              </w:rPr>
              <w:lastRenderedPageBreak/>
              <w:t>level and PASAT (Paced Auditory Serial Addition Test) and a significant negative correlation between vitamin D level and MRI T</w:t>
            </w:r>
            <w:r w:rsidRPr="693C9F63">
              <w:rPr>
                <w:sz w:val="20"/>
                <w:szCs w:val="20"/>
                <w:vertAlign w:val="subscript"/>
              </w:rPr>
              <w:t xml:space="preserve">2 </w:t>
            </w:r>
            <w:r w:rsidRPr="693C9F63">
              <w:rPr>
                <w:sz w:val="20"/>
                <w:szCs w:val="20"/>
              </w:rPr>
              <w:t>load significantly positively correlated and vitamin D level and MRI T</w:t>
            </w:r>
            <w:r w:rsidRPr="693C9F63">
              <w:rPr>
                <w:sz w:val="20"/>
                <w:szCs w:val="20"/>
                <w:vertAlign w:val="subscript"/>
              </w:rPr>
              <w:t xml:space="preserve">2 </w:t>
            </w:r>
            <w:r w:rsidRPr="693C9F63">
              <w:rPr>
                <w:sz w:val="20"/>
                <w:szCs w:val="20"/>
              </w:rPr>
              <w:t>load were significantly negatively correlated (r = -0.38, p = 0.01).</w:t>
            </w:r>
          </w:p>
        </w:tc>
        <w:tc>
          <w:tcPr>
            <w:tcW w:w="2153" w:type="dxa"/>
          </w:tcPr>
          <w:p w14:paraId="0069EE1F" w14:textId="7434E3D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The low level of 25-hydroxyvitamin D may predict early conversion to clinically definite MS.  Early vitamin D supplementation is recommended in patients with CIS.   </w:t>
            </w:r>
          </w:p>
        </w:tc>
        <w:tc>
          <w:tcPr>
            <w:tcW w:w="1332" w:type="dxa"/>
          </w:tcPr>
          <w:p w14:paraId="61FE97D9" w14:textId="11A22F3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Early vitamin D supplementation in patients with clinically isolated syndrome as low vitamin D could potentially be predictive of disease conversion to definitive MS.   </w:t>
            </w:r>
          </w:p>
        </w:tc>
      </w:tr>
      <w:tr w:rsidR="2F12C45C" w14:paraId="343E0231"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75F7C9E7" w14:textId="6B1585C3" w:rsidR="2F12C45C" w:rsidRDefault="693C9F63" w:rsidP="693C9F63">
            <w:pPr>
              <w:ind w:left="720" w:hanging="720"/>
              <w:rPr>
                <w:sz w:val="20"/>
                <w:szCs w:val="20"/>
              </w:rPr>
            </w:pPr>
            <w:proofErr w:type="spellStart"/>
            <w:r w:rsidRPr="693C9F63">
              <w:rPr>
                <w:sz w:val="20"/>
                <w:szCs w:val="20"/>
              </w:rPr>
              <w:lastRenderedPageBreak/>
              <w:t>Darwish</w:t>
            </w:r>
            <w:proofErr w:type="spellEnd"/>
            <w:r w:rsidRPr="693C9F63">
              <w:rPr>
                <w:sz w:val="20"/>
                <w:szCs w:val="20"/>
              </w:rPr>
              <w:t xml:space="preserve">, H., Haddad, R., Osman, S., </w:t>
            </w:r>
            <w:proofErr w:type="spellStart"/>
            <w:r w:rsidRPr="693C9F63">
              <w:rPr>
                <w:sz w:val="20"/>
                <w:szCs w:val="20"/>
              </w:rPr>
              <w:t>Ghassan</w:t>
            </w:r>
            <w:proofErr w:type="spellEnd"/>
            <w:r w:rsidRPr="693C9F63">
              <w:rPr>
                <w:sz w:val="20"/>
                <w:szCs w:val="20"/>
              </w:rPr>
              <w:t xml:space="preserve">, S., </w:t>
            </w:r>
            <w:proofErr w:type="spellStart"/>
            <w:r w:rsidRPr="693C9F63">
              <w:rPr>
                <w:sz w:val="20"/>
                <w:szCs w:val="20"/>
              </w:rPr>
              <w:t>Yamout</w:t>
            </w:r>
            <w:proofErr w:type="spellEnd"/>
            <w:r w:rsidRPr="693C9F63">
              <w:rPr>
                <w:sz w:val="20"/>
                <w:szCs w:val="20"/>
              </w:rPr>
              <w:t xml:space="preserve">, B., </w:t>
            </w:r>
            <w:proofErr w:type="spellStart"/>
            <w:r w:rsidRPr="693C9F63">
              <w:rPr>
                <w:sz w:val="20"/>
                <w:szCs w:val="20"/>
              </w:rPr>
              <w:t>Tamim</w:t>
            </w:r>
            <w:proofErr w:type="spellEnd"/>
            <w:r w:rsidRPr="693C9F63">
              <w:rPr>
                <w:sz w:val="20"/>
                <w:szCs w:val="20"/>
              </w:rPr>
              <w:t xml:space="preserve">, H., &amp; </w:t>
            </w:r>
            <w:proofErr w:type="spellStart"/>
            <w:r w:rsidRPr="693C9F63">
              <w:rPr>
                <w:sz w:val="20"/>
                <w:szCs w:val="20"/>
              </w:rPr>
              <w:t>Khoury</w:t>
            </w:r>
            <w:proofErr w:type="spellEnd"/>
            <w:r w:rsidRPr="693C9F63">
              <w:rPr>
                <w:sz w:val="20"/>
                <w:szCs w:val="20"/>
              </w:rPr>
              <w:t>, S. (2017). Effect of vitamin D replacement on cognition in multiple sclerosis patients.</w:t>
            </w:r>
            <w:r w:rsidRPr="693C9F63">
              <w:rPr>
                <w:i/>
                <w:iCs/>
                <w:sz w:val="20"/>
                <w:szCs w:val="20"/>
              </w:rPr>
              <w:t> Scientific Reports, 7</w:t>
            </w:r>
            <w:r w:rsidRPr="693C9F63">
              <w:rPr>
                <w:sz w:val="20"/>
                <w:szCs w:val="20"/>
              </w:rPr>
              <w:t>, 45926. 10.1038/srep45926</w:t>
            </w:r>
          </w:p>
          <w:p w14:paraId="1B3EDD5F" w14:textId="20286F55" w:rsidR="2F12C45C" w:rsidRDefault="2F12C45C" w:rsidP="2F12C45C">
            <w:pPr>
              <w:ind w:left="720" w:hanging="720"/>
              <w:rPr>
                <w:sz w:val="20"/>
                <w:szCs w:val="20"/>
              </w:rPr>
            </w:pPr>
          </w:p>
        </w:tc>
        <w:tc>
          <w:tcPr>
            <w:tcW w:w="720" w:type="dxa"/>
          </w:tcPr>
          <w:p w14:paraId="018E7B90" w14:textId="75315DC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080B6D79" w14:textId="20EF604C"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Darwish</w:t>
            </w:r>
            <w:proofErr w:type="spellEnd"/>
            <w:r w:rsidRPr="693C9F63">
              <w:rPr>
                <w:sz w:val="20"/>
                <w:szCs w:val="20"/>
              </w:rPr>
              <w:t xml:space="preserve"> et al., (2017) sought to evaluate cognitive performance in MS patients with deficient 25 (OH) D, </w:t>
            </w:r>
            <w:r w:rsidR="00285D7D" w:rsidRPr="693C9F63">
              <w:rPr>
                <w:sz w:val="20"/>
                <w:szCs w:val="20"/>
              </w:rPr>
              <w:t>defined</w:t>
            </w:r>
            <w:r w:rsidRPr="693C9F63">
              <w:rPr>
                <w:sz w:val="20"/>
                <w:szCs w:val="20"/>
              </w:rPr>
              <w:t xml:space="preserve"> as &lt;25 ng/ml, compared to patients with sufficient levels, defined as &gt;35 ng/ml) and to evaluate the change in cognitive performance after completing 3 months of oral vitamin D3 replacement.  The study consisted of eighty-eight MS patients with relapsing remitting and clinically isolated type of MS, older than 18 years old being treated with interferon beta as disease modifying therapy. Testing was completed at baseline and at 3 months; the </w:t>
            </w:r>
            <w:r w:rsidRPr="693C9F63">
              <w:rPr>
                <w:color w:val="222222"/>
                <w:sz w:val="20"/>
                <w:szCs w:val="20"/>
              </w:rPr>
              <w:t>Montreal Cognitive Assessment (</w:t>
            </w:r>
            <w:proofErr w:type="spellStart"/>
            <w:r w:rsidRPr="693C9F63">
              <w:rPr>
                <w:color w:val="222222"/>
                <w:sz w:val="20"/>
                <w:szCs w:val="20"/>
              </w:rPr>
              <w:t>MoCA</w:t>
            </w:r>
            <w:proofErr w:type="spellEnd"/>
            <w:r w:rsidRPr="693C9F63">
              <w:rPr>
                <w:color w:val="222222"/>
                <w:sz w:val="20"/>
                <w:szCs w:val="20"/>
              </w:rPr>
              <w:t xml:space="preserve">), </w:t>
            </w:r>
            <w:proofErr w:type="spellStart"/>
            <w:r w:rsidRPr="693C9F63">
              <w:rPr>
                <w:color w:val="222222"/>
                <w:sz w:val="20"/>
                <w:szCs w:val="20"/>
              </w:rPr>
              <w:t>Stroop</w:t>
            </w:r>
            <w:proofErr w:type="spellEnd"/>
            <w:r w:rsidRPr="693C9F63">
              <w:rPr>
                <w:color w:val="222222"/>
                <w:sz w:val="20"/>
                <w:szCs w:val="20"/>
              </w:rPr>
              <w:t xml:space="preserve">, Symbol Digit Modalities (SDMT) and Brief Visuospatial Memory Test (BVMT-R) were utilized for the cognitive testing and serum 25 (OH) D was measured for vitamin d level status.  </w:t>
            </w:r>
            <w:r w:rsidRPr="693C9F63">
              <w:rPr>
                <w:sz w:val="20"/>
                <w:szCs w:val="20"/>
              </w:rPr>
              <w:t xml:space="preserve">Of the eighty- eight participants 47 (53.4%) were 25 (OH) D sufficient and 41 (46.6%) were 25 (OH) D deficient at baseline, with mean </w:t>
            </w:r>
            <w:r w:rsidRPr="693C9F63">
              <w:rPr>
                <w:color w:val="222222"/>
                <w:sz w:val="20"/>
                <w:szCs w:val="20"/>
              </w:rPr>
              <w:t xml:space="preserve">25 (OH)D serum levels of 15.8 ± 6.5 ng/ml in the deficient group and 59.6 ± 24.5 ng/ml in the sufficient group (P &lt; 0.0001).  The 25 (OH) D levels increased to 49.0 ± 14.6 ng/ml (p &lt; 0.001 compared to baseline) and cognitive performance improved </w:t>
            </w:r>
            <w:r w:rsidRPr="693C9F63">
              <w:rPr>
                <w:color w:val="222222"/>
                <w:sz w:val="20"/>
                <w:szCs w:val="20"/>
              </w:rPr>
              <w:lastRenderedPageBreak/>
              <w:t xml:space="preserve">significantly on the BVMT delayed recall (p = 0.02) and the </w:t>
            </w:r>
            <w:proofErr w:type="spellStart"/>
            <w:r w:rsidRPr="693C9F63">
              <w:rPr>
                <w:color w:val="222222"/>
                <w:sz w:val="20"/>
                <w:szCs w:val="20"/>
              </w:rPr>
              <w:t>MoCA</w:t>
            </w:r>
            <w:proofErr w:type="spellEnd"/>
            <w:r w:rsidRPr="693C9F63">
              <w:rPr>
                <w:color w:val="222222"/>
                <w:sz w:val="20"/>
                <w:szCs w:val="20"/>
              </w:rPr>
              <w:t xml:space="preserve"> (p = 0.006) in the deficient group after three months of high dose vitamin D supplementation. After adjusting for all measured confounding variables</w:t>
            </w:r>
            <w:r w:rsidRPr="693C9F63">
              <w:rPr>
                <w:sz w:val="20"/>
                <w:szCs w:val="20"/>
              </w:rPr>
              <w:t xml:space="preserve"> </w:t>
            </w:r>
            <w:proofErr w:type="spellStart"/>
            <w:r w:rsidRPr="693C9F63">
              <w:rPr>
                <w:sz w:val="20"/>
                <w:szCs w:val="20"/>
              </w:rPr>
              <w:t>Darwish</w:t>
            </w:r>
            <w:proofErr w:type="spellEnd"/>
            <w:r w:rsidRPr="693C9F63">
              <w:rPr>
                <w:sz w:val="20"/>
                <w:szCs w:val="20"/>
              </w:rPr>
              <w:t xml:space="preserve"> et al., (2017), discovered </w:t>
            </w:r>
            <w:r w:rsidRPr="693C9F63">
              <w:rPr>
                <w:color w:val="222222"/>
                <w:sz w:val="20"/>
                <w:szCs w:val="20"/>
              </w:rPr>
              <w:t>sufficient serum 25 (OH)D level predicted better cognitive performance on the BVMT-DR at baseline (β: 1.74, p: &lt;0.008) and 3 months (β: 1.93, p: &lt;0.01).</w:t>
            </w:r>
          </w:p>
        </w:tc>
        <w:tc>
          <w:tcPr>
            <w:tcW w:w="2153" w:type="dxa"/>
          </w:tcPr>
          <w:p w14:paraId="3BB1340B" w14:textId="0719CA9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Vitamin D3 replacement could improve cognitive performance in MS patients and make a significant difference in the patient’s quality of life.</w:t>
            </w:r>
          </w:p>
          <w:p w14:paraId="4D9E976E" w14:textId="3B50F95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5F140157" w14:textId="3654E55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Low levels of Vitamin D have been linked with high levels of disability as well as cognitive impairment in MS</w:t>
            </w:r>
          </w:p>
          <w:p w14:paraId="0C8C6DBA" w14:textId="430542F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DBB3257" w14:textId="24F0FE9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High dose supplementation was given for three months to the Vitamin D deficient group (10,000 IU daily for 3 months).</w:t>
            </w:r>
          </w:p>
          <w:p w14:paraId="6B1B8DB0" w14:textId="35F50B7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67A95EEF"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7F3E2880" w14:textId="7FB36338" w:rsidR="2F12C45C" w:rsidRDefault="693C9F63" w:rsidP="693C9F63">
            <w:pPr>
              <w:ind w:left="720" w:hanging="720"/>
              <w:rPr>
                <w:sz w:val="20"/>
                <w:szCs w:val="20"/>
              </w:rPr>
            </w:pPr>
            <w:proofErr w:type="spellStart"/>
            <w:r w:rsidRPr="693C9F63">
              <w:rPr>
                <w:sz w:val="20"/>
                <w:szCs w:val="20"/>
              </w:rPr>
              <w:lastRenderedPageBreak/>
              <w:t>Sotirchos</w:t>
            </w:r>
            <w:proofErr w:type="spellEnd"/>
            <w:r w:rsidRPr="693C9F63">
              <w:rPr>
                <w:sz w:val="20"/>
                <w:szCs w:val="20"/>
              </w:rPr>
              <w:t xml:space="preserve">, E. S., Bhargava, P., Eckstein, C., Van </w:t>
            </w:r>
            <w:proofErr w:type="spellStart"/>
            <w:r w:rsidRPr="693C9F63">
              <w:rPr>
                <w:sz w:val="20"/>
                <w:szCs w:val="20"/>
              </w:rPr>
              <w:t>Haren</w:t>
            </w:r>
            <w:proofErr w:type="spellEnd"/>
            <w:r w:rsidRPr="693C9F63">
              <w:rPr>
                <w:sz w:val="20"/>
                <w:szCs w:val="20"/>
              </w:rPr>
              <w:t xml:space="preserve">, K., </w:t>
            </w:r>
            <w:proofErr w:type="spellStart"/>
            <w:r w:rsidRPr="693C9F63">
              <w:rPr>
                <w:sz w:val="20"/>
                <w:szCs w:val="20"/>
              </w:rPr>
              <w:t>Baynes</w:t>
            </w:r>
            <w:proofErr w:type="spellEnd"/>
            <w:r w:rsidRPr="693C9F63">
              <w:rPr>
                <w:sz w:val="20"/>
                <w:szCs w:val="20"/>
              </w:rPr>
              <w:t xml:space="preserve">, M., </w:t>
            </w:r>
            <w:proofErr w:type="spellStart"/>
            <w:r w:rsidRPr="693C9F63">
              <w:rPr>
                <w:sz w:val="20"/>
                <w:szCs w:val="20"/>
              </w:rPr>
              <w:t>Ntranos</w:t>
            </w:r>
            <w:proofErr w:type="spellEnd"/>
            <w:r w:rsidRPr="693C9F63">
              <w:rPr>
                <w:sz w:val="20"/>
                <w:szCs w:val="20"/>
              </w:rPr>
              <w:t>, A</w:t>
            </w:r>
            <w:proofErr w:type="gramStart"/>
            <w:r w:rsidRPr="693C9F63">
              <w:rPr>
                <w:sz w:val="20"/>
                <w:szCs w:val="20"/>
              </w:rPr>
              <w:t>., . . .</w:t>
            </w:r>
            <w:proofErr w:type="gramEnd"/>
            <w:r w:rsidRPr="693C9F63">
              <w:rPr>
                <w:sz w:val="20"/>
                <w:szCs w:val="20"/>
              </w:rPr>
              <w:t xml:space="preserve"> </w:t>
            </w:r>
            <w:proofErr w:type="spellStart"/>
            <w:r w:rsidRPr="693C9F63">
              <w:rPr>
                <w:sz w:val="20"/>
                <w:szCs w:val="20"/>
              </w:rPr>
              <w:t>Calabresi</w:t>
            </w:r>
            <w:proofErr w:type="spellEnd"/>
            <w:r w:rsidRPr="693C9F63">
              <w:rPr>
                <w:sz w:val="20"/>
                <w:szCs w:val="20"/>
              </w:rPr>
              <w:t xml:space="preserve">, P. A. (2016). Safety and immunologic effects of high- vs low-dose </w:t>
            </w:r>
            <w:proofErr w:type="spellStart"/>
            <w:r w:rsidRPr="693C9F63">
              <w:rPr>
                <w:sz w:val="20"/>
                <w:szCs w:val="20"/>
              </w:rPr>
              <w:t>cholecalciferol</w:t>
            </w:r>
            <w:proofErr w:type="spellEnd"/>
            <w:r w:rsidRPr="693C9F63">
              <w:rPr>
                <w:sz w:val="20"/>
                <w:szCs w:val="20"/>
              </w:rPr>
              <w:t xml:space="preserve"> in multiple sclerosis.</w:t>
            </w:r>
            <w:r w:rsidRPr="693C9F63">
              <w:rPr>
                <w:i/>
                <w:iCs/>
                <w:sz w:val="20"/>
                <w:szCs w:val="20"/>
              </w:rPr>
              <w:t> Neurology, 86</w:t>
            </w:r>
            <w:r w:rsidRPr="693C9F63">
              <w:rPr>
                <w:sz w:val="20"/>
                <w:szCs w:val="20"/>
              </w:rPr>
              <w:t>(4), 382-390. doi:10.1212/WNL.0000000000002316</w:t>
            </w:r>
          </w:p>
          <w:p w14:paraId="10895819" w14:textId="52B67884" w:rsidR="2F12C45C" w:rsidRDefault="2F12C45C" w:rsidP="2F12C45C">
            <w:pPr>
              <w:ind w:left="720" w:hanging="720"/>
              <w:rPr>
                <w:sz w:val="20"/>
                <w:szCs w:val="20"/>
              </w:rPr>
            </w:pPr>
          </w:p>
        </w:tc>
        <w:tc>
          <w:tcPr>
            <w:tcW w:w="720" w:type="dxa"/>
          </w:tcPr>
          <w:p w14:paraId="4BCC4FF0" w14:textId="3A7793B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w:t>
            </w:r>
          </w:p>
        </w:tc>
        <w:tc>
          <w:tcPr>
            <w:tcW w:w="2642" w:type="dxa"/>
          </w:tcPr>
          <w:p w14:paraId="24D077BA" w14:textId="4AA618EC"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Sotirchos</w:t>
            </w:r>
            <w:proofErr w:type="spellEnd"/>
            <w:r w:rsidRPr="693C9F63">
              <w:rPr>
                <w:sz w:val="20"/>
                <w:szCs w:val="20"/>
              </w:rPr>
              <w:t xml:space="preserve"> et al., (2016) executed a double-blind, single-center randomized pilot study, involving 40 patients with relapsing-remitting MS to examine the safety profile and characterize the immunologic effects of high- vs low-dose </w:t>
            </w:r>
            <w:proofErr w:type="spellStart"/>
            <w:r w:rsidRPr="693C9F63">
              <w:rPr>
                <w:sz w:val="20"/>
                <w:szCs w:val="20"/>
              </w:rPr>
              <w:t>cholecalciferol</w:t>
            </w:r>
            <w:proofErr w:type="spellEnd"/>
            <w:r w:rsidRPr="693C9F63">
              <w:rPr>
                <w:sz w:val="20"/>
                <w:szCs w:val="20"/>
              </w:rPr>
              <w:t xml:space="preserve"> supplementation in patients with multiple sclerosis. The participants were randomized to either receive 10,400 IU or 800 IU of </w:t>
            </w:r>
            <w:proofErr w:type="spellStart"/>
            <w:r w:rsidRPr="693C9F63">
              <w:rPr>
                <w:sz w:val="20"/>
                <w:szCs w:val="20"/>
              </w:rPr>
              <w:t>cholecalciferol</w:t>
            </w:r>
            <w:proofErr w:type="spellEnd"/>
            <w:r w:rsidRPr="693C9F63">
              <w:rPr>
                <w:sz w:val="20"/>
                <w:szCs w:val="20"/>
              </w:rPr>
              <w:t xml:space="preserve"> daily for 6 months.  Lab tests were completed at baseline and 3 and 6 months for evaluation of vitamin D and T cells.  </w:t>
            </w:r>
            <w:proofErr w:type="spellStart"/>
            <w:r w:rsidRPr="693C9F63">
              <w:rPr>
                <w:sz w:val="20"/>
                <w:szCs w:val="20"/>
              </w:rPr>
              <w:t>Sotirchos</w:t>
            </w:r>
            <w:proofErr w:type="spellEnd"/>
            <w:r w:rsidRPr="693C9F63">
              <w:rPr>
                <w:sz w:val="20"/>
                <w:szCs w:val="20"/>
              </w:rPr>
              <w:t xml:space="preserve"> et al., (2016) identified a larger increase in mean 25-hydroxyvitamin D levels from baseline to the 6 month visit in the high dose group (34.9 ng/mL; 95% confidence interval [CI] 25.0-44.7 ng/mL) in versus the low dose group (6.9 ng/mL; 95% CI 1.0-13.7 ng/mL).  </w:t>
            </w:r>
            <w:r w:rsidRPr="693C9F63">
              <w:rPr>
                <w:color w:val="333333"/>
                <w:sz w:val="20"/>
                <w:szCs w:val="20"/>
              </w:rPr>
              <w:t>Participants taking the high dose of vitamin D reached levels within the proposed target range of 40 to 60 ng/ml, whereas the group taking the low dose did not reach the proposed target.  Observed adverse side effects from the vitamin supplements were minor and did not differ between the groups.</w:t>
            </w:r>
            <w:r w:rsidRPr="693C9F63">
              <w:rPr>
                <w:sz w:val="20"/>
                <w:szCs w:val="20"/>
              </w:rPr>
              <w:t xml:space="preserve">  They recognized a reduction in </w:t>
            </w:r>
            <w:r w:rsidRPr="693C9F63">
              <w:rPr>
                <w:sz w:val="20"/>
                <w:szCs w:val="20"/>
              </w:rPr>
              <w:lastRenderedPageBreak/>
              <w:t>inflammatory T cells including interleukin-17(+) CD4(+) T cells (p=0.016), CD161(+) CD4 (+) T cells (p= 0.03), and effector memory CD4(+) T cells (p = 0.021) and an accompanying increase in the portion of central memory CD4(+) T cells (p = 0.018) and naïve CD4(+) T cells (p = 0.04) in the high dose group; which did not occur in the low dose group.</w:t>
            </w:r>
          </w:p>
        </w:tc>
        <w:tc>
          <w:tcPr>
            <w:tcW w:w="2153" w:type="dxa"/>
          </w:tcPr>
          <w:p w14:paraId="49E03634" w14:textId="021A7AF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2F12C45C">
              <w:rPr>
                <w:sz w:val="20"/>
                <w:szCs w:val="20"/>
              </w:rPr>
              <w:lastRenderedPageBreak/>
              <w:t>Cholecalciferol</w:t>
            </w:r>
            <w:proofErr w:type="spellEnd"/>
            <w:r w:rsidRPr="2F12C45C">
              <w:rPr>
                <w:sz w:val="20"/>
                <w:szCs w:val="20"/>
              </w:rPr>
              <w:t xml:space="preserve"> supplementation with 10,400 IU daily is safe and tolerable in patients with MS and exhibits in vivo pleiotropic </w:t>
            </w:r>
            <w:proofErr w:type="spellStart"/>
            <w:r w:rsidRPr="2F12C45C">
              <w:rPr>
                <w:sz w:val="20"/>
                <w:szCs w:val="20"/>
              </w:rPr>
              <w:t>immunomodulatory</w:t>
            </w:r>
            <w:proofErr w:type="spellEnd"/>
            <w:r w:rsidRPr="2F12C45C">
              <w:rPr>
                <w:sz w:val="20"/>
                <w:szCs w:val="20"/>
              </w:rPr>
              <w:t xml:space="preserve"> effects in MS, which include reduction of interleukin-17 production by CD4(+) T cells and decreased proportion of effector memory CD4(+) T cells with concomitant increase in central memory CD4(+) T cells and naïve CD4(+) T cells.</w:t>
            </w:r>
          </w:p>
        </w:tc>
        <w:tc>
          <w:tcPr>
            <w:tcW w:w="1332" w:type="dxa"/>
          </w:tcPr>
          <w:p w14:paraId="74EB3EE2" w14:textId="7ACB480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High dose of vitamin D3, such as 10,400 IU daily, is safe for MS patients</w:t>
            </w:r>
          </w:p>
          <w:p w14:paraId="0849A169" w14:textId="31E73742" w:rsidR="2F12C45C" w:rsidRDefault="2F12C45C" w:rsidP="2F12C45C">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4F11E6B" w14:textId="6FD3782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Immune dysfunction regulation is a possible benefit of high dose vitamin D3 supplementation in MS patients</w:t>
            </w:r>
          </w:p>
          <w:p w14:paraId="11C4CECD" w14:textId="11BD4A3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2678CD1" w14:textId="08B7DB2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Recommended target level of </w:t>
            </w:r>
            <w:r w:rsidRPr="2F12C45C">
              <w:rPr>
                <w:color w:val="333333"/>
                <w:sz w:val="20"/>
                <w:szCs w:val="20"/>
              </w:rPr>
              <w:t>40 to 60 ng/ml</w:t>
            </w:r>
          </w:p>
        </w:tc>
      </w:tr>
      <w:tr w:rsidR="2F12C45C" w14:paraId="32B45D03"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1501B21" w14:textId="48EF0CF6" w:rsidR="2F12C45C" w:rsidRDefault="693C9F63" w:rsidP="693C9F63">
            <w:pPr>
              <w:ind w:left="720" w:hanging="720"/>
              <w:rPr>
                <w:sz w:val="20"/>
                <w:szCs w:val="20"/>
              </w:rPr>
            </w:pPr>
            <w:r w:rsidRPr="693C9F63">
              <w:rPr>
                <w:sz w:val="20"/>
                <w:szCs w:val="20"/>
              </w:rPr>
              <w:lastRenderedPageBreak/>
              <w:t xml:space="preserve">Fitzgerald, K. C., </w:t>
            </w:r>
            <w:proofErr w:type="spellStart"/>
            <w:r w:rsidRPr="693C9F63">
              <w:rPr>
                <w:sz w:val="20"/>
                <w:szCs w:val="20"/>
              </w:rPr>
              <w:t>Munger</w:t>
            </w:r>
            <w:proofErr w:type="spellEnd"/>
            <w:r w:rsidRPr="693C9F63">
              <w:rPr>
                <w:sz w:val="20"/>
                <w:szCs w:val="20"/>
              </w:rPr>
              <w:t xml:space="preserve">, K. L., </w:t>
            </w:r>
            <w:proofErr w:type="spellStart"/>
            <w:r w:rsidRPr="693C9F63">
              <w:rPr>
                <w:sz w:val="20"/>
                <w:szCs w:val="20"/>
              </w:rPr>
              <w:t>Kochert</w:t>
            </w:r>
            <w:proofErr w:type="spellEnd"/>
            <w:r w:rsidRPr="693C9F63">
              <w:rPr>
                <w:sz w:val="20"/>
                <w:szCs w:val="20"/>
              </w:rPr>
              <w:t xml:space="preserve">, K., </w:t>
            </w:r>
            <w:proofErr w:type="spellStart"/>
            <w:r w:rsidRPr="693C9F63">
              <w:rPr>
                <w:sz w:val="20"/>
                <w:szCs w:val="20"/>
              </w:rPr>
              <w:t>Arnason</w:t>
            </w:r>
            <w:proofErr w:type="spellEnd"/>
            <w:r w:rsidRPr="693C9F63">
              <w:rPr>
                <w:sz w:val="20"/>
                <w:szCs w:val="20"/>
              </w:rPr>
              <w:t xml:space="preserve">, B. G., </w:t>
            </w:r>
            <w:proofErr w:type="spellStart"/>
            <w:r w:rsidRPr="693C9F63">
              <w:rPr>
                <w:sz w:val="20"/>
                <w:szCs w:val="20"/>
              </w:rPr>
              <w:t>Comi</w:t>
            </w:r>
            <w:proofErr w:type="spellEnd"/>
            <w:r w:rsidRPr="693C9F63">
              <w:rPr>
                <w:sz w:val="20"/>
                <w:szCs w:val="20"/>
              </w:rPr>
              <w:t xml:space="preserve">, G., Cook, S., . . . </w:t>
            </w:r>
            <w:proofErr w:type="spellStart"/>
            <w:r w:rsidRPr="693C9F63">
              <w:rPr>
                <w:sz w:val="20"/>
                <w:szCs w:val="20"/>
              </w:rPr>
              <w:t>Ascherio</w:t>
            </w:r>
            <w:proofErr w:type="spellEnd"/>
            <w:r w:rsidRPr="693C9F63">
              <w:rPr>
                <w:sz w:val="20"/>
                <w:szCs w:val="20"/>
              </w:rPr>
              <w:t>, A. (2015). Association of vitamin D levels with multiple sclerosis activity and progression in patients receiving interferon beta-1b.</w:t>
            </w:r>
            <w:r w:rsidRPr="693C9F63">
              <w:rPr>
                <w:i/>
                <w:iCs/>
                <w:sz w:val="20"/>
                <w:szCs w:val="20"/>
              </w:rPr>
              <w:t> JAMA Neurology, 72</w:t>
            </w:r>
            <w:r w:rsidRPr="693C9F63">
              <w:rPr>
                <w:sz w:val="20"/>
                <w:szCs w:val="20"/>
              </w:rPr>
              <w:t>(12), 1458-1465. 10.1001/jamaneurol.2015.2742</w:t>
            </w:r>
          </w:p>
          <w:p w14:paraId="27A0040C" w14:textId="7D717970" w:rsidR="2F12C45C" w:rsidRDefault="2F12C45C" w:rsidP="2F12C45C">
            <w:pPr>
              <w:ind w:left="720" w:hanging="720"/>
              <w:rPr>
                <w:sz w:val="20"/>
                <w:szCs w:val="20"/>
              </w:rPr>
            </w:pPr>
          </w:p>
        </w:tc>
        <w:tc>
          <w:tcPr>
            <w:tcW w:w="720" w:type="dxa"/>
          </w:tcPr>
          <w:p w14:paraId="268CDB37" w14:textId="06C08D3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457FB087" w14:textId="596C762F"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Fitzgerald et al., (2015) </w:t>
            </w:r>
            <w:r w:rsidRPr="693C9F63">
              <w:rPr>
                <w:color w:val="333333"/>
                <w:sz w:val="20"/>
                <w:szCs w:val="20"/>
              </w:rPr>
              <w:t xml:space="preserve">conducted a prospective cohort study in participants in the BEYOND study, a large, phase 3, prospective, multicenter, blinded, randomized clinical trial to assess the association between 25(OH)D and disease course and prognosis in patients with relapsing-remitting MS treated with interferon beta-1b.  The 2-year study included 1482 participants randomized to receive 250 </w:t>
            </w:r>
            <w:proofErr w:type="spellStart"/>
            <w:r w:rsidRPr="693C9F63">
              <w:rPr>
                <w:color w:val="333333"/>
                <w:sz w:val="20"/>
                <w:szCs w:val="20"/>
              </w:rPr>
              <w:t>μg</w:t>
            </w:r>
            <w:proofErr w:type="spellEnd"/>
            <w:r w:rsidRPr="693C9F63">
              <w:rPr>
                <w:color w:val="333333"/>
                <w:sz w:val="20"/>
                <w:szCs w:val="20"/>
              </w:rPr>
              <w:t xml:space="preserve"> or 500 </w:t>
            </w:r>
            <w:proofErr w:type="spellStart"/>
            <w:r w:rsidRPr="693C9F63">
              <w:rPr>
                <w:color w:val="333333"/>
                <w:sz w:val="20"/>
                <w:szCs w:val="20"/>
              </w:rPr>
              <w:t>μg</w:t>
            </w:r>
            <w:proofErr w:type="spellEnd"/>
            <w:r w:rsidRPr="693C9F63">
              <w:rPr>
                <w:color w:val="333333"/>
                <w:sz w:val="20"/>
                <w:szCs w:val="20"/>
              </w:rPr>
              <w:t xml:space="preserve"> of interferon-1b with at least 2 measurements of 25(OH</w:t>
            </w:r>
            <w:proofErr w:type="gramStart"/>
            <w:r w:rsidRPr="693C9F63">
              <w:rPr>
                <w:color w:val="333333"/>
                <w:sz w:val="20"/>
                <w:szCs w:val="20"/>
              </w:rPr>
              <w:t>)D</w:t>
            </w:r>
            <w:proofErr w:type="gramEnd"/>
            <w:r w:rsidRPr="693C9F63">
              <w:rPr>
                <w:color w:val="333333"/>
                <w:sz w:val="20"/>
                <w:szCs w:val="20"/>
              </w:rPr>
              <w:t xml:space="preserve"> obtained 6 months apart.  In addition, the participants had clinic visits every 3 months and completed MRI at baseline and annually thereafter.  Fitzgerald et al., (2015) found a significant inverse correlation between the average 25(OH)D levels and the cumulative number of new active lesions between baseline and the last MRI with a 50.0-nmol/L increase in serum 25(OH)D levels associated with a 31% lower rate of new lesions (RR, 0.69; 95% CI, 0.55-0.86; </w:t>
            </w:r>
            <w:r w:rsidRPr="693C9F63">
              <w:rPr>
                <w:i/>
                <w:iCs/>
                <w:color w:val="333333"/>
                <w:sz w:val="20"/>
                <w:szCs w:val="20"/>
              </w:rPr>
              <w:t>P</w:t>
            </w:r>
            <w:r w:rsidRPr="693C9F63">
              <w:rPr>
                <w:color w:val="333333"/>
                <w:sz w:val="20"/>
                <w:szCs w:val="20"/>
              </w:rPr>
              <w:t> = .001).  They observed patients with a 25(OH</w:t>
            </w:r>
            <w:proofErr w:type="gramStart"/>
            <w:r w:rsidRPr="693C9F63">
              <w:rPr>
                <w:color w:val="333333"/>
                <w:sz w:val="20"/>
                <w:szCs w:val="20"/>
              </w:rPr>
              <w:t>)D</w:t>
            </w:r>
            <w:proofErr w:type="gramEnd"/>
            <w:r w:rsidRPr="693C9F63">
              <w:rPr>
                <w:color w:val="333333"/>
                <w:sz w:val="20"/>
                <w:szCs w:val="20"/>
              </w:rPr>
              <w:t xml:space="preserve"> level greater than 100 </w:t>
            </w:r>
            <w:proofErr w:type="spellStart"/>
            <w:r w:rsidRPr="693C9F63">
              <w:rPr>
                <w:color w:val="333333"/>
                <w:sz w:val="20"/>
                <w:szCs w:val="20"/>
              </w:rPr>
              <w:t>nmol</w:t>
            </w:r>
            <w:proofErr w:type="spellEnd"/>
            <w:r w:rsidRPr="693C9F63">
              <w:rPr>
                <w:color w:val="333333"/>
                <w:sz w:val="20"/>
                <w:szCs w:val="20"/>
              </w:rPr>
              <w:t>/L had the lowest rate of new lesions (RR, 0.53; 95% CI, 0.37-0.78; </w:t>
            </w:r>
            <w:r w:rsidRPr="693C9F63">
              <w:rPr>
                <w:i/>
                <w:iCs/>
                <w:color w:val="333333"/>
                <w:sz w:val="20"/>
                <w:szCs w:val="20"/>
              </w:rPr>
              <w:t>P</w:t>
            </w:r>
            <w:r w:rsidRPr="693C9F63">
              <w:rPr>
                <w:color w:val="333333"/>
                <w:sz w:val="20"/>
                <w:szCs w:val="20"/>
              </w:rPr>
              <w:t> = .002).</w:t>
            </w:r>
          </w:p>
        </w:tc>
        <w:tc>
          <w:tcPr>
            <w:tcW w:w="2153" w:type="dxa"/>
          </w:tcPr>
          <w:p w14:paraId="7383D969" w14:textId="59A727E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Among patients with MS treated with interferon beta-1b higher 25(OH</w:t>
            </w:r>
            <w:proofErr w:type="gramStart"/>
            <w:r w:rsidRPr="2F12C45C">
              <w:rPr>
                <w:sz w:val="20"/>
                <w:szCs w:val="20"/>
              </w:rPr>
              <w:t>)D</w:t>
            </w:r>
            <w:proofErr w:type="gramEnd"/>
            <w:r w:rsidRPr="2F12C45C">
              <w:rPr>
                <w:sz w:val="20"/>
                <w:szCs w:val="20"/>
              </w:rPr>
              <w:t xml:space="preserve"> levels were associated with lower rates of MS activity observed on MRI.  Results for brain atrophy and clinical progression were more equivocal. </w:t>
            </w:r>
          </w:p>
          <w:p w14:paraId="6CA382B6" w14:textId="3F65082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18D0466" w14:textId="4394BD7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Their findings concluded adequate vitamin D status is an imperative determinant of MS activity both early in the disease course and thereafter.</w:t>
            </w:r>
          </w:p>
          <w:p w14:paraId="27875D2E" w14:textId="0C0A615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3F72B1A" w14:textId="7E5F81C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Target level &gt;75 ng/ml, and &gt;100 ng/ml is recommended.</w:t>
            </w:r>
          </w:p>
        </w:tc>
        <w:tc>
          <w:tcPr>
            <w:tcW w:w="1332" w:type="dxa"/>
          </w:tcPr>
          <w:p w14:paraId="6EC5E8B8" w14:textId="20A7FDA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New lesions on MRI were associated with low vitamin D levels.  </w:t>
            </w:r>
          </w:p>
          <w:p w14:paraId="24EB4CE5" w14:textId="0987257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D4946E1" w14:textId="7DB20DA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Lowest rate of new lesions was associated with level greater than 100nmol/L (40ng/mL).</w:t>
            </w:r>
          </w:p>
          <w:p w14:paraId="5FAC4D53" w14:textId="771FC0A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0C46059" w14:textId="0C5AD66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Target level &gt;75 (30 ng/mL) and &gt;100 </w:t>
            </w:r>
            <w:proofErr w:type="spellStart"/>
            <w:r w:rsidRPr="2F12C45C">
              <w:rPr>
                <w:sz w:val="20"/>
                <w:szCs w:val="20"/>
              </w:rPr>
              <w:t>nmol</w:t>
            </w:r>
            <w:proofErr w:type="spellEnd"/>
            <w:r w:rsidRPr="2F12C45C">
              <w:rPr>
                <w:sz w:val="20"/>
                <w:szCs w:val="20"/>
              </w:rPr>
              <w:t>/mL (40ng/mL) recommended.</w:t>
            </w:r>
          </w:p>
        </w:tc>
      </w:tr>
      <w:tr w:rsidR="2F12C45C" w14:paraId="526AD1FC"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3D0C5100" w14:textId="362EAA7E" w:rsidR="2F12C45C" w:rsidRDefault="693C9F63" w:rsidP="693C9F63">
            <w:pPr>
              <w:ind w:left="720" w:hanging="720"/>
              <w:rPr>
                <w:sz w:val="20"/>
                <w:szCs w:val="20"/>
              </w:rPr>
            </w:pPr>
            <w:r w:rsidRPr="693C9F63">
              <w:rPr>
                <w:sz w:val="20"/>
                <w:szCs w:val="20"/>
              </w:rPr>
              <w:lastRenderedPageBreak/>
              <w:t>Cleveland Clinic. (</w:t>
            </w:r>
            <w:proofErr w:type="spellStart"/>
            <w:r w:rsidRPr="693C9F63">
              <w:rPr>
                <w:sz w:val="20"/>
                <w:szCs w:val="20"/>
              </w:rPr>
              <w:t>n.d.</w:t>
            </w:r>
            <w:proofErr w:type="spellEnd"/>
            <w:r w:rsidRPr="693C9F63">
              <w:rPr>
                <w:sz w:val="20"/>
                <w:szCs w:val="20"/>
              </w:rPr>
              <w:t xml:space="preserve">).  </w:t>
            </w:r>
            <w:proofErr w:type="spellStart"/>
            <w:r w:rsidRPr="693C9F63">
              <w:rPr>
                <w:i/>
                <w:iCs/>
                <w:sz w:val="20"/>
                <w:szCs w:val="20"/>
              </w:rPr>
              <w:t>Mellen</w:t>
            </w:r>
            <w:proofErr w:type="spellEnd"/>
            <w:r w:rsidRPr="693C9F63">
              <w:rPr>
                <w:i/>
                <w:iCs/>
                <w:sz w:val="20"/>
                <w:szCs w:val="20"/>
              </w:rPr>
              <w:t xml:space="preserve"> Center Approaches: Multiple Sclerosis and Vitamin D</w:t>
            </w:r>
            <w:r w:rsidRPr="693C9F63">
              <w:rPr>
                <w:sz w:val="20"/>
                <w:szCs w:val="20"/>
              </w:rPr>
              <w:t xml:space="preserve"> [Fact sheet].  Retrieved from </w:t>
            </w:r>
            <w:hyperlink r:id="rId30">
              <w:r w:rsidRPr="693C9F63">
                <w:rPr>
                  <w:rStyle w:val="Hyperlink"/>
                  <w:sz w:val="20"/>
                  <w:szCs w:val="20"/>
                </w:rPr>
                <w:t>https://my.clevelandclinic.org/-/scassets/files/org/neurological/multiple-sclerosis/13-neu-545-vitamin-d-fact-sheet.ashx?la=en</w:t>
              </w:r>
            </w:hyperlink>
          </w:p>
          <w:p w14:paraId="14E057EF" w14:textId="5754A013" w:rsidR="2F12C45C" w:rsidRDefault="2F12C45C" w:rsidP="2F12C45C">
            <w:pPr>
              <w:ind w:left="720" w:hanging="720"/>
              <w:rPr>
                <w:sz w:val="20"/>
                <w:szCs w:val="20"/>
              </w:rPr>
            </w:pPr>
            <w:r w:rsidRPr="2F12C45C">
              <w:rPr>
                <w:sz w:val="20"/>
                <w:szCs w:val="20"/>
              </w:rPr>
              <w:t xml:space="preserve"> </w:t>
            </w:r>
          </w:p>
        </w:tc>
        <w:tc>
          <w:tcPr>
            <w:tcW w:w="720" w:type="dxa"/>
          </w:tcPr>
          <w:p w14:paraId="0F151DEE" w14:textId="1468286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00F4EBA1" w14:textId="0A6D99B1"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According to</w:t>
            </w:r>
            <w:r w:rsidRPr="693C9F63">
              <w:rPr>
                <w:b/>
                <w:bCs/>
                <w:i/>
                <w:iCs/>
                <w:sz w:val="20"/>
                <w:szCs w:val="20"/>
              </w:rPr>
              <w:t xml:space="preserve"> </w:t>
            </w:r>
            <w:r w:rsidRPr="693C9F63">
              <w:rPr>
                <w:sz w:val="20"/>
                <w:szCs w:val="20"/>
              </w:rPr>
              <w:t>Cleveland Clinic, (</w:t>
            </w:r>
            <w:proofErr w:type="spellStart"/>
            <w:r w:rsidRPr="693C9F63">
              <w:rPr>
                <w:sz w:val="20"/>
                <w:szCs w:val="20"/>
              </w:rPr>
              <w:t>n.d.</w:t>
            </w:r>
            <w:proofErr w:type="spellEnd"/>
            <w:r w:rsidRPr="693C9F63">
              <w:rPr>
                <w:sz w:val="20"/>
                <w:szCs w:val="20"/>
              </w:rPr>
              <w:t xml:space="preserve">), determining vitamin D status through vitamin D testing is important for evaluation of levels for sufficiency, determining the effects of supplementation, and to aid in guidance of recommended supplementation dosing.  A serum 25- OH D (Vitamin D 25 </w:t>
            </w:r>
            <w:proofErr w:type="spellStart"/>
            <w:r w:rsidRPr="693C9F63">
              <w:rPr>
                <w:sz w:val="20"/>
                <w:szCs w:val="20"/>
              </w:rPr>
              <w:t>hyroxy</w:t>
            </w:r>
            <w:proofErr w:type="spellEnd"/>
            <w:r w:rsidRPr="693C9F63">
              <w:rPr>
                <w:sz w:val="20"/>
                <w:szCs w:val="20"/>
              </w:rPr>
              <w:t xml:space="preserve">) level is the current laboratory test recommended for determining vitamin D status given its longer half-life and inability to be affected by parathyroid levels (Cleveland Clinic., </w:t>
            </w:r>
            <w:proofErr w:type="spellStart"/>
            <w:r w:rsidRPr="693C9F63">
              <w:rPr>
                <w:sz w:val="20"/>
                <w:szCs w:val="20"/>
              </w:rPr>
              <w:t>n.d.</w:t>
            </w:r>
            <w:proofErr w:type="spellEnd"/>
            <w:r w:rsidRPr="693C9F63">
              <w:rPr>
                <w:sz w:val="20"/>
                <w:szCs w:val="20"/>
              </w:rPr>
              <w:t xml:space="preserve">).  As response to oral vitamin D supplementation can vary routine re-evaluation of serum 25- OH D levels is necessary (Cleveland Clinic., </w:t>
            </w:r>
            <w:proofErr w:type="spellStart"/>
            <w:r w:rsidRPr="693C9F63">
              <w:rPr>
                <w:sz w:val="20"/>
                <w:szCs w:val="20"/>
              </w:rPr>
              <w:t>n.d.</w:t>
            </w:r>
            <w:proofErr w:type="spellEnd"/>
            <w:r w:rsidRPr="693C9F63">
              <w:rPr>
                <w:sz w:val="20"/>
                <w:szCs w:val="20"/>
              </w:rPr>
              <w:t xml:space="preserve">).   </w:t>
            </w:r>
          </w:p>
        </w:tc>
        <w:tc>
          <w:tcPr>
            <w:tcW w:w="2153" w:type="dxa"/>
          </w:tcPr>
          <w:p w14:paraId="7F3EB87B" w14:textId="4E3969A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testing is important to determine vitamin D status.</w:t>
            </w:r>
          </w:p>
          <w:p w14:paraId="2DBC2219" w14:textId="5D745307"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Routine re-evaluation of levels is necessary as response to oral vitamin D supplementation can vary.  The current recommendation is to order a serum 25- OH D (</w:t>
            </w:r>
            <w:proofErr w:type="spellStart"/>
            <w:r w:rsidRPr="693C9F63">
              <w:rPr>
                <w:sz w:val="20"/>
                <w:szCs w:val="20"/>
              </w:rPr>
              <w:t>Vit</w:t>
            </w:r>
            <w:proofErr w:type="spellEnd"/>
            <w:r w:rsidRPr="693C9F63">
              <w:rPr>
                <w:sz w:val="20"/>
                <w:szCs w:val="20"/>
              </w:rPr>
              <w:t xml:space="preserve"> D 25 </w:t>
            </w:r>
            <w:proofErr w:type="spellStart"/>
            <w:r w:rsidRPr="693C9F63">
              <w:rPr>
                <w:sz w:val="20"/>
                <w:szCs w:val="20"/>
              </w:rPr>
              <w:t>hydroyx</w:t>
            </w:r>
            <w:proofErr w:type="spellEnd"/>
            <w:r w:rsidRPr="693C9F63">
              <w:rPr>
                <w:sz w:val="20"/>
                <w:szCs w:val="20"/>
              </w:rPr>
              <w:t xml:space="preserve">) level, due to its longer </w:t>
            </w:r>
            <w:proofErr w:type="spellStart"/>
            <w:r w:rsidRPr="693C9F63">
              <w:rPr>
                <w:sz w:val="20"/>
                <w:szCs w:val="20"/>
              </w:rPr>
              <w:t>half life</w:t>
            </w:r>
            <w:proofErr w:type="spellEnd"/>
            <w:r w:rsidRPr="693C9F63">
              <w:rPr>
                <w:sz w:val="20"/>
                <w:szCs w:val="20"/>
              </w:rPr>
              <w:t xml:space="preserve"> and being unaffected by parathyroid levels.</w:t>
            </w:r>
          </w:p>
        </w:tc>
        <w:tc>
          <w:tcPr>
            <w:tcW w:w="1332" w:type="dxa"/>
          </w:tcPr>
          <w:p w14:paraId="7EECBAAD" w14:textId="67ED416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Use vitamin D testing (specifically serum 25 – OH D / Vitamin D 25 </w:t>
            </w:r>
            <w:proofErr w:type="spellStart"/>
            <w:r w:rsidRPr="2F12C45C">
              <w:rPr>
                <w:sz w:val="20"/>
                <w:szCs w:val="20"/>
              </w:rPr>
              <w:t>hydroxy</w:t>
            </w:r>
            <w:proofErr w:type="spellEnd"/>
            <w:r w:rsidRPr="2F12C45C">
              <w:rPr>
                <w:sz w:val="20"/>
                <w:szCs w:val="20"/>
              </w:rPr>
              <w:t xml:space="preserve"> level) to determine vitamin D status sufficiency, the effects of supplementation, and to aid in recommended supplementation dosing.</w:t>
            </w:r>
          </w:p>
        </w:tc>
      </w:tr>
      <w:tr w:rsidR="2F12C45C" w14:paraId="5CC4F691"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9368D0C" w14:textId="4B75A527" w:rsidR="2F12C45C" w:rsidRDefault="2F12C45C" w:rsidP="2F12C45C">
            <w:pPr>
              <w:ind w:left="720" w:hanging="720"/>
              <w:rPr>
                <w:sz w:val="20"/>
                <w:szCs w:val="20"/>
              </w:rPr>
            </w:pPr>
            <w:r w:rsidRPr="2F12C45C">
              <w:rPr>
                <w:sz w:val="20"/>
                <w:szCs w:val="20"/>
              </w:rPr>
              <w:t>Jones, E., Pike, J., Marshall, T., &amp; Ye, X. (2016). Quantifying the relationship between increased disability and health care resource utilization, quality of life, work productivity, health care costs in patients with multiple sclerosis in the US.</w:t>
            </w:r>
            <w:r w:rsidRPr="2F12C45C">
              <w:rPr>
                <w:i/>
                <w:iCs/>
                <w:sz w:val="20"/>
                <w:szCs w:val="20"/>
              </w:rPr>
              <w:t> BMC Health Services Research, 16</w:t>
            </w:r>
            <w:r w:rsidRPr="2F12C45C">
              <w:rPr>
                <w:sz w:val="20"/>
                <w:szCs w:val="20"/>
              </w:rPr>
              <w:t>, 294-016-1532-1. doi:10.1186/s12913-016-1532-1</w:t>
            </w:r>
          </w:p>
          <w:p w14:paraId="385072E9" w14:textId="5FC9BC01" w:rsidR="2F12C45C" w:rsidRDefault="2F12C45C" w:rsidP="2F12C45C">
            <w:pPr>
              <w:ind w:left="720" w:hanging="720"/>
              <w:rPr>
                <w:sz w:val="20"/>
                <w:szCs w:val="20"/>
              </w:rPr>
            </w:pPr>
          </w:p>
        </w:tc>
        <w:tc>
          <w:tcPr>
            <w:tcW w:w="720" w:type="dxa"/>
          </w:tcPr>
          <w:p w14:paraId="5040BA54" w14:textId="150AFEB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w:t>
            </w:r>
          </w:p>
        </w:tc>
        <w:tc>
          <w:tcPr>
            <w:tcW w:w="2642" w:type="dxa"/>
          </w:tcPr>
          <w:p w14:paraId="3B171531" w14:textId="31A09959"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Jones, E et al (2016) discovered patients with higher disability scores (EDSS 3-5 and &gt;5 vs &lt;3 points) and current relapse (vs no current relapse) reported significantly greater health resource utilization for physician visits (p &lt; 0.05) and hospitalizations (p &lt; 0.05) in the previous 12 months.  Additionally, they had poorer </w:t>
            </w:r>
            <w:proofErr w:type="spellStart"/>
            <w:r w:rsidRPr="693C9F63">
              <w:rPr>
                <w:sz w:val="20"/>
                <w:szCs w:val="20"/>
              </w:rPr>
              <w:t>HRQoL</w:t>
            </w:r>
            <w:proofErr w:type="spellEnd"/>
            <w:r w:rsidRPr="693C9F63">
              <w:rPr>
                <w:sz w:val="20"/>
                <w:szCs w:val="20"/>
              </w:rPr>
              <w:t xml:space="preserve"> (p &lt; 0.05), were significantly more likely to be unemployed (p &lt; 0.05), and to have had to stop working due to MS (p &lt; 0.05) (Jones, E et al, 2016).  Furthermore, they incurred considerably higher health care related costs, including costs for physician consultations, hospitalizations and therapy (p &lt; 0.05) with resulting total costs of care of  $51,825, $57,889 and $67,116 for EDSS &lt; 3, EDSS 3-5 and EDSS &gt; 5 groups and $51,692 and $58,648 for non-relapse and relapse groups</w:t>
            </w:r>
          </w:p>
        </w:tc>
        <w:tc>
          <w:tcPr>
            <w:tcW w:w="2153" w:type="dxa"/>
          </w:tcPr>
          <w:p w14:paraId="479E12D0" w14:textId="2D8E5ABF"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Patients with higher disability scores and current relapse had significantly greater health resource utilization for physician and hospitalizations</w:t>
            </w:r>
            <w:proofErr w:type="gramStart"/>
            <w:r w:rsidRPr="693C9F63">
              <w:rPr>
                <w:sz w:val="20"/>
                <w:szCs w:val="20"/>
              </w:rPr>
              <w:t>,  poorer</w:t>
            </w:r>
            <w:proofErr w:type="gramEnd"/>
            <w:r w:rsidRPr="693C9F63">
              <w:rPr>
                <w:sz w:val="20"/>
                <w:szCs w:val="20"/>
              </w:rPr>
              <w:t xml:space="preserve"> </w:t>
            </w:r>
            <w:proofErr w:type="spellStart"/>
            <w:r w:rsidRPr="693C9F63">
              <w:rPr>
                <w:sz w:val="20"/>
                <w:szCs w:val="20"/>
              </w:rPr>
              <w:t>HRQoL</w:t>
            </w:r>
            <w:proofErr w:type="spellEnd"/>
            <w:r w:rsidRPr="693C9F63">
              <w:rPr>
                <w:sz w:val="20"/>
                <w:szCs w:val="20"/>
              </w:rPr>
              <w:t>, were significantly more likely to be unemployed, to have had to stop working due to MS and incurred considerably higher health care related costs, including costs for physician consultations, hospitalizations and therapy.</w:t>
            </w:r>
          </w:p>
        </w:tc>
        <w:tc>
          <w:tcPr>
            <w:tcW w:w="1332" w:type="dxa"/>
          </w:tcPr>
          <w:p w14:paraId="5BA1001D" w14:textId="23C51B0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Slowing down progression and delaying disability through methods such as ensuring adequate vitamin D levels is necessary for optimal patient quality, health and costs.  </w:t>
            </w:r>
          </w:p>
        </w:tc>
      </w:tr>
      <w:tr w:rsidR="2F12C45C" w14:paraId="71ADBCAF"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908F08A" w14:textId="1536F79C" w:rsidR="2F12C45C" w:rsidRDefault="693C9F63" w:rsidP="693C9F63">
            <w:pPr>
              <w:spacing w:beforeAutospacing="1" w:afterAutospacing="1"/>
              <w:ind w:left="720" w:hanging="720"/>
              <w:rPr>
                <w:sz w:val="20"/>
                <w:szCs w:val="20"/>
              </w:rPr>
            </w:pPr>
            <w:proofErr w:type="spellStart"/>
            <w:r w:rsidRPr="693C9F63">
              <w:rPr>
                <w:sz w:val="20"/>
                <w:szCs w:val="20"/>
              </w:rPr>
              <w:lastRenderedPageBreak/>
              <w:t>Pandit</w:t>
            </w:r>
            <w:proofErr w:type="spellEnd"/>
            <w:r w:rsidRPr="693C9F63">
              <w:rPr>
                <w:sz w:val="20"/>
                <w:szCs w:val="20"/>
              </w:rPr>
              <w:t xml:space="preserve">, L., </w:t>
            </w:r>
            <w:proofErr w:type="spellStart"/>
            <w:r w:rsidRPr="693C9F63">
              <w:rPr>
                <w:sz w:val="20"/>
                <w:szCs w:val="20"/>
              </w:rPr>
              <w:t>Ramagopalan</w:t>
            </w:r>
            <w:proofErr w:type="spellEnd"/>
            <w:r w:rsidRPr="693C9F63">
              <w:rPr>
                <w:sz w:val="20"/>
                <w:szCs w:val="20"/>
              </w:rPr>
              <w:t xml:space="preserve">, S. V., </w:t>
            </w:r>
            <w:proofErr w:type="spellStart"/>
            <w:r w:rsidRPr="693C9F63">
              <w:rPr>
                <w:sz w:val="20"/>
                <w:szCs w:val="20"/>
              </w:rPr>
              <w:t>Malli</w:t>
            </w:r>
            <w:proofErr w:type="spellEnd"/>
            <w:r w:rsidRPr="693C9F63">
              <w:rPr>
                <w:sz w:val="20"/>
                <w:szCs w:val="20"/>
              </w:rPr>
              <w:t xml:space="preserve">, C., </w:t>
            </w:r>
            <w:proofErr w:type="spellStart"/>
            <w:r w:rsidRPr="693C9F63">
              <w:rPr>
                <w:sz w:val="20"/>
                <w:szCs w:val="20"/>
              </w:rPr>
              <w:t>D'Cunha</w:t>
            </w:r>
            <w:proofErr w:type="spellEnd"/>
            <w:r w:rsidRPr="693C9F63">
              <w:rPr>
                <w:sz w:val="20"/>
                <w:szCs w:val="20"/>
              </w:rPr>
              <w:t xml:space="preserve">, A., </w:t>
            </w:r>
            <w:proofErr w:type="spellStart"/>
            <w:r w:rsidRPr="693C9F63">
              <w:rPr>
                <w:sz w:val="20"/>
                <w:szCs w:val="20"/>
              </w:rPr>
              <w:t>Kunder</w:t>
            </w:r>
            <w:proofErr w:type="spellEnd"/>
            <w:r w:rsidRPr="693C9F63">
              <w:rPr>
                <w:sz w:val="20"/>
                <w:szCs w:val="20"/>
              </w:rPr>
              <w:t xml:space="preserve">, R., &amp; Shetty, R. (2013). Association of vitamin D and multiple sclerosis in </w:t>
            </w:r>
            <w:proofErr w:type="spellStart"/>
            <w:r w:rsidRPr="693C9F63">
              <w:rPr>
                <w:sz w:val="20"/>
                <w:szCs w:val="20"/>
              </w:rPr>
              <w:t>india</w:t>
            </w:r>
            <w:proofErr w:type="spellEnd"/>
            <w:r w:rsidRPr="693C9F63">
              <w:rPr>
                <w:sz w:val="20"/>
                <w:szCs w:val="20"/>
              </w:rPr>
              <w:t>.</w:t>
            </w:r>
            <w:r w:rsidRPr="693C9F63">
              <w:rPr>
                <w:i/>
                <w:iCs/>
                <w:sz w:val="20"/>
                <w:szCs w:val="20"/>
              </w:rPr>
              <w:t> Multiple Sclerosis (</w:t>
            </w:r>
            <w:proofErr w:type="spellStart"/>
            <w:r w:rsidRPr="693C9F63">
              <w:rPr>
                <w:i/>
                <w:iCs/>
                <w:sz w:val="20"/>
                <w:szCs w:val="20"/>
              </w:rPr>
              <w:t>Houndmills</w:t>
            </w:r>
            <w:proofErr w:type="spellEnd"/>
            <w:r w:rsidRPr="693C9F63">
              <w:rPr>
                <w:i/>
                <w:iCs/>
                <w:sz w:val="20"/>
                <w:szCs w:val="20"/>
              </w:rPr>
              <w:t>, Basingstoke, England), 19</w:t>
            </w:r>
            <w:r w:rsidRPr="693C9F63">
              <w:rPr>
                <w:sz w:val="20"/>
                <w:szCs w:val="20"/>
              </w:rPr>
              <w:t>(12), 1592-1596. doi:10.1177/1352458513482375</w:t>
            </w:r>
          </w:p>
          <w:p w14:paraId="183575D1" w14:textId="139AE80C" w:rsidR="2F12C45C" w:rsidRDefault="2F12C45C" w:rsidP="2F12C45C">
            <w:pPr>
              <w:ind w:left="720" w:hanging="720"/>
              <w:rPr>
                <w:sz w:val="20"/>
                <w:szCs w:val="20"/>
              </w:rPr>
            </w:pPr>
          </w:p>
        </w:tc>
        <w:tc>
          <w:tcPr>
            <w:tcW w:w="720" w:type="dxa"/>
          </w:tcPr>
          <w:p w14:paraId="3B3F8CD6" w14:textId="79D81B9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Level IV </w:t>
            </w:r>
          </w:p>
        </w:tc>
        <w:tc>
          <w:tcPr>
            <w:tcW w:w="2642" w:type="dxa"/>
          </w:tcPr>
          <w:p w14:paraId="32C193D7" w14:textId="5919158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110 MS patients and 108 matched controls were included. Serum 25-hydroxyvitamin D (25(OH</w:t>
            </w:r>
            <w:proofErr w:type="gramStart"/>
            <w:r w:rsidRPr="2F12C45C">
              <w:rPr>
                <w:sz w:val="20"/>
                <w:szCs w:val="20"/>
              </w:rPr>
              <w:t>)D</w:t>
            </w:r>
            <w:proofErr w:type="gramEnd"/>
            <w:r w:rsidRPr="2F12C45C">
              <w:rPr>
                <w:sz w:val="20"/>
                <w:szCs w:val="20"/>
              </w:rPr>
              <w:t>) was measured in 63 patients in relapse, 77 patients in remission and all controls. Quantity of sun exposure in childhood and body mass index (BMI) were calculated. Patients and controls were genotyped for HLA-DRB1*1501.</w:t>
            </w:r>
          </w:p>
          <w:p w14:paraId="4DEE7171" w14:textId="4CCC7C3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CABD0F7" w14:textId="5A7C7BD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BEDCC0B" w14:textId="382F437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08090076" w14:textId="4D109B9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Patients had significantly lower 25(OH)D levels than matched controls (p = 0.003), and patients in relapse had a significantly lower vitamin D level as compared to those in remission (p = 0.001). Vitamin D deficiency (&lt; 50 </w:t>
            </w:r>
            <w:proofErr w:type="spellStart"/>
            <w:r w:rsidRPr="2F12C45C">
              <w:rPr>
                <w:sz w:val="20"/>
                <w:szCs w:val="20"/>
              </w:rPr>
              <w:t>nmol</w:t>
            </w:r>
            <w:proofErr w:type="spellEnd"/>
            <w:r w:rsidRPr="2F12C45C">
              <w:rPr>
                <w:sz w:val="20"/>
                <w:szCs w:val="20"/>
              </w:rPr>
              <w:t xml:space="preserve">/l) was seen in a higher proportion of cases (71.8%) than controls (53.7%) (p = 0.01). Higher quartiles of vitamin D (&gt; 58 </w:t>
            </w:r>
            <w:proofErr w:type="spellStart"/>
            <w:r w:rsidRPr="2F12C45C">
              <w:rPr>
                <w:sz w:val="20"/>
                <w:szCs w:val="20"/>
              </w:rPr>
              <w:t>nmol</w:t>
            </w:r>
            <w:proofErr w:type="spellEnd"/>
            <w:r w:rsidRPr="2F12C45C">
              <w:rPr>
                <w:sz w:val="20"/>
                <w:szCs w:val="20"/>
              </w:rPr>
              <w:t>/l) showed an inverse relationship with MS (OR = 0.28, CI = 0.11-0.68, p= 0.005). This effect persisted after adjusting for sun exposure.</w:t>
            </w:r>
          </w:p>
          <w:p w14:paraId="2E730DB2" w14:textId="35D3631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7C489F61" w14:textId="7750F33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Serum 25(OH</w:t>
            </w:r>
            <w:proofErr w:type="gramStart"/>
            <w:r w:rsidRPr="2F12C45C">
              <w:rPr>
                <w:sz w:val="20"/>
                <w:szCs w:val="20"/>
              </w:rPr>
              <w:t>)D</w:t>
            </w:r>
            <w:proofErr w:type="gramEnd"/>
            <w:r w:rsidRPr="2F12C45C">
              <w:rPr>
                <w:sz w:val="20"/>
                <w:szCs w:val="20"/>
              </w:rPr>
              <w:t xml:space="preserve"> shows an inverse relationship with MS in the Indian population. </w:t>
            </w:r>
          </w:p>
          <w:p w14:paraId="1138B37F" w14:textId="2F4ECE8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251A6A20"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66F0EFA9" w14:textId="426E6D8B" w:rsidR="2F12C45C" w:rsidRDefault="693C9F63" w:rsidP="693C9F63">
            <w:pPr>
              <w:ind w:left="720" w:hanging="720"/>
              <w:rPr>
                <w:sz w:val="20"/>
                <w:szCs w:val="20"/>
              </w:rPr>
            </w:pPr>
            <w:r w:rsidRPr="693C9F63">
              <w:rPr>
                <w:sz w:val="20"/>
                <w:szCs w:val="20"/>
              </w:rPr>
              <w:t xml:space="preserve">Herrmann, M., Farrell, C. L., </w:t>
            </w:r>
            <w:proofErr w:type="spellStart"/>
            <w:r w:rsidRPr="693C9F63">
              <w:rPr>
                <w:sz w:val="20"/>
                <w:szCs w:val="20"/>
              </w:rPr>
              <w:t>Pusceddu</w:t>
            </w:r>
            <w:proofErr w:type="spellEnd"/>
            <w:r w:rsidRPr="693C9F63">
              <w:rPr>
                <w:sz w:val="20"/>
                <w:szCs w:val="20"/>
              </w:rPr>
              <w:t xml:space="preserve">, I., </w:t>
            </w:r>
            <w:proofErr w:type="spellStart"/>
            <w:r w:rsidRPr="693C9F63">
              <w:rPr>
                <w:sz w:val="20"/>
                <w:szCs w:val="20"/>
              </w:rPr>
              <w:t>Fabregat</w:t>
            </w:r>
            <w:proofErr w:type="spellEnd"/>
            <w:r w:rsidRPr="693C9F63">
              <w:rPr>
                <w:sz w:val="20"/>
                <w:szCs w:val="20"/>
              </w:rPr>
              <w:t>-Cabello, N., &amp; Cavalier, E. (2017). Assessment of vitamin D status - a changing landscape.</w:t>
            </w:r>
            <w:r w:rsidRPr="693C9F63">
              <w:rPr>
                <w:i/>
                <w:iCs/>
                <w:sz w:val="20"/>
                <w:szCs w:val="20"/>
              </w:rPr>
              <w:t> Clinical Chemistry and Laboratory Medicine, 55</w:t>
            </w:r>
            <w:r w:rsidRPr="693C9F63">
              <w:rPr>
                <w:sz w:val="20"/>
                <w:szCs w:val="20"/>
              </w:rPr>
              <w:t>(1), 3-26. doi:10.1515/cclm-2016-0264 </w:t>
            </w:r>
          </w:p>
          <w:p w14:paraId="2A5DFDA4" w14:textId="4C9F7D55" w:rsidR="2F12C45C" w:rsidRDefault="2F12C45C" w:rsidP="2F12C45C">
            <w:pPr>
              <w:ind w:left="720" w:hanging="720"/>
              <w:rPr>
                <w:sz w:val="20"/>
                <w:szCs w:val="20"/>
              </w:rPr>
            </w:pPr>
          </w:p>
        </w:tc>
        <w:tc>
          <w:tcPr>
            <w:tcW w:w="720" w:type="dxa"/>
          </w:tcPr>
          <w:p w14:paraId="1F38529A" w14:textId="090A90F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578BFD90" w14:textId="065EC31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Purpose was to determine whether vitamin D status is associated with developing new T2 lesions or contrast-enhancing lesions on brain magnetic resonance imaging (MRI) in relapsing multiple sclerosis (MS).</w:t>
            </w:r>
          </w:p>
          <w:p w14:paraId="7A10663B" w14:textId="6AB12CAB" w:rsidR="2F12C45C" w:rsidRDefault="2F12C45C" w:rsidP="2F12C45C">
            <w:pPr>
              <w:spacing w:beforeAutospacing="1" w:after="120" w:afterAutospacing="1"/>
              <w:cnfStyle w:val="000000000000" w:firstRow="0" w:lastRow="0" w:firstColumn="0" w:lastColumn="0" w:oddVBand="0" w:evenVBand="0" w:oddHBand="0" w:evenHBand="0" w:firstRowFirstColumn="0" w:firstRowLastColumn="0" w:lastRowFirstColumn="0" w:lastRowLastColumn="0"/>
              <w:rPr>
                <w:sz w:val="20"/>
                <w:szCs w:val="20"/>
              </w:rPr>
            </w:pPr>
          </w:p>
          <w:p w14:paraId="5F8599A0" w14:textId="5CD5B42D" w:rsidR="2F12C45C" w:rsidRDefault="2F12C45C" w:rsidP="2F12C45C">
            <w:pPr>
              <w:spacing w:beforeAutospacing="1" w:after="120"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5-year longitudinal MS cohort study at the University of California at San Francisco. Participants had clinical evaluations, brain MRI, and blood draws annually. From the overall cohort, we evaluated patients with clinically isolated syndrome or relapsing-remitting MS at baseline. In </w:t>
            </w:r>
            <w:proofErr w:type="spellStart"/>
            <w:r w:rsidRPr="2F12C45C">
              <w:rPr>
                <w:sz w:val="20"/>
                <w:szCs w:val="20"/>
              </w:rPr>
              <w:t>univariate</w:t>
            </w:r>
            <w:proofErr w:type="spellEnd"/>
            <w:r w:rsidRPr="2F12C45C">
              <w:rPr>
                <w:sz w:val="20"/>
                <w:szCs w:val="20"/>
              </w:rPr>
              <w:t xml:space="preserve"> and multivariate (adjusted for age, sex, ethnicity, smoking, and MS treatments) repeated measures analyses, annual 25-hydroxyvitamin D levels were evaluated for their </w:t>
            </w:r>
            <w:r w:rsidRPr="2F12C45C">
              <w:rPr>
                <w:sz w:val="20"/>
                <w:szCs w:val="20"/>
              </w:rPr>
              <w:lastRenderedPageBreak/>
              <w:t>association with subsequent new T2-weighted and gadolinium-enhancing T1-weighted lesions on brain MRI, clinical relapses, and disability (Expanded Disability Status Scale [EDSS]).</w:t>
            </w:r>
          </w:p>
          <w:p w14:paraId="3C89C821" w14:textId="5360DCF8" w:rsidR="2F12C45C" w:rsidRDefault="2F12C45C" w:rsidP="2F12C45C">
            <w:pPr>
              <w:spacing w:before="40"/>
              <w:ind w:right="60"/>
              <w:cnfStyle w:val="000000000000" w:firstRow="0" w:lastRow="0" w:firstColumn="0" w:lastColumn="0" w:oddVBand="0" w:evenVBand="0" w:oddHBand="0" w:evenHBand="0" w:firstRowFirstColumn="0" w:firstRowLastColumn="0" w:lastRowFirstColumn="0" w:lastRowLastColumn="0"/>
              <w:rPr>
                <w:i/>
                <w:iCs/>
                <w:color w:val="365F91" w:themeColor="accent1" w:themeShade="BF"/>
                <w:sz w:val="20"/>
                <w:szCs w:val="20"/>
              </w:rPr>
            </w:pPr>
          </w:p>
          <w:p w14:paraId="7A63C184" w14:textId="6F891EE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EBCAF51" w14:textId="252A1DF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13B4D724" w14:textId="2EC11FD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A total of 2,362 3T brain MRI scans were acquired from 469 subjects. In multivariate analyses, each 10ng/ml higher 25-hydroxyvitamin D level was associated with a 15% lower risk of a new T2 lesion (incidence rate ratio [IRR], 0.85; 95% confidence interval [CI], 0.76-0.95; p = 0.004) and a 32% lower risk of a gadolinium-enhancing lesion (IRR, 0.68; 95% CI, 0.53-0.87; p = 0.002). Each 10ng/ml higher vitamin D level was associated with lower subsequent disability (-0.047; 95% CI, -0.091 to -0.003; p = 0.037). Higher vitamin D levels were associated with lower, but not statistically significant, relapse risk. Except for the EDSS </w:t>
            </w:r>
            <w:r w:rsidRPr="2F12C45C">
              <w:rPr>
                <w:sz w:val="20"/>
                <w:szCs w:val="20"/>
              </w:rPr>
              <w:lastRenderedPageBreak/>
              <w:t>model, all associations were stronger when the within-person change in vitamin D level was the predictor.</w:t>
            </w:r>
          </w:p>
          <w:p w14:paraId="69FC40B7" w14:textId="3DA6385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659B5810" w14:textId="14E03EA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Vitamin D levels are inversely associated with MS activity on brain MRI. These results provide further support for a randomized trial of vitamin D supplementation.</w:t>
            </w:r>
          </w:p>
          <w:p w14:paraId="1F186B5D" w14:textId="1C45658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5CBD562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09CC0ECD" w14:textId="7767FF13" w:rsidR="2F12C45C" w:rsidRDefault="693C9F63" w:rsidP="693C9F63">
            <w:pPr>
              <w:ind w:left="720" w:hanging="720"/>
              <w:rPr>
                <w:sz w:val="20"/>
                <w:szCs w:val="20"/>
              </w:rPr>
            </w:pPr>
            <w:proofErr w:type="spellStart"/>
            <w:r w:rsidRPr="693C9F63">
              <w:rPr>
                <w:sz w:val="20"/>
                <w:szCs w:val="20"/>
              </w:rPr>
              <w:lastRenderedPageBreak/>
              <w:t>Faridar</w:t>
            </w:r>
            <w:proofErr w:type="spellEnd"/>
            <w:r w:rsidRPr="693C9F63">
              <w:rPr>
                <w:sz w:val="20"/>
                <w:szCs w:val="20"/>
              </w:rPr>
              <w:t xml:space="preserve">, A., </w:t>
            </w:r>
            <w:proofErr w:type="spellStart"/>
            <w:r w:rsidRPr="693C9F63">
              <w:rPr>
                <w:sz w:val="20"/>
                <w:szCs w:val="20"/>
              </w:rPr>
              <w:t>Eskandari</w:t>
            </w:r>
            <w:proofErr w:type="spellEnd"/>
            <w:r w:rsidRPr="693C9F63">
              <w:rPr>
                <w:sz w:val="20"/>
                <w:szCs w:val="20"/>
              </w:rPr>
              <w:t xml:space="preserve">, G., </w:t>
            </w:r>
            <w:proofErr w:type="spellStart"/>
            <w:r w:rsidRPr="693C9F63">
              <w:rPr>
                <w:sz w:val="20"/>
                <w:szCs w:val="20"/>
              </w:rPr>
              <w:t>Sahraian</w:t>
            </w:r>
            <w:proofErr w:type="spellEnd"/>
            <w:r w:rsidRPr="693C9F63">
              <w:rPr>
                <w:sz w:val="20"/>
                <w:szCs w:val="20"/>
              </w:rPr>
              <w:t xml:space="preserve">, M. A., </w:t>
            </w:r>
            <w:proofErr w:type="spellStart"/>
            <w:r w:rsidRPr="693C9F63">
              <w:rPr>
                <w:sz w:val="20"/>
                <w:szCs w:val="20"/>
              </w:rPr>
              <w:t>Minagar</w:t>
            </w:r>
            <w:proofErr w:type="spellEnd"/>
            <w:r w:rsidRPr="693C9F63">
              <w:rPr>
                <w:sz w:val="20"/>
                <w:szCs w:val="20"/>
              </w:rPr>
              <w:t xml:space="preserve">, A., &amp; </w:t>
            </w:r>
            <w:proofErr w:type="spellStart"/>
            <w:r w:rsidRPr="693C9F63">
              <w:rPr>
                <w:sz w:val="20"/>
                <w:szCs w:val="20"/>
              </w:rPr>
              <w:t>Azimi</w:t>
            </w:r>
            <w:proofErr w:type="spellEnd"/>
            <w:r w:rsidRPr="693C9F63">
              <w:rPr>
                <w:sz w:val="20"/>
                <w:szCs w:val="20"/>
              </w:rPr>
              <w:t>, A. (2012). Vitamin D and multiple sclerosis: A critical review and recommendations on treatment.</w:t>
            </w:r>
            <w:r w:rsidRPr="693C9F63">
              <w:rPr>
                <w:i/>
                <w:iCs/>
                <w:sz w:val="20"/>
                <w:szCs w:val="20"/>
              </w:rPr>
              <w:t> </w:t>
            </w:r>
            <w:proofErr w:type="spellStart"/>
            <w:r w:rsidRPr="693C9F63">
              <w:rPr>
                <w:i/>
                <w:iCs/>
                <w:sz w:val="20"/>
                <w:szCs w:val="20"/>
              </w:rPr>
              <w:t>Acta</w:t>
            </w:r>
            <w:proofErr w:type="spellEnd"/>
            <w:r w:rsidRPr="693C9F63">
              <w:rPr>
                <w:i/>
                <w:iCs/>
                <w:sz w:val="20"/>
                <w:szCs w:val="20"/>
              </w:rPr>
              <w:t xml:space="preserve"> </w:t>
            </w:r>
            <w:proofErr w:type="spellStart"/>
            <w:r w:rsidRPr="693C9F63">
              <w:rPr>
                <w:i/>
                <w:iCs/>
                <w:sz w:val="20"/>
                <w:szCs w:val="20"/>
              </w:rPr>
              <w:t>Neurologica</w:t>
            </w:r>
            <w:proofErr w:type="spellEnd"/>
            <w:r w:rsidRPr="693C9F63">
              <w:rPr>
                <w:i/>
                <w:iCs/>
                <w:sz w:val="20"/>
                <w:szCs w:val="20"/>
              </w:rPr>
              <w:t xml:space="preserve"> </w:t>
            </w:r>
            <w:proofErr w:type="spellStart"/>
            <w:r w:rsidRPr="693C9F63">
              <w:rPr>
                <w:i/>
                <w:iCs/>
                <w:sz w:val="20"/>
                <w:szCs w:val="20"/>
              </w:rPr>
              <w:t>Belgica</w:t>
            </w:r>
            <w:proofErr w:type="spellEnd"/>
            <w:r w:rsidRPr="693C9F63">
              <w:rPr>
                <w:i/>
                <w:iCs/>
                <w:sz w:val="20"/>
                <w:szCs w:val="20"/>
              </w:rPr>
              <w:t>, 112</w:t>
            </w:r>
            <w:r w:rsidRPr="693C9F63">
              <w:rPr>
                <w:sz w:val="20"/>
                <w:szCs w:val="20"/>
              </w:rPr>
              <w:t>(4), 327-333. doi:10.1007/s13760-012-0108-z </w:t>
            </w:r>
          </w:p>
          <w:p w14:paraId="6D5221D4" w14:textId="1BB3AEAE" w:rsidR="2F12C45C" w:rsidRDefault="2F12C45C" w:rsidP="2F12C45C">
            <w:pPr>
              <w:ind w:left="720" w:hanging="720"/>
              <w:rPr>
                <w:sz w:val="20"/>
                <w:szCs w:val="20"/>
              </w:rPr>
            </w:pPr>
          </w:p>
        </w:tc>
        <w:tc>
          <w:tcPr>
            <w:tcW w:w="720" w:type="dxa"/>
          </w:tcPr>
          <w:p w14:paraId="009CE243" w14:textId="295D0AD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Level </w:t>
            </w:r>
          </w:p>
          <w:p w14:paraId="71FFB23B" w14:textId="47EE7FA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VII</w:t>
            </w:r>
          </w:p>
        </w:tc>
        <w:tc>
          <w:tcPr>
            <w:tcW w:w="2642" w:type="dxa"/>
          </w:tcPr>
          <w:p w14:paraId="666C5B94" w14:textId="2A4450CF" w:rsidR="2F12C45C" w:rsidRDefault="2F12C45C" w:rsidP="2F12C45C">
            <w:pPr>
              <w:spacing w:beforeAutospacing="1"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Based on experimental and clinical reports, supplementary vitamin D might be an appropriate candidate as add-on therapy to ameliorate the inflammation and attenuate neuronal damage in MS. </w:t>
            </w:r>
          </w:p>
          <w:p w14:paraId="0B017ADC" w14:textId="522CE93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8C9D04D" w14:textId="2C6FB750"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Pierrot-Deseilligny</w:t>
            </w:r>
            <w:proofErr w:type="spellEnd"/>
            <w:r w:rsidRPr="693C9F63">
              <w:rPr>
                <w:sz w:val="20"/>
                <w:szCs w:val="20"/>
              </w:rPr>
              <w:t xml:space="preserve"> et al. recommended that admin- </w:t>
            </w:r>
            <w:proofErr w:type="spellStart"/>
            <w:r w:rsidRPr="693C9F63">
              <w:rPr>
                <w:sz w:val="20"/>
                <w:szCs w:val="20"/>
              </w:rPr>
              <w:t>istration</w:t>
            </w:r>
            <w:proofErr w:type="spellEnd"/>
            <w:r w:rsidRPr="693C9F63">
              <w:rPr>
                <w:sz w:val="20"/>
                <w:szCs w:val="20"/>
              </w:rPr>
              <w:t xml:space="preserve"> of 2,000 or 3,000 IU/day of vitamin D in MS patients not only impacts the immune system effectively but also leaves a considerable safety margin.</w:t>
            </w:r>
          </w:p>
          <w:p w14:paraId="2F6A27F5" w14:textId="4345961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2B70B62" w14:textId="62EBCD5F" w:rsidR="2F12C45C" w:rsidRDefault="2F12C45C" w:rsidP="2F12C45C">
            <w:pPr>
              <w:spacing w:beforeAutospacing="1"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Primarily, serum vitamin D level should be assessed in MS patients. If vitamin D deficiency is present, based on the existing guideline, the patient should be treated with 50,000 IU of vitamin D3 once a week for 8 weeks, followed by maintenance therapy of 2,000–3,000 IU/d. Nevertheless, if serum levels of 25(OH</w:t>
            </w:r>
            <w:proofErr w:type="gramStart"/>
            <w:r w:rsidRPr="2F12C45C">
              <w:rPr>
                <w:sz w:val="20"/>
                <w:szCs w:val="20"/>
              </w:rPr>
              <w:t>)D</w:t>
            </w:r>
            <w:proofErr w:type="gramEnd"/>
            <w:r w:rsidRPr="2F12C45C">
              <w:rPr>
                <w:sz w:val="20"/>
                <w:szCs w:val="20"/>
              </w:rPr>
              <w:t xml:space="preserve"> are above 30 ng/ml (75 </w:t>
            </w:r>
            <w:proofErr w:type="spellStart"/>
            <w:r w:rsidRPr="2F12C45C">
              <w:rPr>
                <w:sz w:val="20"/>
                <w:szCs w:val="20"/>
              </w:rPr>
              <w:t>nmol</w:t>
            </w:r>
            <w:proofErr w:type="spellEnd"/>
            <w:r w:rsidRPr="2F12C45C">
              <w:rPr>
                <w:sz w:val="20"/>
                <w:szCs w:val="20"/>
              </w:rPr>
              <w:t xml:space="preserve">/ liter), only vitamin D maintenance therapy (2,000–3,000 IU/d) should be initiated. </w:t>
            </w:r>
          </w:p>
          <w:p w14:paraId="3F4E227A" w14:textId="7454B81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5A96E839" w14:textId="3B39DDFB" w:rsidR="2F12C45C" w:rsidRDefault="2F12C45C" w:rsidP="2F12C45C">
            <w:pPr>
              <w:spacing w:beforeAutospacing="1"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While awaiting the results of future studies, they suggest the cautious administration of supplementary vitamin D to MS patients to improve the clinical features. </w:t>
            </w:r>
          </w:p>
          <w:p w14:paraId="2F379C06" w14:textId="68198D2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4F3D7270" w14:textId="304474D1" w:rsidR="2F12C45C" w:rsidRDefault="2F12C45C" w:rsidP="2F12C45C">
            <w:pPr>
              <w:spacing w:beforeAutospacing="1" w:afterAutospacing="1"/>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Based on the existing guideline, the patient should be treated with 50,000 IU of vitamin D3 once a week for 8 weeks, followed by maintenance therapy of 2,000–3,000 IU/d.</w:t>
            </w:r>
          </w:p>
        </w:tc>
      </w:tr>
      <w:tr w:rsidR="2F12C45C" w14:paraId="302768EE"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648DBA61" w14:textId="4289270B" w:rsidR="2F12C45C" w:rsidRDefault="693C9F63" w:rsidP="693C9F63">
            <w:pPr>
              <w:ind w:left="720" w:hanging="720"/>
              <w:rPr>
                <w:sz w:val="20"/>
                <w:szCs w:val="20"/>
              </w:rPr>
            </w:pPr>
            <w:r w:rsidRPr="693C9F63">
              <w:rPr>
                <w:sz w:val="20"/>
                <w:szCs w:val="20"/>
              </w:rPr>
              <w:t xml:space="preserve">Evans, E., </w:t>
            </w:r>
            <w:proofErr w:type="spellStart"/>
            <w:r w:rsidRPr="693C9F63">
              <w:rPr>
                <w:sz w:val="20"/>
                <w:szCs w:val="20"/>
              </w:rPr>
              <w:t>Piccio</w:t>
            </w:r>
            <w:proofErr w:type="spellEnd"/>
            <w:r w:rsidRPr="693C9F63">
              <w:rPr>
                <w:sz w:val="20"/>
                <w:szCs w:val="20"/>
              </w:rPr>
              <w:t xml:space="preserve">, L., &amp; Cross, A. H. (2018). Use of vitamins and dietary </w:t>
            </w:r>
            <w:r w:rsidRPr="693C9F63">
              <w:rPr>
                <w:sz w:val="20"/>
                <w:szCs w:val="20"/>
              </w:rPr>
              <w:lastRenderedPageBreak/>
              <w:t>supplements by patients with multiple sclerosis: A review.</w:t>
            </w:r>
            <w:r w:rsidRPr="693C9F63">
              <w:rPr>
                <w:i/>
                <w:iCs/>
                <w:sz w:val="20"/>
                <w:szCs w:val="20"/>
              </w:rPr>
              <w:t> JAMA Neurology, </w:t>
            </w:r>
            <w:r w:rsidRPr="693C9F63">
              <w:rPr>
                <w:sz w:val="20"/>
                <w:szCs w:val="20"/>
              </w:rPr>
              <w:t>doi:10.1001/jamaneurol.2018.0611</w:t>
            </w:r>
          </w:p>
          <w:p w14:paraId="02C84400" w14:textId="2CE10D25" w:rsidR="2F12C45C" w:rsidRDefault="2F12C45C" w:rsidP="2F12C45C">
            <w:pPr>
              <w:ind w:left="720" w:hanging="720"/>
              <w:rPr>
                <w:sz w:val="20"/>
                <w:szCs w:val="20"/>
              </w:rPr>
            </w:pPr>
          </w:p>
        </w:tc>
        <w:tc>
          <w:tcPr>
            <w:tcW w:w="720" w:type="dxa"/>
          </w:tcPr>
          <w:p w14:paraId="77E2236F" w14:textId="0D7D522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I</w:t>
            </w:r>
          </w:p>
        </w:tc>
        <w:tc>
          <w:tcPr>
            <w:tcW w:w="2642" w:type="dxa"/>
          </w:tcPr>
          <w:p w14:paraId="4D428178" w14:textId="64AAE96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t xml:space="preserve">Surveys of patients with multiple sclerosis report that most are interested in modifying their diet and using supplements to potentially </w:t>
            </w:r>
            <w:r w:rsidRPr="2F12C45C">
              <w:rPr>
                <w:color w:val="333333"/>
                <w:sz w:val="20"/>
                <w:szCs w:val="20"/>
              </w:rPr>
              <w:lastRenderedPageBreak/>
              <w:t xml:space="preserve">reduce the severity and symptoms of the disease. </w:t>
            </w:r>
          </w:p>
          <w:p w14:paraId="5D693B1D" w14:textId="6A3C1F2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t>This review provides an updated overview of the current state of evidence for the role that vitamins and dietary supplements play in multiple sclerosis</w:t>
            </w:r>
          </w:p>
          <w:p w14:paraId="6CB7AF70" w14:textId="7508076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55F5BE1" w14:textId="10BF85E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t xml:space="preserve">Vitamin deficiencies should be avoided. </w:t>
            </w:r>
          </w:p>
          <w:p w14:paraId="4A1F8D4D" w14:textId="53EA30D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CB1260A" w14:textId="1BEBC961"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color w:val="333333"/>
                <w:sz w:val="20"/>
                <w:szCs w:val="20"/>
              </w:rPr>
              <w:t xml:space="preserve">At the present time, the only vitamin with sufficient evidence to support routine supplementation for patients with multiple sclerosis is vitamin D. </w:t>
            </w:r>
          </w:p>
          <w:p w14:paraId="7764A5EF" w14:textId="0CFC542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7D962D9A" w14:textId="5BCE930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lastRenderedPageBreak/>
              <w:t xml:space="preserve">Vitamin D is currently the only vitamin with sufficient evidence to support routine supplementation for </w:t>
            </w:r>
            <w:r w:rsidRPr="2F12C45C">
              <w:rPr>
                <w:color w:val="333333"/>
                <w:sz w:val="20"/>
                <w:szCs w:val="20"/>
              </w:rPr>
              <w:lastRenderedPageBreak/>
              <w:t xml:space="preserve">patients with multiple sclerosis </w:t>
            </w:r>
          </w:p>
        </w:tc>
        <w:tc>
          <w:tcPr>
            <w:tcW w:w="1332" w:type="dxa"/>
          </w:tcPr>
          <w:p w14:paraId="4C3C3B54" w14:textId="614A62B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Recommend routine supplementation of Vitamin D </w:t>
            </w:r>
            <w:r w:rsidRPr="2F12C45C">
              <w:rPr>
                <w:sz w:val="20"/>
                <w:szCs w:val="20"/>
              </w:rPr>
              <w:lastRenderedPageBreak/>
              <w:t xml:space="preserve">for MS patients. </w:t>
            </w:r>
          </w:p>
        </w:tc>
      </w:tr>
      <w:tr w:rsidR="2F12C45C" w14:paraId="6FC23089"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032D336E" w14:textId="2F3B49A4" w:rsidR="2F12C45C" w:rsidRDefault="693C9F63" w:rsidP="693C9F63">
            <w:pPr>
              <w:ind w:left="720" w:hanging="720"/>
              <w:rPr>
                <w:sz w:val="20"/>
                <w:szCs w:val="20"/>
              </w:rPr>
            </w:pPr>
            <w:proofErr w:type="spellStart"/>
            <w:r w:rsidRPr="693C9F63">
              <w:rPr>
                <w:sz w:val="20"/>
                <w:szCs w:val="20"/>
              </w:rPr>
              <w:lastRenderedPageBreak/>
              <w:t>Holmoy</w:t>
            </w:r>
            <w:proofErr w:type="spellEnd"/>
            <w:r w:rsidRPr="693C9F63">
              <w:rPr>
                <w:sz w:val="20"/>
                <w:szCs w:val="20"/>
              </w:rPr>
              <w:t xml:space="preserve">, T., </w:t>
            </w:r>
            <w:proofErr w:type="spellStart"/>
            <w:r w:rsidRPr="693C9F63">
              <w:rPr>
                <w:sz w:val="20"/>
                <w:szCs w:val="20"/>
              </w:rPr>
              <w:t>Torkildsen</w:t>
            </w:r>
            <w:proofErr w:type="spellEnd"/>
            <w:r w:rsidRPr="693C9F63">
              <w:rPr>
                <w:sz w:val="20"/>
                <w:szCs w:val="20"/>
              </w:rPr>
              <w:t xml:space="preserve">, O., </w:t>
            </w:r>
            <w:proofErr w:type="spellStart"/>
            <w:r w:rsidRPr="693C9F63">
              <w:rPr>
                <w:sz w:val="20"/>
                <w:szCs w:val="20"/>
              </w:rPr>
              <w:t>Myhr</w:t>
            </w:r>
            <w:proofErr w:type="spellEnd"/>
            <w:r w:rsidRPr="693C9F63">
              <w:rPr>
                <w:sz w:val="20"/>
                <w:szCs w:val="20"/>
              </w:rPr>
              <w:t xml:space="preserve">, K. M., &amp; </w:t>
            </w:r>
            <w:proofErr w:type="spellStart"/>
            <w:r w:rsidRPr="693C9F63">
              <w:rPr>
                <w:sz w:val="20"/>
                <w:szCs w:val="20"/>
              </w:rPr>
              <w:t>Loken-Amsrud</w:t>
            </w:r>
            <w:proofErr w:type="spellEnd"/>
            <w:r w:rsidRPr="693C9F63">
              <w:rPr>
                <w:sz w:val="20"/>
                <w:szCs w:val="20"/>
              </w:rPr>
              <w:t>, K. I. (2012). Vitamin D supplementation and monitoring in multiple sclerosis: Who, when and wherefore.</w:t>
            </w:r>
            <w:r w:rsidRPr="693C9F63">
              <w:rPr>
                <w:i/>
                <w:iCs/>
                <w:sz w:val="20"/>
                <w:szCs w:val="20"/>
              </w:rPr>
              <w:t> </w:t>
            </w:r>
            <w:proofErr w:type="spellStart"/>
            <w:r w:rsidRPr="693C9F63">
              <w:rPr>
                <w:i/>
                <w:iCs/>
                <w:sz w:val="20"/>
                <w:szCs w:val="20"/>
              </w:rPr>
              <w:t>Acta</w:t>
            </w:r>
            <w:proofErr w:type="spellEnd"/>
            <w:r w:rsidRPr="693C9F63">
              <w:rPr>
                <w:i/>
                <w:iCs/>
                <w:sz w:val="20"/>
                <w:szCs w:val="20"/>
              </w:rPr>
              <w:t xml:space="preserve"> </w:t>
            </w:r>
            <w:proofErr w:type="spellStart"/>
            <w:r w:rsidRPr="693C9F63">
              <w:rPr>
                <w:i/>
                <w:iCs/>
                <w:sz w:val="20"/>
                <w:szCs w:val="20"/>
              </w:rPr>
              <w:t>Neurologica</w:t>
            </w:r>
            <w:proofErr w:type="spellEnd"/>
            <w:r w:rsidRPr="693C9F63">
              <w:rPr>
                <w:i/>
                <w:iCs/>
                <w:sz w:val="20"/>
                <w:szCs w:val="20"/>
              </w:rPr>
              <w:t xml:space="preserve"> </w:t>
            </w:r>
            <w:proofErr w:type="spellStart"/>
            <w:r w:rsidRPr="693C9F63">
              <w:rPr>
                <w:i/>
                <w:iCs/>
                <w:sz w:val="20"/>
                <w:szCs w:val="20"/>
              </w:rPr>
              <w:t>Scandinavica.Supplementum</w:t>
            </w:r>
            <w:proofErr w:type="spellEnd"/>
            <w:r w:rsidRPr="693C9F63">
              <w:rPr>
                <w:i/>
                <w:iCs/>
                <w:sz w:val="20"/>
                <w:szCs w:val="20"/>
              </w:rPr>
              <w:t xml:space="preserve">, (195):63-9. </w:t>
            </w:r>
            <w:proofErr w:type="spellStart"/>
            <w:proofErr w:type="gramStart"/>
            <w:r w:rsidRPr="693C9F63">
              <w:rPr>
                <w:i/>
                <w:iCs/>
                <w:sz w:val="20"/>
                <w:szCs w:val="20"/>
              </w:rPr>
              <w:t>doi</w:t>
            </w:r>
            <w:proofErr w:type="spellEnd"/>
            <w:r w:rsidRPr="693C9F63">
              <w:rPr>
                <w:sz w:val="20"/>
                <w:szCs w:val="20"/>
              </w:rPr>
              <w:t>(</w:t>
            </w:r>
            <w:proofErr w:type="gramEnd"/>
            <w:r w:rsidRPr="693C9F63">
              <w:rPr>
                <w:sz w:val="20"/>
                <w:szCs w:val="20"/>
              </w:rPr>
              <w:t>195), 63-69. doi:10.1111/ane.12028</w:t>
            </w:r>
          </w:p>
          <w:p w14:paraId="265E0ED1" w14:textId="107D3C71" w:rsidR="2F12C45C" w:rsidRDefault="2F12C45C" w:rsidP="2F12C45C">
            <w:pPr>
              <w:ind w:left="720" w:hanging="720"/>
              <w:rPr>
                <w:sz w:val="20"/>
                <w:szCs w:val="20"/>
              </w:rPr>
            </w:pPr>
          </w:p>
        </w:tc>
        <w:tc>
          <w:tcPr>
            <w:tcW w:w="720" w:type="dxa"/>
          </w:tcPr>
          <w:p w14:paraId="212944E1" w14:textId="68C850B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Level V </w:t>
            </w:r>
          </w:p>
        </w:tc>
        <w:tc>
          <w:tcPr>
            <w:tcW w:w="2642" w:type="dxa"/>
          </w:tcPr>
          <w:p w14:paraId="6DDC3F69" w14:textId="7C60EB7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Possible benefits of vitamin D supplementation </w:t>
            </w:r>
          </w:p>
          <w:p w14:paraId="1762E6B2" w14:textId="2F0E411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sz w:val="20"/>
                <w:szCs w:val="20"/>
              </w:rPr>
              <w:t>were</w:t>
            </w:r>
            <w:proofErr w:type="gramEnd"/>
            <w:r w:rsidRPr="2F12C45C">
              <w:rPr>
                <w:sz w:val="20"/>
                <w:szCs w:val="20"/>
              </w:rPr>
              <w:t xml:space="preserve"> assessed from observational, experimental and clinical studies. Based on repeated measurements of 25 </w:t>
            </w:r>
            <w:proofErr w:type="spellStart"/>
            <w:r w:rsidRPr="2F12C45C">
              <w:rPr>
                <w:sz w:val="20"/>
                <w:szCs w:val="20"/>
              </w:rPr>
              <w:t>hydroxyvitamin</w:t>
            </w:r>
            <w:proofErr w:type="spellEnd"/>
            <w:r w:rsidRPr="2F12C45C">
              <w:rPr>
                <w:sz w:val="20"/>
                <w:szCs w:val="20"/>
              </w:rPr>
              <w:t xml:space="preserve"> D in </w:t>
            </w:r>
          </w:p>
          <w:p w14:paraId="41FC6A60" w14:textId="6F2B07B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Norwegian patients with MS we estimate the effect of different supplementation regimes.</w:t>
            </w:r>
          </w:p>
          <w:p w14:paraId="0C4E3B9C" w14:textId="071D9EA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27A9889" w14:textId="76E7992B"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Serum levels of 25-hydroxyvitamin in the upper physiological range are associated with lower risk of relapses and magnetic resonance imaging disease activity, but the causality is uncertain. Osteoporosis develops early in patients with </w:t>
            </w:r>
            <w:proofErr w:type="gramStart"/>
            <w:r w:rsidRPr="693C9F63">
              <w:rPr>
                <w:sz w:val="20"/>
                <w:szCs w:val="20"/>
              </w:rPr>
              <w:t>MS ,</w:t>
            </w:r>
            <w:proofErr w:type="gramEnd"/>
            <w:r w:rsidRPr="693C9F63">
              <w:rPr>
                <w:sz w:val="20"/>
                <w:szCs w:val="20"/>
              </w:rPr>
              <w:t xml:space="preserve"> and 25-hydroxyvitamin vitamin should therefore at least be 50 nm throughout the year. Levels between 75 and 125 </w:t>
            </w:r>
            <w:proofErr w:type="spellStart"/>
            <w:r w:rsidRPr="693C9F63">
              <w:rPr>
                <w:sz w:val="20"/>
                <w:szCs w:val="20"/>
              </w:rPr>
              <w:t>nmol</w:t>
            </w:r>
            <w:proofErr w:type="spellEnd"/>
            <w:r w:rsidRPr="693C9F63">
              <w:rPr>
                <w:sz w:val="20"/>
                <w:szCs w:val="20"/>
              </w:rPr>
              <w:t xml:space="preserve"> may offer some additional benefit for bone health, are not toxic and are associated with low disease activity. Adding 400 IU (10 </w:t>
            </w:r>
            <w:proofErr w:type="spellStart"/>
            <w:r w:rsidRPr="693C9F63">
              <w:rPr>
                <w:sz w:val="20"/>
                <w:szCs w:val="20"/>
              </w:rPr>
              <w:t>μg</w:t>
            </w:r>
            <w:proofErr w:type="spellEnd"/>
            <w:r w:rsidRPr="693C9F63">
              <w:rPr>
                <w:sz w:val="20"/>
                <w:szCs w:val="20"/>
              </w:rPr>
              <w:t>) vitamin D daily would only bring 56% of the patients &gt;50 nm and 11% &gt;75 nm throughout the year, whereas 800 IU (20 </w:t>
            </w:r>
            <w:proofErr w:type="spellStart"/>
            <w:r w:rsidRPr="693C9F63">
              <w:rPr>
                <w:sz w:val="20"/>
                <w:szCs w:val="20"/>
              </w:rPr>
              <w:t>μg</w:t>
            </w:r>
            <w:proofErr w:type="spellEnd"/>
            <w:r w:rsidRPr="693C9F63">
              <w:rPr>
                <w:sz w:val="20"/>
                <w:szCs w:val="20"/>
              </w:rPr>
              <w:t xml:space="preserve">) </w:t>
            </w:r>
            <w:r w:rsidRPr="693C9F63">
              <w:rPr>
                <w:sz w:val="20"/>
                <w:szCs w:val="20"/>
              </w:rPr>
              <w:lastRenderedPageBreak/>
              <w:t>would maintain 97% &gt;50 nm and 67% &gt;75 nm.</w:t>
            </w:r>
          </w:p>
          <w:p w14:paraId="3E06AF12" w14:textId="1B68EAF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4B23FF28" w14:textId="1B07311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800 IU of vitamin D is better than 400 IU daily.</w:t>
            </w:r>
          </w:p>
          <w:p w14:paraId="08CFFB8A" w14:textId="676EB20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8E6967E" w14:textId="039BD2A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25-hydroxyvitamin D should be measured and the nadir level estimated, and supplementation given to a target level between approximately 75 (30ng/mL) and 125 nm (50ng/ml).</w:t>
            </w:r>
          </w:p>
          <w:p w14:paraId="7DC77A29" w14:textId="3069689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0C3C08DF" w14:textId="208AD0B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25-hydroxyvitamin D should be measured and the nadir level estimated, and supplementation </w:t>
            </w:r>
          </w:p>
          <w:p w14:paraId="088589F7" w14:textId="0B3E990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given to a target level </w:t>
            </w:r>
          </w:p>
        </w:tc>
      </w:tr>
      <w:tr w:rsidR="2F12C45C" w14:paraId="571FFF90"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380DD0E" w14:textId="22E49038" w:rsidR="2F12C45C" w:rsidRDefault="693C9F63" w:rsidP="693C9F63">
            <w:pPr>
              <w:ind w:left="720" w:hanging="720"/>
              <w:rPr>
                <w:sz w:val="20"/>
                <w:szCs w:val="20"/>
              </w:rPr>
            </w:pPr>
            <w:proofErr w:type="spellStart"/>
            <w:r w:rsidRPr="693C9F63">
              <w:rPr>
                <w:sz w:val="20"/>
                <w:szCs w:val="20"/>
              </w:rPr>
              <w:lastRenderedPageBreak/>
              <w:t>Pierrot-Deseilligny</w:t>
            </w:r>
            <w:proofErr w:type="spellEnd"/>
            <w:r w:rsidRPr="693C9F63">
              <w:rPr>
                <w:sz w:val="20"/>
                <w:szCs w:val="20"/>
              </w:rPr>
              <w:t xml:space="preserve">, C., &amp; </w:t>
            </w:r>
            <w:proofErr w:type="spellStart"/>
            <w:r w:rsidRPr="693C9F63">
              <w:rPr>
                <w:sz w:val="20"/>
                <w:szCs w:val="20"/>
              </w:rPr>
              <w:t>Souberbielle</w:t>
            </w:r>
            <w:proofErr w:type="spellEnd"/>
            <w:r w:rsidRPr="693C9F63">
              <w:rPr>
                <w:sz w:val="20"/>
                <w:szCs w:val="20"/>
              </w:rPr>
              <w:t>, J. C. (2017). Vitamin D and multiple sclerosis: An update.</w:t>
            </w:r>
            <w:r w:rsidRPr="693C9F63">
              <w:rPr>
                <w:i/>
                <w:iCs/>
                <w:sz w:val="20"/>
                <w:szCs w:val="20"/>
              </w:rPr>
              <w:t> Multiple Sclerosis and Related Disorders, 14</w:t>
            </w:r>
            <w:r w:rsidRPr="693C9F63">
              <w:rPr>
                <w:sz w:val="20"/>
                <w:szCs w:val="20"/>
              </w:rPr>
              <w:t>, 35-45. doi:S2211-0348(17)30066-4 </w:t>
            </w:r>
          </w:p>
          <w:p w14:paraId="590996A2" w14:textId="1F8713DF" w:rsidR="2F12C45C" w:rsidRDefault="2F12C45C" w:rsidP="2F12C45C">
            <w:pPr>
              <w:ind w:left="720" w:hanging="720"/>
              <w:rPr>
                <w:sz w:val="20"/>
                <w:szCs w:val="20"/>
              </w:rPr>
            </w:pPr>
          </w:p>
        </w:tc>
        <w:tc>
          <w:tcPr>
            <w:tcW w:w="720" w:type="dxa"/>
          </w:tcPr>
          <w:p w14:paraId="3D763373" w14:textId="1F5B7D6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1</w:t>
            </w:r>
          </w:p>
        </w:tc>
        <w:tc>
          <w:tcPr>
            <w:tcW w:w="2642" w:type="dxa"/>
          </w:tcPr>
          <w:p w14:paraId="4270E4AD" w14:textId="0E3B101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t xml:space="preserve">The main mechanisms of action of vitamin D in MS appear to be </w:t>
            </w:r>
            <w:proofErr w:type="spellStart"/>
            <w:r w:rsidRPr="2F12C45C">
              <w:rPr>
                <w:color w:val="333333"/>
                <w:sz w:val="20"/>
                <w:szCs w:val="20"/>
              </w:rPr>
              <w:t>immunomodulatory</w:t>
            </w:r>
            <w:proofErr w:type="spellEnd"/>
            <w:r w:rsidRPr="2F12C45C">
              <w:rPr>
                <w:color w:val="333333"/>
                <w:sz w:val="20"/>
                <w:szCs w:val="20"/>
              </w:rPr>
              <w:t xml:space="preserve">, involving the various categories of T and B lymphocytes in the general immune system, but </w:t>
            </w:r>
            <w:proofErr w:type="spellStart"/>
            <w:r w:rsidRPr="2F12C45C">
              <w:rPr>
                <w:color w:val="333333"/>
                <w:sz w:val="20"/>
                <w:szCs w:val="20"/>
              </w:rPr>
              <w:t>neuroprotector</w:t>
            </w:r>
            <w:proofErr w:type="spellEnd"/>
            <w:r w:rsidRPr="2F12C45C">
              <w:rPr>
                <w:color w:val="333333"/>
                <w:sz w:val="20"/>
                <w:szCs w:val="20"/>
              </w:rPr>
              <w:t xml:space="preserve"> and </w:t>
            </w:r>
            <w:proofErr w:type="spellStart"/>
            <w:r w:rsidRPr="2F12C45C">
              <w:rPr>
                <w:color w:val="333333"/>
                <w:sz w:val="20"/>
                <w:szCs w:val="20"/>
              </w:rPr>
              <w:t>neurotrophic</w:t>
            </w:r>
            <w:proofErr w:type="spellEnd"/>
            <w:r w:rsidRPr="2F12C45C">
              <w:rPr>
                <w:color w:val="333333"/>
                <w:sz w:val="20"/>
                <w:szCs w:val="20"/>
              </w:rPr>
              <w:t xml:space="preserve"> mechanisms could also be exerted at the central nervous system level. </w:t>
            </w:r>
          </w:p>
          <w:p w14:paraId="627CE1F2" w14:textId="2591663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Several controlled immunological studies performed in MS patients have recently confirmed that vitamin D supplementation has multiple beneficial </w:t>
            </w:r>
            <w:proofErr w:type="spellStart"/>
            <w:r w:rsidRPr="2F12C45C">
              <w:rPr>
                <w:sz w:val="20"/>
                <w:szCs w:val="20"/>
              </w:rPr>
              <w:t>immunomodulatory</w:t>
            </w:r>
            <w:proofErr w:type="spellEnd"/>
            <w:r w:rsidRPr="2F12C45C">
              <w:rPr>
                <w:sz w:val="20"/>
                <w:szCs w:val="20"/>
              </w:rPr>
              <w:t xml:space="preserve"> effects. </w:t>
            </w:r>
          </w:p>
          <w:p w14:paraId="0EE8D54E" w14:textId="0D860A79"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Similar robust statistical models used in five different association studies have already predicted a favorable vitamin D effect reducing relapses by 50-70%. If there is now little doubt that vitamin D exerts a beneficial action on the inflammatory component of MS, the results are as yet much less clear for the progressive degenerative component.</w:t>
            </w:r>
          </w:p>
        </w:tc>
        <w:tc>
          <w:tcPr>
            <w:tcW w:w="2153" w:type="dxa"/>
          </w:tcPr>
          <w:p w14:paraId="4BA16A58" w14:textId="1AC73E6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Until more information becomes available, vitamin D supplementation of MS patients, using a moderate physiological dose essentially correcting their vitamin insufficiency, is recommended.</w:t>
            </w:r>
          </w:p>
          <w:p w14:paraId="0BF9D062" w14:textId="41086B7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136CB806" w14:textId="50FD87C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supplementation of MS patients correcting vitamin insufficiency, is recommended.</w:t>
            </w:r>
          </w:p>
          <w:p w14:paraId="17CAE69A" w14:textId="670632A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64EF43F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37C39E4" w14:textId="540E47D2" w:rsidR="2F12C45C" w:rsidRDefault="693C9F63" w:rsidP="693C9F63">
            <w:pPr>
              <w:ind w:left="720" w:hanging="720"/>
              <w:rPr>
                <w:sz w:val="20"/>
                <w:szCs w:val="20"/>
              </w:rPr>
            </w:pPr>
            <w:r w:rsidRPr="693C9F63">
              <w:rPr>
                <w:sz w:val="20"/>
                <w:szCs w:val="20"/>
              </w:rPr>
              <w:t xml:space="preserve">Bhargava, P., Steele, S. U., </w:t>
            </w:r>
            <w:proofErr w:type="spellStart"/>
            <w:r w:rsidRPr="693C9F63">
              <w:rPr>
                <w:sz w:val="20"/>
                <w:szCs w:val="20"/>
              </w:rPr>
              <w:t>Waubant</w:t>
            </w:r>
            <w:proofErr w:type="spellEnd"/>
            <w:r w:rsidRPr="693C9F63">
              <w:rPr>
                <w:sz w:val="20"/>
                <w:szCs w:val="20"/>
              </w:rPr>
              <w:t xml:space="preserve">, E., </w:t>
            </w:r>
            <w:proofErr w:type="spellStart"/>
            <w:r w:rsidRPr="693C9F63">
              <w:rPr>
                <w:sz w:val="20"/>
                <w:szCs w:val="20"/>
              </w:rPr>
              <w:t>Revirajan</w:t>
            </w:r>
            <w:proofErr w:type="spellEnd"/>
            <w:r w:rsidRPr="693C9F63">
              <w:rPr>
                <w:sz w:val="20"/>
                <w:szCs w:val="20"/>
              </w:rPr>
              <w:t xml:space="preserve">, N. R., Marcus, J., </w:t>
            </w:r>
            <w:proofErr w:type="spellStart"/>
            <w:r w:rsidRPr="693C9F63">
              <w:rPr>
                <w:sz w:val="20"/>
                <w:szCs w:val="20"/>
              </w:rPr>
              <w:t>Dembele</w:t>
            </w:r>
            <w:proofErr w:type="spellEnd"/>
            <w:r w:rsidRPr="693C9F63">
              <w:rPr>
                <w:sz w:val="20"/>
                <w:szCs w:val="20"/>
              </w:rPr>
              <w:t>, M</w:t>
            </w:r>
            <w:proofErr w:type="gramStart"/>
            <w:r w:rsidRPr="693C9F63">
              <w:rPr>
                <w:sz w:val="20"/>
                <w:szCs w:val="20"/>
              </w:rPr>
              <w:t>., . . .</w:t>
            </w:r>
            <w:proofErr w:type="gramEnd"/>
            <w:r w:rsidRPr="693C9F63">
              <w:rPr>
                <w:sz w:val="20"/>
                <w:szCs w:val="20"/>
              </w:rPr>
              <w:t xml:space="preserve"> </w:t>
            </w:r>
            <w:proofErr w:type="spellStart"/>
            <w:r w:rsidRPr="693C9F63">
              <w:rPr>
                <w:sz w:val="20"/>
                <w:szCs w:val="20"/>
              </w:rPr>
              <w:t>Mowry</w:t>
            </w:r>
            <w:proofErr w:type="spellEnd"/>
            <w:r w:rsidRPr="693C9F63">
              <w:rPr>
                <w:sz w:val="20"/>
                <w:szCs w:val="20"/>
              </w:rPr>
              <w:t xml:space="preserve">, E. M. (2016). Multiple sclerosis patients have a diminished serologic response to vitamin D supplementation compared to healthy </w:t>
            </w:r>
            <w:proofErr w:type="spellStart"/>
            <w:r w:rsidRPr="693C9F63">
              <w:rPr>
                <w:sz w:val="20"/>
                <w:szCs w:val="20"/>
              </w:rPr>
              <w:t>controls.</w:t>
            </w:r>
            <w:r w:rsidRPr="693C9F63">
              <w:rPr>
                <w:i/>
                <w:iCs/>
                <w:sz w:val="20"/>
                <w:szCs w:val="20"/>
              </w:rPr>
              <w:t>Multiple</w:t>
            </w:r>
            <w:proofErr w:type="spellEnd"/>
            <w:r w:rsidRPr="693C9F63">
              <w:rPr>
                <w:i/>
                <w:iCs/>
                <w:sz w:val="20"/>
                <w:szCs w:val="20"/>
              </w:rPr>
              <w:t xml:space="preserve"> Sclerosis (</w:t>
            </w:r>
            <w:proofErr w:type="spellStart"/>
            <w:r w:rsidRPr="693C9F63">
              <w:rPr>
                <w:i/>
                <w:iCs/>
                <w:sz w:val="20"/>
                <w:szCs w:val="20"/>
              </w:rPr>
              <w:t>Houndmills</w:t>
            </w:r>
            <w:proofErr w:type="spellEnd"/>
            <w:r w:rsidRPr="693C9F63">
              <w:rPr>
                <w:i/>
                <w:iCs/>
                <w:sz w:val="20"/>
                <w:szCs w:val="20"/>
              </w:rPr>
              <w:t>, Basingstoke, England), 22</w:t>
            </w:r>
            <w:r w:rsidRPr="693C9F63">
              <w:rPr>
                <w:sz w:val="20"/>
                <w:szCs w:val="20"/>
              </w:rPr>
              <w:t xml:space="preserve">(6), 753-760. </w:t>
            </w:r>
            <w:r w:rsidRPr="693C9F63">
              <w:rPr>
                <w:sz w:val="20"/>
                <w:szCs w:val="20"/>
              </w:rPr>
              <w:lastRenderedPageBreak/>
              <w:t>doi:10.1177/1352458515600248</w:t>
            </w:r>
          </w:p>
          <w:p w14:paraId="791FEC1C" w14:textId="4308B451" w:rsidR="2F12C45C" w:rsidRDefault="2F12C45C" w:rsidP="2F12C45C">
            <w:pPr>
              <w:spacing w:line="336" w:lineRule="atLeast"/>
              <w:ind w:left="720" w:right="225"/>
              <w:rPr>
                <w:sz w:val="20"/>
                <w:szCs w:val="20"/>
              </w:rPr>
            </w:pPr>
          </w:p>
        </w:tc>
        <w:tc>
          <w:tcPr>
            <w:tcW w:w="720" w:type="dxa"/>
          </w:tcPr>
          <w:p w14:paraId="71502DD2" w14:textId="6EF7FE7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VI</w:t>
            </w:r>
          </w:p>
        </w:tc>
        <w:tc>
          <w:tcPr>
            <w:tcW w:w="2642" w:type="dxa"/>
          </w:tcPr>
          <w:p w14:paraId="77ED82BF" w14:textId="5CCD1F5F"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Participants in this open-label study were female, white, aged 18-60 years, had 25(OH</w:t>
            </w:r>
            <w:proofErr w:type="gramStart"/>
            <w:r w:rsidRPr="43A3DDCF">
              <w:rPr>
                <w:sz w:val="20"/>
                <w:szCs w:val="20"/>
              </w:rPr>
              <w:t>)D</w:t>
            </w:r>
            <w:proofErr w:type="gramEnd"/>
            <w:r w:rsidRPr="43A3DDCF">
              <w:rPr>
                <w:sz w:val="20"/>
                <w:szCs w:val="20"/>
              </w:rPr>
              <w:t xml:space="preserve"> levels ⩽ 75 </w:t>
            </w:r>
            <w:proofErr w:type="spellStart"/>
            <w:r w:rsidRPr="43A3DDCF">
              <w:rPr>
                <w:sz w:val="20"/>
                <w:szCs w:val="20"/>
              </w:rPr>
              <w:t>nmol</w:t>
            </w:r>
            <w:proofErr w:type="spellEnd"/>
            <w:r w:rsidRPr="43A3DDCF">
              <w:rPr>
                <w:sz w:val="20"/>
                <w:szCs w:val="20"/>
              </w:rPr>
              <w:t>/l at screening, and had relapsing-remitting MS (RRMS) or were HCs. Participants received 5000 IU/day of vitamin D3 for 90 days. Utilizing generalized estimating equations we examined the relationship between the primary outcome (serum 25(OH</w:t>
            </w:r>
            <w:proofErr w:type="gramStart"/>
            <w:r w:rsidRPr="43A3DDCF">
              <w:rPr>
                <w:sz w:val="20"/>
                <w:szCs w:val="20"/>
              </w:rPr>
              <w:t>)D</w:t>
            </w:r>
            <w:proofErr w:type="gramEnd"/>
            <w:r w:rsidRPr="43A3DDCF">
              <w:rPr>
                <w:sz w:val="20"/>
                <w:szCs w:val="20"/>
              </w:rPr>
              <w:t xml:space="preserve"> level) and the primary (MS versus HC status) and secondary predictors.</w:t>
            </w:r>
          </w:p>
          <w:p w14:paraId="17519E60" w14:textId="47B2C25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E2E69B7" w14:textId="3F673E67"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For this study 27 MS patients and 30 HCs were enrolled. There was no significant </w:t>
            </w:r>
            <w:r w:rsidRPr="43A3DDCF">
              <w:rPr>
                <w:sz w:val="20"/>
                <w:szCs w:val="20"/>
              </w:rPr>
              <w:lastRenderedPageBreak/>
              <w:t>difference in baseline 25(OH)D level or demographics except for higher body mass index (BMI) in the MS group (25.3 vs. 23.6 kg/m(2), p=0.035). In total, 24 MS subjects and 29 HCs completed the study.</w:t>
            </w:r>
          </w:p>
          <w:p w14:paraId="5CCC9FEF" w14:textId="5F43C95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5575D3C" w14:textId="524F9DD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In a multivariate model accounting for BMI, medication adherence, and oral contraceptive use, MS patients had a 16.7 </w:t>
            </w:r>
            <w:proofErr w:type="spellStart"/>
            <w:r w:rsidRPr="2F12C45C">
              <w:rPr>
                <w:sz w:val="20"/>
                <w:szCs w:val="20"/>
              </w:rPr>
              <w:t>nmol</w:t>
            </w:r>
            <w:proofErr w:type="spellEnd"/>
            <w:r w:rsidRPr="2F12C45C">
              <w:rPr>
                <w:sz w:val="20"/>
                <w:szCs w:val="20"/>
              </w:rPr>
              <w:t xml:space="preserve">/l (95%CI: 4.2, 29.2, p=0.008) lower increase in 25(OH)D levels compared with HCs. </w:t>
            </w:r>
          </w:p>
        </w:tc>
        <w:tc>
          <w:tcPr>
            <w:tcW w:w="2153" w:type="dxa"/>
          </w:tcPr>
          <w:p w14:paraId="1C0757AD" w14:textId="04BA6DE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 Patients with MS had a lower increase in 25(OH</w:t>
            </w:r>
            <w:proofErr w:type="gramStart"/>
            <w:r w:rsidRPr="2F12C45C">
              <w:rPr>
                <w:sz w:val="20"/>
                <w:szCs w:val="20"/>
              </w:rPr>
              <w:t>)D</w:t>
            </w:r>
            <w:proofErr w:type="gramEnd"/>
            <w:r w:rsidRPr="2F12C45C">
              <w:rPr>
                <w:sz w:val="20"/>
                <w:szCs w:val="20"/>
              </w:rPr>
              <w:t xml:space="preserve"> levels with supplementation, even after accounting for putative confounders.</w:t>
            </w:r>
          </w:p>
          <w:p w14:paraId="5A29BDD1" w14:textId="2105A1D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C67E50E" w14:textId="229884E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3F09697E" w14:textId="252AB76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Patients with MS have a reduced response to supplementation in comparison with healthy individuals. </w:t>
            </w:r>
          </w:p>
        </w:tc>
      </w:tr>
      <w:tr w:rsidR="2F12C45C" w14:paraId="2225D456"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1FC30330" w14:textId="203E0441" w:rsidR="2F12C45C" w:rsidRDefault="693C9F63" w:rsidP="693C9F63">
            <w:pPr>
              <w:ind w:left="720" w:hanging="720"/>
              <w:rPr>
                <w:sz w:val="20"/>
                <w:szCs w:val="20"/>
              </w:rPr>
            </w:pPr>
            <w:proofErr w:type="spellStart"/>
            <w:r w:rsidRPr="693C9F63">
              <w:rPr>
                <w:sz w:val="20"/>
                <w:szCs w:val="20"/>
              </w:rPr>
              <w:lastRenderedPageBreak/>
              <w:t>Thouvenot</w:t>
            </w:r>
            <w:proofErr w:type="spellEnd"/>
            <w:r w:rsidRPr="693C9F63">
              <w:rPr>
                <w:sz w:val="20"/>
                <w:szCs w:val="20"/>
              </w:rPr>
              <w:t xml:space="preserve">, E., </w:t>
            </w:r>
            <w:proofErr w:type="spellStart"/>
            <w:r w:rsidRPr="693C9F63">
              <w:rPr>
                <w:sz w:val="20"/>
                <w:szCs w:val="20"/>
              </w:rPr>
              <w:t>Orsini</w:t>
            </w:r>
            <w:proofErr w:type="spellEnd"/>
            <w:r w:rsidRPr="693C9F63">
              <w:rPr>
                <w:sz w:val="20"/>
                <w:szCs w:val="20"/>
              </w:rPr>
              <w:t xml:space="preserve">, M., </w:t>
            </w:r>
            <w:proofErr w:type="spellStart"/>
            <w:r w:rsidRPr="693C9F63">
              <w:rPr>
                <w:sz w:val="20"/>
                <w:szCs w:val="20"/>
              </w:rPr>
              <w:t>Daures</w:t>
            </w:r>
            <w:proofErr w:type="spellEnd"/>
            <w:r w:rsidRPr="693C9F63">
              <w:rPr>
                <w:sz w:val="20"/>
                <w:szCs w:val="20"/>
              </w:rPr>
              <w:t xml:space="preserve">, J. P., &amp; </w:t>
            </w:r>
            <w:proofErr w:type="spellStart"/>
            <w:r w:rsidRPr="693C9F63">
              <w:rPr>
                <w:sz w:val="20"/>
                <w:szCs w:val="20"/>
              </w:rPr>
              <w:t>Camu</w:t>
            </w:r>
            <w:proofErr w:type="spellEnd"/>
            <w:r w:rsidRPr="693C9F63">
              <w:rPr>
                <w:sz w:val="20"/>
                <w:szCs w:val="20"/>
              </w:rPr>
              <w:t>, W. (2015). Vitamin D is associated with degree of disability in patients with fully ambulatory relapsing-remitting multiple sclerosis.</w:t>
            </w:r>
            <w:r w:rsidRPr="693C9F63">
              <w:rPr>
                <w:i/>
                <w:iCs/>
                <w:sz w:val="20"/>
                <w:szCs w:val="20"/>
              </w:rPr>
              <w:t> European Journal of Neurology, 22</w:t>
            </w:r>
            <w:r w:rsidRPr="693C9F63">
              <w:rPr>
                <w:sz w:val="20"/>
                <w:szCs w:val="20"/>
              </w:rPr>
              <w:t>(3), 564-569. doi:10.1111/ene.12617 </w:t>
            </w:r>
          </w:p>
          <w:p w14:paraId="575ADD38" w14:textId="647F1C24" w:rsidR="2F12C45C" w:rsidRDefault="2F12C45C" w:rsidP="2F12C45C">
            <w:pPr>
              <w:ind w:left="720" w:hanging="720"/>
              <w:rPr>
                <w:sz w:val="20"/>
                <w:szCs w:val="20"/>
              </w:rPr>
            </w:pPr>
          </w:p>
        </w:tc>
        <w:tc>
          <w:tcPr>
            <w:tcW w:w="720" w:type="dxa"/>
          </w:tcPr>
          <w:p w14:paraId="51D402FB" w14:textId="594D376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IV</w:t>
            </w:r>
          </w:p>
        </w:tc>
        <w:tc>
          <w:tcPr>
            <w:tcW w:w="2642" w:type="dxa"/>
          </w:tcPr>
          <w:p w14:paraId="17A43D96" w14:textId="1AFA3E9C"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A retrospective cohort analysis was performed including 181 patients prospectively followed without previous vitamin D supplementation, and age, gender, age at MS onset, MS type, MS activity, Expanded Disability Status Scale (EDSS) were </w:t>
            </w:r>
            <w:proofErr w:type="spellStart"/>
            <w:r w:rsidRPr="693C9F63">
              <w:rPr>
                <w:sz w:val="20"/>
                <w:szCs w:val="20"/>
              </w:rPr>
              <w:t>analysed</w:t>
            </w:r>
            <w:proofErr w:type="spellEnd"/>
            <w:r w:rsidRPr="693C9F63">
              <w:rPr>
                <w:sz w:val="20"/>
                <w:szCs w:val="20"/>
              </w:rPr>
              <w:t xml:space="preserve"> in correlation with plasma vitamin D levels.</w:t>
            </w:r>
          </w:p>
          <w:p w14:paraId="634147FE" w14:textId="7BFF502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AE4BC4A" w14:textId="739E7D8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 levels were significantly higher in relapsing-remitting MS than in progressive forms of MS in multivariate analyses adjusted for age, ethnicity, gender, disease duration and season (P = 0.0487). Overall, there was a negative correlation between vitamin D level and EDSS score (P = 0.0001, r = -0.33). In relapsing-remitting MS, vitamin D levels were only correlated with disability scores for EDSS &lt; 4 (P = 0.0012). Patients with &gt;20 ng/ml of vitamin D were 2.78 times more likely to have an EDSS &lt; 4 (P = 0.0011, 95% confidence interval 1.49-5.00).</w:t>
            </w:r>
          </w:p>
          <w:p w14:paraId="34A61CBE" w14:textId="79D846D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605879F6" w14:textId="633DA4B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Data support previous work suggesting that vitamin D deficiency is associated with higher risk of disability in MS. Vitamin D levels also correlated with the degree of disability in fully ambulatory patients with relapsing-remitting MS. </w:t>
            </w:r>
          </w:p>
          <w:p w14:paraId="520FACDE" w14:textId="5D57E33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F795CB1" w14:textId="1A4E11E9"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These additional results support the pertinence of randomized controlled trials </w:t>
            </w:r>
            <w:r w:rsidR="00285D7D" w:rsidRPr="693C9F63">
              <w:rPr>
                <w:sz w:val="20"/>
                <w:szCs w:val="20"/>
              </w:rPr>
              <w:t>analyzing</w:t>
            </w:r>
            <w:r w:rsidRPr="693C9F63">
              <w:rPr>
                <w:sz w:val="20"/>
                <w:szCs w:val="20"/>
              </w:rPr>
              <w:t xml:space="preserve"> the interest of an early vitamin D supplementation in MS patients to influence evolution of disability.</w:t>
            </w:r>
          </w:p>
          <w:p w14:paraId="3541E852" w14:textId="4A0D7F9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097C03F6" w14:textId="323D04E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Early vitamin D supplementation in MS patients to influence evolution of disability.</w:t>
            </w:r>
          </w:p>
          <w:p w14:paraId="2C029E23" w14:textId="493E3B6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5DEBDA27"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872A65F" w14:textId="2ECE4FDB" w:rsidR="2F12C45C" w:rsidRDefault="2F12C45C" w:rsidP="2F12C45C">
            <w:pPr>
              <w:ind w:left="720" w:hanging="720"/>
              <w:rPr>
                <w:sz w:val="20"/>
                <w:szCs w:val="20"/>
              </w:rPr>
            </w:pPr>
            <w:r w:rsidRPr="2F12C45C">
              <w:rPr>
                <w:sz w:val="20"/>
                <w:szCs w:val="20"/>
              </w:rPr>
              <w:t>Australian Government Department of Health. (2014)</w:t>
            </w:r>
            <w:proofErr w:type="gramStart"/>
            <w:r w:rsidRPr="2F12C45C">
              <w:rPr>
                <w:sz w:val="20"/>
                <w:szCs w:val="20"/>
              </w:rPr>
              <w:t xml:space="preserve">.  </w:t>
            </w:r>
            <w:r w:rsidRPr="2F12C45C">
              <w:rPr>
                <w:i/>
                <w:iCs/>
                <w:sz w:val="20"/>
                <w:szCs w:val="20"/>
              </w:rPr>
              <w:lastRenderedPageBreak/>
              <w:t>MBS</w:t>
            </w:r>
            <w:proofErr w:type="gramEnd"/>
            <w:r w:rsidRPr="2F12C45C">
              <w:rPr>
                <w:i/>
                <w:iCs/>
                <w:sz w:val="20"/>
                <w:szCs w:val="20"/>
              </w:rPr>
              <w:t xml:space="preserve"> Reviews: Vitamin D Testing Report</w:t>
            </w:r>
            <w:r w:rsidRPr="2F12C45C">
              <w:rPr>
                <w:sz w:val="20"/>
                <w:szCs w:val="20"/>
              </w:rPr>
              <w:t>.  Department of Human Services, Australia.</w:t>
            </w:r>
          </w:p>
        </w:tc>
        <w:tc>
          <w:tcPr>
            <w:tcW w:w="720" w:type="dxa"/>
          </w:tcPr>
          <w:p w14:paraId="29848FCC" w14:textId="374ACEDF" w:rsidR="2F12C45C" w:rsidRDefault="2F12C45C" w:rsidP="2F12C45C">
            <w:pPr>
              <w:jc w:val="both"/>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VII</w:t>
            </w:r>
          </w:p>
        </w:tc>
        <w:tc>
          <w:tcPr>
            <w:tcW w:w="2642" w:type="dxa"/>
          </w:tcPr>
          <w:p w14:paraId="3D7AD81A" w14:textId="5FC63F1E" w:rsidR="2F12C45C" w:rsidRDefault="43A3DDCF" w:rsidP="43A3DDCF">
            <w:pPr>
              <w:jc w:val="both"/>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In chronic disease, such as MS, screening functions as a way to determine the need for </w:t>
            </w:r>
            <w:r w:rsidRPr="43A3DDCF">
              <w:rPr>
                <w:sz w:val="20"/>
                <w:szCs w:val="20"/>
              </w:rPr>
              <w:lastRenderedPageBreak/>
              <w:t>improvement and method to improve disease related outcomes</w:t>
            </w:r>
          </w:p>
        </w:tc>
        <w:tc>
          <w:tcPr>
            <w:tcW w:w="2153" w:type="dxa"/>
          </w:tcPr>
          <w:p w14:paraId="6B438B52" w14:textId="5C34360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The best way to determine the need for improvement and </w:t>
            </w:r>
            <w:r w:rsidRPr="2F12C45C">
              <w:rPr>
                <w:sz w:val="20"/>
                <w:szCs w:val="20"/>
              </w:rPr>
              <w:lastRenderedPageBreak/>
              <w:t>method to improve outcomes is screening.</w:t>
            </w:r>
          </w:p>
        </w:tc>
        <w:tc>
          <w:tcPr>
            <w:tcW w:w="1332" w:type="dxa"/>
          </w:tcPr>
          <w:p w14:paraId="07DE9AD6" w14:textId="3477DA07"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Use screening to determine </w:t>
            </w:r>
            <w:r w:rsidRPr="43A3DDCF">
              <w:rPr>
                <w:sz w:val="20"/>
                <w:szCs w:val="20"/>
              </w:rPr>
              <w:lastRenderedPageBreak/>
              <w:t xml:space="preserve">need for vitamin D supplementation and to determine supplementation method </w:t>
            </w:r>
            <w:proofErr w:type="gramStart"/>
            <w:r w:rsidRPr="43A3DDCF">
              <w:rPr>
                <w:sz w:val="20"/>
                <w:szCs w:val="20"/>
              </w:rPr>
              <w:t>needed .</w:t>
            </w:r>
            <w:proofErr w:type="gramEnd"/>
          </w:p>
        </w:tc>
      </w:tr>
      <w:tr w:rsidR="2F12C45C" w14:paraId="1B7701C2"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33DCC38C" w14:textId="7B4BE327" w:rsidR="2F12C45C" w:rsidRDefault="2F12C45C" w:rsidP="2F12C45C">
            <w:pPr>
              <w:ind w:left="720" w:hanging="720"/>
              <w:rPr>
                <w:sz w:val="20"/>
                <w:szCs w:val="20"/>
              </w:rPr>
            </w:pPr>
            <w:r w:rsidRPr="2F12C45C">
              <w:rPr>
                <w:sz w:val="20"/>
                <w:szCs w:val="20"/>
              </w:rPr>
              <w:lastRenderedPageBreak/>
              <w:t xml:space="preserve">National MS Society.  (2009). Vitamin D and MS: Implications for Clinical Practice.  Retrieved from: </w:t>
            </w:r>
            <w:hyperlink r:id="rId31">
              <w:r w:rsidRPr="2F12C45C">
                <w:rPr>
                  <w:rStyle w:val="Hyperlink"/>
                  <w:sz w:val="20"/>
                  <w:szCs w:val="20"/>
                </w:rPr>
                <w:t>https://www.nationalmssociety.org/NationalMSSociety/media/MSNationalFiles/Brochures/Clinical-Bulletin-Vitamin-D-and-MS_-Implications-for-Clinical-Practice.pdf</w:t>
              </w:r>
            </w:hyperlink>
          </w:p>
          <w:p w14:paraId="2D1B2D0B" w14:textId="3F09C3BC" w:rsidR="2F12C45C" w:rsidRDefault="2F12C45C" w:rsidP="2F12C45C">
            <w:pPr>
              <w:rPr>
                <w:sz w:val="20"/>
                <w:szCs w:val="20"/>
              </w:rPr>
            </w:pPr>
          </w:p>
        </w:tc>
        <w:tc>
          <w:tcPr>
            <w:tcW w:w="720" w:type="dxa"/>
          </w:tcPr>
          <w:p w14:paraId="7D8A162E" w14:textId="35DE138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26E30E96" w14:textId="0F3F025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Costs</w:t>
            </w:r>
          </w:p>
          <w:p w14:paraId="23318FB1" w14:textId="784F47A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With the rising costs of health care, there are growing concerns about the costs of diagnostic tests</w:t>
            </w:r>
          </w:p>
          <w:p w14:paraId="00F444A6" w14:textId="1D36F97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sz w:val="20"/>
                <w:szCs w:val="20"/>
              </w:rPr>
              <w:t>and</w:t>
            </w:r>
            <w:proofErr w:type="gramEnd"/>
            <w:r w:rsidRPr="2F12C45C">
              <w:rPr>
                <w:sz w:val="20"/>
                <w:szCs w:val="20"/>
              </w:rPr>
              <w:t xml:space="preserve"> therapies. Approximate costs for diagnosing and treating vitamin D deficiency and related</w:t>
            </w:r>
          </w:p>
          <w:p w14:paraId="7C3B3A45" w14:textId="1B7FF5B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conditions are (Shi et al., 2009):</w:t>
            </w:r>
          </w:p>
          <w:p w14:paraId="14877C1F" w14:textId="68588BC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Blood test for 25-hydroxyvitamin D: $50–200</w:t>
            </w:r>
          </w:p>
          <w:p w14:paraId="632D4527" w14:textId="69B9B45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Vitamin D supplements (1,000–2,000 IU daily): $3–6/month</w:t>
            </w:r>
          </w:p>
          <w:p w14:paraId="51B34106" w14:textId="079835B3"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 Osteoporosis medications: $50–100/month (alendronate sodium, </w:t>
            </w:r>
            <w:proofErr w:type="spellStart"/>
            <w:r w:rsidRPr="693C9F63">
              <w:rPr>
                <w:sz w:val="20"/>
                <w:szCs w:val="20"/>
              </w:rPr>
              <w:t>ibandronate</w:t>
            </w:r>
            <w:proofErr w:type="spellEnd"/>
            <w:r w:rsidRPr="693C9F63">
              <w:rPr>
                <w:sz w:val="20"/>
                <w:szCs w:val="20"/>
              </w:rPr>
              <w:t xml:space="preserve"> sodium, </w:t>
            </w:r>
            <w:proofErr w:type="spellStart"/>
            <w:r w:rsidRPr="693C9F63">
              <w:rPr>
                <w:sz w:val="20"/>
                <w:szCs w:val="20"/>
              </w:rPr>
              <w:t>raloxifene</w:t>
            </w:r>
            <w:proofErr w:type="spellEnd"/>
            <w:r w:rsidRPr="693C9F63">
              <w:rPr>
                <w:sz w:val="20"/>
                <w:szCs w:val="20"/>
              </w:rPr>
              <w:t xml:space="preserve"> </w:t>
            </w:r>
            <w:proofErr w:type="spellStart"/>
            <w:r w:rsidRPr="693C9F63">
              <w:rPr>
                <w:sz w:val="20"/>
                <w:szCs w:val="20"/>
              </w:rPr>
              <w:t>HCl</w:t>
            </w:r>
            <w:proofErr w:type="spellEnd"/>
            <w:r w:rsidRPr="693C9F63">
              <w:rPr>
                <w:sz w:val="20"/>
                <w:szCs w:val="20"/>
              </w:rPr>
              <w:t xml:space="preserve">, </w:t>
            </w:r>
            <w:proofErr w:type="spellStart"/>
            <w:r w:rsidRPr="693C9F63">
              <w:rPr>
                <w:sz w:val="20"/>
                <w:szCs w:val="20"/>
              </w:rPr>
              <w:t>risedronate</w:t>
            </w:r>
            <w:proofErr w:type="spellEnd"/>
            <w:r w:rsidRPr="693C9F63">
              <w:rPr>
                <w:sz w:val="20"/>
                <w:szCs w:val="20"/>
              </w:rPr>
              <w:t xml:space="preserve"> sodium)</w:t>
            </w:r>
          </w:p>
          <w:p w14:paraId="42B0AD87" w14:textId="0AEC67D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-Bone densitometry: $150–250</w:t>
            </w:r>
          </w:p>
          <w:p w14:paraId="42784C7C" w14:textId="5B60924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Bone fractures (direct healthcare costs, first year) (Hip $15,000–25,000, Vertebral $6,000–15,000, Other $6,000–9,000) </w:t>
            </w:r>
          </w:p>
          <w:p w14:paraId="43E14BEE" w14:textId="2B1A968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1374355" w14:textId="6398108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There are three general strategies that may be used in clinical practice:</w:t>
            </w:r>
          </w:p>
          <w:p w14:paraId="3FC4B844" w14:textId="3EC870BD" w:rsidR="2F12C45C" w:rsidRDefault="2F12C45C" w:rsidP="2F12C45C">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F12C45C">
              <w:rPr>
                <w:rFonts w:ascii="Times New Roman" w:eastAsia="Times New Roman" w:hAnsi="Times New Roman" w:cs="Times New Roman"/>
                <w:sz w:val="20"/>
                <w:szCs w:val="20"/>
              </w:rPr>
              <w:t>Wait Until More Information Is Available (do not check vitamin D levels or recommend vitamin D supplements)</w:t>
            </w:r>
          </w:p>
          <w:p w14:paraId="3AB2605D" w14:textId="6A4C250F" w:rsidR="2F12C45C" w:rsidRDefault="2F12C45C" w:rsidP="2F12C45C">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2F12C45C">
              <w:rPr>
                <w:rFonts w:ascii="Times New Roman" w:eastAsia="Times New Roman" w:hAnsi="Times New Roman" w:cs="Times New Roman"/>
                <w:sz w:val="20"/>
                <w:szCs w:val="20"/>
              </w:rPr>
              <w:t>Supplement “Blindly” (recommend vitamin D supplements without checking vitamin D levels)</w:t>
            </w:r>
          </w:p>
          <w:p w14:paraId="4873B6CD" w14:textId="0010AABD" w:rsidR="2F12C45C" w:rsidRDefault="2F12C45C" w:rsidP="2F12C45C">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2F12C45C">
              <w:rPr>
                <w:rFonts w:ascii="Times New Roman" w:eastAsia="Times New Roman" w:hAnsi="Times New Roman" w:cs="Times New Roman"/>
                <w:sz w:val="20"/>
                <w:szCs w:val="20"/>
              </w:rPr>
              <w:lastRenderedPageBreak/>
              <w:t>Supplement if Blood Levels Are Low (check vitamin D levels and recommend vitamin D supplements if blood levels are low)</w:t>
            </w:r>
          </w:p>
          <w:p w14:paraId="4D48959A" w14:textId="11BA6DFD" w:rsidR="2F12C45C" w:rsidRDefault="2F12C45C" w:rsidP="2F12C45C">
            <w:pPr>
              <w:ind w:left="360"/>
              <w:cnfStyle w:val="000000000000" w:firstRow="0" w:lastRow="0" w:firstColumn="0" w:lastColumn="0" w:oddVBand="0" w:evenVBand="0" w:oddHBand="0" w:evenHBand="0" w:firstRowFirstColumn="0" w:firstRowLastColumn="0" w:lastRowFirstColumn="0" w:lastRowLastColumn="0"/>
              <w:rPr>
                <w:sz w:val="20"/>
                <w:szCs w:val="20"/>
              </w:rPr>
            </w:pPr>
          </w:p>
          <w:p w14:paraId="2DBC9F5E" w14:textId="11FD51C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61C98BFC" w14:textId="72D0EE0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u w:val="single"/>
              </w:rPr>
              <w:lastRenderedPageBreak/>
              <w:t>Waiting for more info</w:t>
            </w:r>
            <w:r w:rsidRPr="2F12C45C">
              <w:rPr>
                <w:sz w:val="20"/>
                <w:szCs w:val="20"/>
              </w:rPr>
              <w:t>:</w:t>
            </w:r>
          </w:p>
          <w:p w14:paraId="32E072C2" w14:textId="4994EF9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Advantages:</w:t>
            </w:r>
            <w:r w:rsidRPr="2F12C45C">
              <w:rPr>
                <w:sz w:val="20"/>
                <w:szCs w:val="20"/>
              </w:rPr>
              <w:t xml:space="preserve">  Based on most definitive information available. It is possible, though very unlikely, that future research will demonstrate that supplementation with vitamin D or calcium is harmful for people with MS.  Avoids the costs of the blood test ($50–200) and supplements ($3–6/month).</w:t>
            </w:r>
          </w:p>
          <w:p w14:paraId="05B72AC9" w14:textId="4011EA5E"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b/>
                <w:bCs/>
                <w:sz w:val="20"/>
                <w:szCs w:val="20"/>
              </w:rPr>
              <w:t>Disadvantages:</w:t>
            </w:r>
            <w:r w:rsidRPr="693C9F63">
              <w:rPr>
                <w:sz w:val="20"/>
                <w:szCs w:val="20"/>
              </w:rPr>
              <w:t xml:space="preserve"> Concern that a large number of people with MS who are vitamin D-deficient will go undiagnosed and thus will not receive, or obtain the potential benefits of, supplementation. Undiagnosed and untreated vitamin D deficiency could lead to osteoporosis, bone fractures, and </w:t>
            </w:r>
            <w:r w:rsidR="00285D7D" w:rsidRPr="693C9F63">
              <w:rPr>
                <w:sz w:val="20"/>
                <w:szCs w:val="20"/>
              </w:rPr>
              <w:t>other associated</w:t>
            </w:r>
            <w:r w:rsidRPr="693C9F63">
              <w:rPr>
                <w:sz w:val="20"/>
                <w:szCs w:val="20"/>
              </w:rPr>
              <w:t xml:space="preserve"> morbidity. Costs for diagnosing and treating osteoporosis-related conditions</w:t>
            </w:r>
          </w:p>
          <w:p w14:paraId="4B21664A" w14:textId="7A0C2EA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sz w:val="20"/>
                <w:szCs w:val="20"/>
              </w:rPr>
              <w:t>include</w:t>
            </w:r>
            <w:proofErr w:type="gramEnd"/>
            <w:r w:rsidRPr="2F12C45C">
              <w:rPr>
                <w:sz w:val="20"/>
                <w:szCs w:val="20"/>
              </w:rPr>
              <w:t xml:space="preserve"> bone densitometry ($150–250), osteoporosis medications ($50–100/month), and treatment for bone fractures ($6,000–25,000). In addition to osteoporosis, it is possible that undiagnosed and untreated vitamin D deficiency could cause </w:t>
            </w:r>
            <w:r w:rsidRPr="2F12C45C">
              <w:rPr>
                <w:sz w:val="20"/>
                <w:szCs w:val="20"/>
              </w:rPr>
              <w:lastRenderedPageBreak/>
              <w:t>weakness, worsen the disease course of MS, and increase the risk for developing other vitamin D deficiency-associated conditions.</w:t>
            </w:r>
          </w:p>
          <w:p w14:paraId="47615582" w14:textId="7AB3831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A80F7F2" w14:textId="5C4286E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u w:val="single"/>
              </w:rPr>
              <w:t>Supplementing Blindly</w:t>
            </w:r>
            <w:r w:rsidRPr="2F12C45C">
              <w:rPr>
                <w:sz w:val="20"/>
                <w:szCs w:val="20"/>
              </w:rPr>
              <w:t>:</w:t>
            </w:r>
          </w:p>
          <w:p w14:paraId="4955995E" w14:textId="17A15F5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 xml:space="preserve">Advantages: </w:t>
            </w:r>
            <w:r w:rsidRPr="2F12C45C">
              <w:rPr>
                <w:sz w:val="20"/>
                <w:szCs w:val="20"/>
              </w:rPr>
              <w:t>May provide benefits</w:t>
            </w:r>
          </w:p>
          <w:p w14:paraId="7BFF0789" w14:textId="6F1B70D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sz w:val="20"/>
                <w:szCs w:val="20"/>
              </w:rPr>
              <w:t>for</w:t>
            </w:r>
            <w:proofErr w:type="gramEnd"/>
            <w:r w:rsidRPr="2F12C45C">
              <w:rPr>
                <w:sz w:val="20"/>
                <w:szCs w:val="20"/>
              </w:rPr>
              <w:t xml:space="preserve"> bone health as well as strength, general health and, possibly, MS vitamin D-deficient. </w:t>
            </w:r>
          </w:p>
          <w:p w14:paraId="25F35946" w14:textId="6925801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Avoids the inconvenience and cost ($50–200) of the blood test.</w:t>
            </w:r>
          </w:p>
          <w:p w14:paraId="4FBBF29A" w14:textId="7BE2F13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Disadvantages:</w:t>
            </w:r>
            <w:r w:rsidRPr="2F12C45C">
              <w:rPr>
                <w:sz w:val="20"/>
                <w:szCs w:val="20"/>
              </w:rPr>
              <w:t xml:space="preserve"> Unnecessary supplementation in those who are not deficient—this supplementation has associated inconvenience and cost. </w:t>
            </w:r>
          </w:p>
          <w:p w14:paraId="1ACE17C7" w14:textId="4AF4DAE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Can cause a false sense of security for those who have deficiency that is not corrected with the “blind” supplementation, and they will, unknowingly, still be at risk for various vitamin D deficiency-related conditions.</w:t>
            </w:r>
          </w:p>
          <w:p w14:paraId="39548914" w14:textId="31AFD32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BDF81FA" w14:textId="0FFFD21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u w:val="single"/>
              </w:rPr>
              <w:t xml:space="preserve">Supplement if Blood Levels Are Low </w:t>
            </w:r>
          </w:p>
          <w:p w14:paraId="0625BF3F" w14:textId="312C6B7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b/>
                <w:bCs/>
                <w:sz w:val="20"/>
                <w:szCs w:val="20"/>
              </w:rPr>
              <w:t>Advantages</w:t>
            </w:r>
            <w:r w:rsidRPr="2F12C45C">
              <w:rPr>
                <w:sz w:val="20"/>
                <w:szCs w:val="20"/>
              </w:rPr>
              <w:t xml:space="preserve">: For those who are not vitamin D-deficient, this approach avoids unnecessary supplementation. For those who are found to be vitamin D-deficient, this strategy may improve bone health and, additionally, could increase muscle strength, slow the disease course of MS, and improve general </w:t>
            </w:r>
            <w:r w:rsidRPr="2F12C45C">
              <w:rPr>
                <w:sz w:val="20"/>
                <w:szCs w:val="20"/>
              </w:rPr>
              <w:lastRenderedPageBreak/>
              <w:t>health. Through prevention, this approach may avoid the costs of bone densitometry ($150–250) and osteoporosis medications ($50–100/month), and the costs ($6,000–25,000) and morbidity of bone fractures. This approach may also avoid the costs and adverse health effects associated with developing other vitamin D deficiency-associated diseases, such as other immune</w:t>
            </w:r>
          </w:p>
          <w:p w14:paraId="31ECB22B" w14:textId="2BAA2C5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2F12C45C">
              <w:rPr>
                <w:sz w:val="20"/>
                <w:szCs w:val="20"/>
              </w:rPr>
              <w:t>diseases</w:t>
            </w:r>
            <w:proofErr w:type="gramEnd"/>
            <w:r w:rsidRPr="2F12C45C">
              <w:rPr>
                <w:sz w:val="20"/>
                <w:szCs w:val="20"/>
              </w:rPr>
              <w:t xml:space="preserve"> and cancers.</w:t>
            </w:r>
          </w:p>
          <w:p w14:paraId="0D9DE5BB" w14:textId="0D6F1A95"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b/>
                <w:bCs/>
                <w:sz w:val="20"/>
                <w:szCs w:val="20"/>
              </w:rPr>
              <w:t>Disadvantages</w:t>
            </w:r>
            <w:r w:rsidRPr="43A3DDCF">
              <w:rPr>
                <w:sz w:val="20"/>
                <w:szCs w:val="20"/>
              </w:rPr>
              <w:t xml:space="preserve">: This approach relies on vitamin D information that is not absolutely complete—as a result, it is conceivable, although very unlikely, that additional research will identify concerns about the safety or effectiveness of treating vitamin D deficiency in those with MS. Also, this strategy incurs costs for the blood test ($50–200), and, if indicated, vitamin D supplements ($3–6/month). </w:t>
            </w:r>
          </w:p>
          <w:p w14:paraId="02BB0479" w14:textId="49E78CE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AF872AC" w14:textId="4AD9E2D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D56149C" w14:textId="4E697F7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75BDD349" w14:textId="764EC8B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Obtain blood levels of 25-hydroxyvitamin D </w:t>
            </w:r>
          </w:p>
          <w:p w14:paraId="6A777053" w14:textId="53E8FE5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8B46628" w14:textId="24522E5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If normal, no vitamin D supplementation is recommended. </w:t>
            </w:r>
          </w:p>
          <w:p w14:paraId="399BA4E6" w14:textId="6495667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7C16958" w14:textId="198F336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If low recommend vitamin D supplementation. </w:t>
            </w:r>
          </w:p>
          <w:p w14:paraId="35E2A138" w14:textId="346753C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96A2DCA" w14:textId="1770E03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Recheck the blood level to confirm it is normal after three to six months.</w:t>
            </w:r>
          </w:p>
          <w:p w14:paraId="70615F54" w14:textId="143F017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262F320" w14:textId="19049B1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Supplementation:</w:t>
            </w:r>
          </w:p>
          <w:p w14:paraId="5159A34D" w14:textId="48E61E2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Initial treatment with 50,000 IU weekly for two months, maintenance dosing with 2,000–5,000 IU daily or 50,000 IU every two weeks.</w:t>
            </w:r>
          </w:p>
          <w:p w14:paraId="741E2DE0" w14:textId="76C92C4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E35142F" w14:textId="598D553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Recommend Vitamin D3 supplements, which are about the same price as vitamin</w:t>
            </w:r>
          </w:p>
          <w:p w14:paraId="6BF0342D" w14:textId="0C5521F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D2 supplements, however are preferable because, relative to vitamin D2, vitamin D3 is</w:t>
            </w:r>
          </w:p>
          <w:p w14:paraId="304E28C5" w14:textId="136BB05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more active biologically, raises blood levels more effectively, and is more stable on the</w:t>
            </w:r>
          </w:p>
          <w:p w14:paraId="692BE71F" w14:textId="06F43689" w:rsidR="2F12C45C" w:rsidRDefault="00BA4D0A" w:rsidP="43A3DDCF">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43A3DDCF">
              <w:rPr>
                <w:sz w:val="20"/>
                <w:szCs w:val="20"/>
              </w:rPr>
              <w:t>shelf</w:t>
            </w:r>
            <w:proofErr w:type="gramEnd"/>
            <w:r w:rsidRPr="43A3DDCF">
              <w:rPr>
                <w:sz w:val="20"/>
                <w:szCs w:val="20"/>
              </w:rPr>
              <w:t>.</w:t>
            </w:r>
          </w:p>
          <w:p w14:paraId="2E009512" w14:textId="0A523C7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5E5C6BA" w14:textId="26FE810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C3ED6CF" w14:textId="466C3F5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1FEB76CD"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0D7EE1A9" w14:textId="51DDA2FF" w:rsidR="2F12C45C" w:rsidRDefault="693C9F63" w:rsidP="693C9F63">
            <w:pPr>
              <w:ind w:left="720" w:hanging="720"/>
              <w:rPr>
                <w:sz w:val="20"/>
                <w:szCs w:val="20"/>
              </w:rPr>
            </w:pPr>
            <w:proofErr w:type="spellStart"/>
            <w:r w:rsidRPr="693C9F63">
              <w:rPr>
                <w:color w:val="333333"/>
                <w:sz w:val="20"/>
                <w:szCs w:val="20"/>
              </w:rPr>
              <w:lastRenderedPageBreak/>
              <w:t>Waubant</w:t>
            </w:r>
            <w:proofErr w:type="spellEnd"/>
            <w:r w:rsidRPr="693C9F63">
              <w:rPr>
                <w:color w:val="333333"/>
                <w:sz w:val="20"/>
                <w:szCs w:val="20"/>
              </w:rPr>
              <w:t xml:space="preserve">, E (2015). Influence of Vitamin D on the Pathophysiology of Multiple Sclerosis. </w:t>
            </w:r>
            <w:r w:rsidRPr="693C9F63">
              <w:rPr>
                <w:i/>
                <w:iCs/>
                <w:color w:val="333333"/>
                <w:sz w:val="20"/>
                <w:szCs w:val="20"/>
              </w:rPr>
              <w:t>International Journal of MS Care,</w:t>
            </w:r>
            <w:r w:rsidRPr="693C9F63">
              <w:rPr>
                <w:color w:val="333333"/>
                <w:sz w:val="20"/>
                <w:szCs w:val="20"/>
              </w:rPr>
              <w:t xml:space="preserve"> </w:t>
            </w:r>
            <w:r w:rsidRPr="693C9F63">
              <w:rPr>
                <w:i/>
                <w:iCs/>
                <w:color w:val="333333"/>
                <w:sz w:val="20"/>
                <w:szCs w:val="20"/>
              </w:rPr>
              <w:t>17</w:t>
            </w:r>
            <w:r w:rsidRPr="693C9F63">
              <w:rPr>
                <w:color w:val="333333"/>
                <w:sz w:val="20"/>
                <w:szCs w:val="20"/>
              </w:rPr>
              <w:t xml:space="preserve">, 2nd ser., 4-8. Retrieved from </w:t>
            </w:r>
            <w:hyperlink r:id="rId32">
              <w:r w:rsidRPr="693C9F63">
                <w:rPr>
                  <w:rStyle w:val="Hyperlink"/>
                  <w:color w:val="333333"/>
                  <w:sz w:val="20"/>
                  <w:szCs w:val="20"/>
                </w:rPr>
                <w:t>http://ijmsc.org/doi/pdf/10.7224/1537-2073-</w:t>
              </w:r>
              <w:r w:rsidRPr="693C9F63">
                <w:rPr>
                  <w:rStyle w:val="Hyperlink"/>
                  <w:color w:val="333333"/>
                  <w:sz w:val="20"/>
                  <w:szCs w:val="20"/>
                </w:rPr>
                <w:lastRenderedPageBreak/>
                <w:t>17.s2.1?code=cmsc-site</w:t>
              </w:r>
            </w:hyperlink>
          </w:p>
        </w:tc>
        <w:tc>
          <w:tcPr>
            <w:tcW w:w="720" w:type="dxa"/>
          </w:tcPr>
          <w:p w14:paraId="5425C0F9" w14:textId="3BD4B1E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Level </w:t>
            </w:r>
          </w:p>
          <w:p w14:paraId="5776E07D" w14:textId="33C3B10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VII</w:t>
            </w:r>
          </w:p>
        </w:tc>
        <w:tc>
          <w:tcPr>
            <w:tcW w:w="2642" w:type="dxa"/>
          </w:tcPr>
          <w:p w14:paraId="464F6445" w14:textId="2B10E3FE"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1</w:t>
            </w:r>
            <w:proofErr w:type="gramStart"/>
            <w:r w:rsidRPr="693C9F63">
              <w:rPr>
                <w:sz w:val="20"/>
                <w:szCs w:val="20"/>
              </w:rPr>
              <w:t>,25</w:t>
            </w:r>
            <w:proofErr w:type="gramEnd"/>
            <w:r w:rsidRPr="693C9F63">
              <w:rPr>
                <w:sz w:val="20"/>
                <w:szCs w:val="20"/>
              </w:rPr>
              <w:t xml:space="preserve">(OH)2D is the active metabolite of vitamin D. Because of its short </w:t>
            </w:r>
            <w:proofErr w:type="spellStart"/>
            <w:r w:rsidRPr="693C9F63">
              <w:rPr>
                <w:sz w:val="20"/>
                <w:szCs w:val="20"/>
              </w:rPr>
              <w:t>half life</w:t>
            </w:r>
            <w:proofErr w:type="spellEnd"/>
            <w:r w:rsidRPr="693C9F63">
              <w:rPr>
                <w:sz w:val="20"/>
                <w:szCs w:val="20"/>
              </w:rPr>
              <w:t>, 25(OH</w:t>
            </w:r>
            <w:proofErr w:type="gramStart"/>
            <w:r w:rsidRPr="693C9F63">
              <w:rPr>
                <w:sz w:val="20"/>
                <w:szCs w:val="20"/>
              </w:rPr>
              <w:t>)D</w:t>
            </w:r>
            <w:proofErr w:type="gramEnd"/>
            <w:r w:rsidRPr="693C9F63">
              <w:rPr>
                <w:sz w:val="20"/>
                <w:szCs w:val="20"/>
              </w:rPr>
              <w:t xml:space="preserve"> is typically what is measured in serum to evaluate vitamin D stores in the body. </w:t>
            </w:r>
          </w:p>
        </w:tc>
        <w:tc>
          <w:tcPr>
            <w:tcW w:w="2153" w:type="dxa"/>
          </w:tcPr>
          <w:p w14:paraId="3B65D095" w14:textId="00BD6DCC"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Studies show that the presence of vitamin D shifts immunity from a pro-inflammatory to an anti-inflammatory state, and may help protect the blood brain barrier.</w:t>
            </w:r>
          </w:p>
          <w:p w14:paraId="6E8BC43F" w14:textId="2CB34FB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EC8FF19" w14:textId="34A43E0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There is strong evidence that vitamin D may be crucial in MS pathophysiology. Vitamin D is believed to be involved in MS </w:t>
            </w:r>
            <w:r w:rsidRPr="2F12C45C">
              <w:rPr>
                <w:sz w:val="20"/>
                <w:szCs w:val="20"/>
              </w:rPr>
              <w:lastRenderedPageBreak/>
              <w:t xml:space="preserve">susceptibility, neurologic development at different stages of life, and immune cell behavior in the presence of inflammation in both the periphery and the CNS. </w:t>
            </w:r>
          </w:p>
        </w:tc>
        <w:tc>
          <w:tcPr>
            <w:tcW w:w="1332" w:type="dxa"/>
          </w:tcPr>
          <w:p w14:paraId="2AA9438A" w14:textId="2CC5D974"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Studies show that the presence of vitamin D shifts immunity from a pro-inflammatory to an anti-inflammatory state, and may help protect the </w:t>
            </w:r>
            <w:r w:rsidRPr="43A3DDCF">
              <w:rPr>
                <w:sz w:val="20"/>
                <w:szCs w:val="20"/>
              </w:rPr>
              <w:lastRenderedPageBreak/>
              <w:t>blood brain barrier.</w:t>
            </w:r>
          </w:p>
          <w:p w14:paraId="33568A38" w14:textId="29851C7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2536403C"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9A5EBF3" w14:textId="62D905EA" w:rsidR="2F12C45C" w:rsidRDefault="2F12C45C" w:rsidP="2F12C45C">
            <w:pPr>
              <w:ind w:left="720" w:hanging="720"/>
              <w:rPr>
                <w:sz w:val="20"/>
                <w:szCs w:val="20"/>
              </w:rPr>
            </w:pPr>
            <w:proofErr w:type="spellStart"/>
            <w:r w:rsidRPr="2F12C45C">
              <w:rPr>
                <w:color w:val="333333"/>
                <w:sz w:val="20"/>
                <w:szCs w:val="20"/>
              </w:rPr>
              <w:lastRenderedPageBreak/>
              <w:t>Mowry</w:t>
            </w:r>
            <w:proofErr w:type="spellEnd"/>
            <w:r w:rsidRPr="2F12C45C">
              <w:rPr>
                <w:color w:val="333333"/>
                <w:sz w:val="20"/>
                <w:szCs w:val="20"/>
              </w:rPr>
              <w:t xml:space="preserve">, E. (2015).  Vitamin D Insufficiency and Supplementation in MS: Findings from Clinical Studies. </w:t>
            </w:r>
            <w:r w:rsidRPr="2F12C45C">
              <w:rPr>
                <w:i/>
                <w:iCs/>
                <w:color w:val="333333"/>
                <w:sz w:val="20"/>
                <w:szCs w:val="20"/>
              </w:rPr>
              <w:t>International Journal of MS Care,</w:t>
            </w:r>
            <w:r w:rsidRPr="2F12C45C">
              <w:rPr>
                <w:color w:val="333333"/>
                <w:sz w:val="20"/>
                <w:szCs w:val="20"/>
              </w:rPr>
              <w:t xml:space="preserve"> </w:t>
            </w:r>
            <w:r w:rsidRPr="2F12C45C">
              <w:rPr>
                <w:i/>
                <w:iCs/>
                <w:color w:val="333333"/>
                <w:sz w:val="20"/>
                <w:szCs w:val="20"/>
              </w:rPr>
              <w:t>17</w:t>
            </w:r>
            <w:r w:rsidRPr="2F12C45C">
              <w:rPr>
                <w:color w:val="333333"/>
                <w:sz w:val="20"/>
                <w:szCs w:val="20"/>
              </w:rPr>
              <w:t xml:space="preserve">, 2nd ser., 9-16. Retrieved from </w:t>
            </w:r>
            <w:hyperlink r:id="rId33">
              <w:r w:rsidRPr="2F12C45C">
                <w:rPr>
                  <w:rStyle w:val="Hyperlink"/>
                  <w:color w:val="333333"/>
                  <w:sz w:val="20"/>
                  <w:szCs w:val="20"/>
                </w:rPr>
                <w:t>http://ijmsc.org/doi/pdf/10.7224/1537-2073-17.s2.1?code=cmsc-site</w:t>
              </w:r>
            </w:hyperlink>
          </w:p>
          <w:p w14:paraId="3C3293F5" w14:textId="35F2284F" w:rsidR="2F12C45C" w:rsidRDefault="2F12C45C" w:rsidP="2F12C45C">
            <w:pPr>
              <w:rPr>
                <w:sz w:val="20"/>
                <w:szCs w:val="20"/>
              </w:rPr>
            </w:pPr>
          </w:p>
        </w:tc>
        <w:tc>
          <w:tcPr>
            <w:tcW w:w="720" w:type="dxa"/>
          </w:tcPr>
          <w:p w14:paraId="712E481A" w14:textId="069E6D0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61DDF859" w14:textId="2FC5B4C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 British study of 40 patients with MS sought to determine how effectively vitamin D supplementation raised serum levels of vitamin D.22 The primary outcome of this study was change in 25(OH</w:t>
            </w:r>
            <w:proofErr w:type="gramStart"/>
            <w:r w:rsidRPr="2F12C45C">
              <w:rPr>
                <w:sz w:val="20"/>
                <w:szCs w:val="20"/>
              </w:rPr>
              <w:t>)D</w:t>
            </w:r>
            <w:proofErr w:type="gramEnd"/>
            <w:r w:rsidRPr="2F12C45C">
              <w:rPr>
                <w:sz w:val="20"/>
                <w:szCs w:val="20"/>
              </w:rPr>
              <w:t xml:space="preserve"> levels among patients taking low-dose, over-the-counter </w:t>
            </w:r>
            <w:proofErr w:type="spellStart"/>
            <w:r w:rsidRPr="2F12C45C">
              <w:rPr>
                <w:sz w:val="20"/>
                <w:szCs w:val="20"/>
              </w:rPr>
              <w:t>cholecalciferol</w:t>
            </w:r>
            <w:proofErr w:type="spellEnd"/>
            <w:r w:rsidRPr="2F12C45C">
              <w:rPr>
                <w:sz w:val="20"/>
                <w:szCs w:val="20"/>
              </w:rPr>
              <w:t xml:space="preserve"> (≤ 800 IU/day) or very high-dose </w:t>
            </w:r>
            <w:proofErr w:type="spellStart"/>
            <w:r w:rsidRPr="2F12C45C">
              <w:rPr>
                <w:sz w:val="20"/>
                <w:szCs w:val="20"/>
              </w:rPr>
              <w:t>ergocalciferol</w:t>
            </w:r>
            <w:proofErr w:type="spellEnd"/>
            <w:r w:rsidRPr="2F12C45C">
              <w:rPr>
                <w:sz w:val="20"/>
                <w:szCs w:val="20"/>
              </w:rPr>
              <w:t xml:space="preserve"> (50,000 IU/day for 7–10 days, followed by 50,000/week or biweekly). At baseline, 84% of patients had low levels of serum 25(OH</w:t>
            </w:r>
            <w:proofErr w:type="gramStart"/>
            <w:r w:rsidRPr="2F12C45C">
              <w:rPr>
                <w:sz w:val="20"/>
                <w:szCs w:val="20"/>
              </w:rPr>
              <w:t>)D</w:t>
            </w:r>
            <w:proofErr w:type="gramEnd"/>
            <w:r w:rsidRPr="2F12C45C">
              <w:rPr>
                <w:sz w:val="20"/>
                <w:szCs w:val="20"/>
              </w:rPr>
              <w:t xml:space="preserve"> (≤100 </w:t>
            </w:r>
            <w:proofErr w:type="spellStart"/>
            <w:r w:rsidRPr="2F12C45C">
              <w:rPr>
                <w:sz w:val="20"/>
                <w:szCs w:val="20"/>
              </w:rPr>
              <w:t>nmol</w:t>
            </w:r>
            <w:proofErr w:type="spellEnd"/>
            <w:r w:rsidRPr="2F12C45C">
              <w:rPr>
                <w:sz w:val="20"/>
                <w:szCs w:val="20"/>
              </w:rPr>
              <w:t xml:space="preserve">/L). While the lower-dose supplementation did not serve to increase blood levels significantly, more patients in the higher-dose group did achieve serum vitamin D levels in the target (≥100 </w:t>
            </w:r>
            <w:proofErr w:type="spellStart"/>
            <w:r w:rsidRPr="2F12C45C">
              <w:rPr>
                <w:sz w:val="20"/>
                <w:szCs w:val="20"/>
              </w:rPr>
              <w:t>nmol</w:t>
            </w:r>
            <w:proofErr w:type="spellEnd"/>
            <w:r w:rsidRPr="2F12C45C">
              <w:rPr>
                <w:sz w:val="20"/>
                <w:szCs w:val="20"/>
              </w:rPr>
              <w:t>/L) range.</w:t>
            </w:r>
          </w:p>
          <w:p w14:paraId="6BE18787" w14:textId="135F6ED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013E8FD" w14:textId="049C30D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Many patients with MS have insufficient blood levels of vitamin D, but what is considered “low” has been controversial. Some sources set a cutoff point of 75 </w:t>
            </w:r>
            <w:proofErr w:type="spellStart"/>
            <w:r w:rsidRPr="2F12C45C">
              <w:rPr>
                <w:sz w:val="20"/>
                <w:szCs w:val="20"/>
              </w:rPr>
              <w:t>nmol</w:t>
            </w:r>
            <w:proofErr w:type="spellEnd"/>
            <w:r w:rsidRPr="2F12C45C">
              <w:rPr>
                <w:sz w:val="20"/>
                <w:szCs w:val="20"/>
              </w:rPr>
              <w:t xml:space="preserve">/L (30 ng/mL) while others consider under 100 </w:t>
            </w:r>
            <w:proofErr w:type="spellStart"/>
            <w:r w:rsidRPr="2F12C45C">
              <w:rPr>
                <w:sz w:val="20"/>
                <w:szCs w:val="20"/>
              </w:rPr>
              <w:t>nmol</w:t>
            </w:r>
            <w:proofErr w:type="spellEnd"/>
            <w:r w:rsidRPr="2F12C45C">
              <w:rPr>
                <w:sz w:val="20"/>
                <w:szCs w:val="20"/>
              </w:rPr>
              <w:t xml:space="preserve">/L as being too low (per the findings of </w:t>
            </w:r>
            <w:proofErr w:type="spellStart"/>
            <w:r w:rsidRPr="2F12C45C">
              <w:rPr>
                <w:sz w:val="20"/>
                <w:szCs w:val="20"/>
              </w:rPr>
              <w:t>Munger</w:t>
            </w:r>
            <w:proofErr w:type="spellEnd"/>
            <w:r w:rsidRPr="2F12C45C">
              <w:rPr>
                <w:sz w:val="20"/>
                <w:szCs w:val="20"/>
              </w:rPr>
              <w:t xml:space="preserve">, et al).4 The level of 100 </w:t>
            </w:r>
            <w:proofErr w:type="spellStart"/>
            <w:r w:rsidRPr="2F12C45C">
              <w:rPr>
                <w:sz w:val="20"/>
                <w:szCs w:val="20"/>
              </w:rPr>
              <w:t>nmol</w:t>
            </w:r>
            <w:proofErr w:type="spellEnd"/>
            <w:r w:rsidRPr="2F12C45C">
              <w:rPr>
                <w:sz w:val="20"/>
                <w:szCs w:val="20"/>
              </w:rPr>
              <w:t xml:space="preserve">/L is much higher than what most laboratories would consider a cutoff point. In addition, normal doses of oral supplements may be inadequate to elevate serum vitamin D in patients with low serum vitamin D. </w:t>
            </w:r>
          </w:p>
          <w:p w14:paraId="6E87B57E" w14:textId="1B69999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694468E" w14:textId="0A58E002"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lastRenderedPageBreak/>
              <w:t>A phase I/II open-label study by Burton and colleagues evaluated the safety of vitamin D3 doses as high as 40,000 IU/day in 49 patients with MS (25 receiving treatment and 24 non-supplemented controls) for one year. The maximum dose was escalated upward over 28 weeks in order to rapidly raise serum 25(OH</w:t>
            </w:r>
            <w:proofErr w:type="gramStart"/>
            <w:r w:rsidRPr="693C9F63">
              <w:rPr>
                <w:sz w:val="20"/>
                <w:szCs w:val="20"/>
              </w:rPr>
              <w:t>)D</w:t>
            </w:r>
            <w:proofErr w:type="gramEnd"/>
            <w:r w:rsidRPr="693C9F63">
              <w:rPr>
                <w:sz w:val="20"/>
                <w:szCs w:val="20"/>
              </w:rPr>
              <w:t xml:space="preserve"> levels. After that, patients received vitamin D at 10,000 IU/day for 12 weeks and were then titrated off the supplement. The primary outcome measure was serum calcium level. Calcium measures in both the treatment group and controls were found to be normal, and no major adverse events were observed (including disruption of renal or hepatic function) despite a very high peak 25(OH</w:t>
            </w:r>
            <w:proofErr w:type="gramStart"/>
            <w:r w:rsidRPr="693C9F63">
              <w:rPr>
                <w:sz w:val="20"/>
                <w:szCs w:val="20"/>
              </w:rPr>
              <w:t>)D</w:t>
            </w:r>
            <w:proofErr w:type="gramEnd"/>
            <w:r w:rsidRPr="693C9F63">
              <w:rPr>
                <w:sz w:val="20"/>
                <w:szCs w:val="20"/>
              </w:rPr>
              <w:t xml:space="preserve"> of 413 </w:t>
            </w:r>
            <w:proofErr w:type="spellStart"/>
            <w:r w:rsidRPr="693C9F63">
              <w:rPr>
                <w:sz w:val="20"/>
                <w:szCs w:val="20"/>
              </w:rPr>
              <w:t>nmol</w:t>
            </w:r>
            <w:proofErr w:type="spellEnd"/>
            <w:r w:rsidRPr="693C9F63">
              <w:rPr>
                <w:sz w:val="20"/>
                <w:szCs w:val="20"/>
              </w:rPr>
              <w:t xml:space="preserve">/L. Although the trial was not powered to detect a difference in clinical </w:t>
            </w:r>
            <w:r w:rsidR="00285D7D" w:rsidRPr="693C9F63">
              <w:rPr>
                <w:sz w:val="20"/>
                <w:szCs w:val="20"/>
              </w:rPr>
              <w:t>outcomes</w:t>
            </w:r>
            <w:r w:rsidRPr="693C9F63">
              <w:rPr>
                <w:sz w:val="20"/>
                <w:szCs w:val="20"/>
              </w:rPr>
              <w:t xml:space="preserve"> between the groups, some potential </w:t>
            </w:r>
            <w:proofErr w:type="spellStart"/>
            <w:r w:rsidRPr="693C9F63">
              <w:rPr>
                <w:sz w:val="20"/>
                <w:szCs w:val="20"/>
              </w:rPr>
              <w:t>immunomodulatory</w:t>
            </w:r>
            <w:proofErr w:type="spellEnd"/>
            <w:r w:rsidRPr="693C9F63">
              <w:rPr>
                <w:sz w:val="20"/>
                <w:szCs w:val="20"/>
              </w:rPr>
              <w:t xml:space="preserve"> effects were observed that may have been attributable to vitamin D, including a lower rate of relapses in the treated group and persistent reductions in T-cell proliferation. The study provided Class II evidence that daily doses of 10,000–14,000 IU/day did not negatively affect serum calcium levels</w:t>
            </w:r>
          </w:p>
        </w:tc>
        <w:tc>
          <w:tcPr>
            <w:tcW w:w="2153" w:type="dxa"/>
          </w:tcPr>
          <w:p w14:paraId="58FC2B0A" w14:textId="6F47C44C"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More patients in the higher-dose group achieved serum vitamin D levels in the target (≥100 </w:t>
            </w:r>
            <w:proofErr w:type="spellStart"/>
            <w:r w:rsidRPr="43A3DDCF">
              <w:rPr>
                <w:sz w:val="20"/>
                <w:szCs w:val="20"/>
              </w:rPr>
              <w:t>nmol</w:t>
            </w:r>
            <w:proofErr w:type="spellEnd"/>
            <w:r w:rsidRPr="43A3DDCF">
              <w:rPr>
                <w:sz w:val="20"/>
                <w:szCs w:val="20"/>
              </w:rPr>
              <w:t>/L) range vs. The low dose group.</w:t>
            </w:r>
          </w:p>
          <w:p w14:paraId="0EE11524" w14:textId="60AE16B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AB85132" w14:textId="34C0A05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definition of insufficient blood levels is controversial.</w:t>
            </w:r>
          </w:p>
          <w:p w14:paraId="18D8702A" w14:textId="4A6874B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BDE7D5F" w14:textId="3EBB20E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Daily doses of 10,000–14,000 IU/day did not negatively affect serum calcium levels</w:t>
            </w:r>
          </w:p>
        </w:tc>
        <w:tc>
          <w:tcPr>
            <w:tcW w:w="1332" w:type="dxa"/>
          </w:tcPr>
          <w:p w14:paraId="34C1056E" w14:textId="061BEB7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Normal doses of oral supplements may be inadequate to elevate serum vitamin D in patients with low serum vitamin D. </w:t>
            </w:r>
          </w:p>
          <w:p w14:paraId="0F6F5D11" w14:textId="47503A4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2EC4C7D" w14:textId="07AF963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Higher-dose supplementation is more effective at achieving target serum level range.</w:t>
            </w:r>
          </w:p>
          <w:p w14:paraId="3FAAF752" w14:textId="3C44CCD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A7ACB1F" w14:textId="478113E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Daily doses of 10,000–14,000 IU/day did not negatively affect serum calcium levels</w:t>
            </w:r>
          </w:p>
        </w:tc>
      </w:tr>
      <w:tr w:rsidR="2F12C45C" w14:paraId="2A28959B"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5583FE78" w14:textId="0C727ADA" w:rsidR="2F12C45C" w:rsidRDefault="43A3DDCF" w:rsidP="43A3DDCF">
            <w:pPr>
              <w:ind w:left="720" w:hanging="720"/>
              <w:rPr>
                <w:sz w:val="20"/>
                <w:szCs w:val="20"/>
              </w:rPr>
            </w:pPr>
            <w:r w:rsidRPr="43A3DDCF">
              <w:rPr>
                <w:color w:val="333333"/>
                <w:sz w:val="20"/>
                <w:szCs w:val="20"/>
              </w:rPr>
              <w:lastRenderedPageBreak/>
              <w:t xml:space="preserve">Bowling, A. (2015). Integrating Vitamin D Into the Overall Therapeutic Strategy for MS. </w:t>
            </w:r>
            <w:r w:rsidRPr="43A3DDCF">
              <w:rPr>
                <w:i/>
                <w:iCs/>
                <w:color w:val="333333"/>
                <w:sz w:val="20"/>
                <w:szCs w:val="20"/>
              </w:rPr>
              <w:t>International Journal of MS Care,</w:t>
            </w:r>
            <w:r w:rsidRPr="43A3DDCF">
              <w:rPr>
                <w:color w:val="333333"/>
                <w:sz w:val="20"/>
                <w:szCs w:val="20"/>
              </w:rPr>
              <w:t xml:space="preserve"> </w:t>
            </w:r>
            <w:r w:rsidRPr="43A3DDCF">
              <w:rPr>
                <w:i/>
                <w:iCs/>
                <w:color w:val="333333"/>
                <w:sz w:val="20"/>
                <w:szCs w:val="20"/>
              </w:rPr>
              <w:t>17</w:t>
            </w:r>
            <w:r w:rsidRPr="43A3DDCF">
              <w:rPr>
                <w:color w:val="333333"/>
                <w:sz w:val="20"/>
                <w:szCs w:val="20"/>
              </w:rPr>
              <w:t xml:space="preserve">, 2nd ser., 17-21. Retrieved from </w:t>
            </w:r>
            <w:hyperlink r:id="rId34">
              <w:r w:rsidRPr="43A3DDCF">
                <w:rPr>
                  <w:rStyle w:val="Hyperlink"/>
                  <w:color w:val="333333"/>
                  <w:sz w:val="20"/>
                  <w:szCs w:val="20"/>
                </w:rPr>
                <w:t>http://ijmsc.org/doi/pdf/10.7224/153</w:t>
              </w:r>
              <w:r w:rsidRPr="43A3DDCF">
                <w:rPr>
                  <w:rStyle w:val="Hyperlink"/>
                  <w:color w:val="333333"/>
                  <w:sz w:val="20"/>
                  <w:szCs w:val="20"/>
                </w:rPr>
                <w:lastRenderedPageBreak/>
                <w:t>7-2073-17.s2.1?code=cmsc-site</w:t>
              </w:r>
            </w:hyperlink>
          </w:p>
        </w:tc>
        <w:tc>
          <w:tcPr>
            <w:tcW w:w="720" w:type="dxa"/>
          </w:tcPr>
          <w:p w14:paraId="359368A1" w14:textId="12ED62B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Level </w:t>
            </w:r>
          </w:p>
          <w:p w14:paraId="7B6D6649" w14:textId="66C37A3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VII</w:t>
            </w:r>
          </w:p>
        </w:tc>
        <w:tc>
          <w:tcPr>
            <w:tcW w:w="2642" w:type="dxa"/>
          </w:tcPr>
          <w:p w14:paraId="009DC7BC" w14:textId="5AF17E5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Among people with MS, an estimated 80% have serum vitamin D levels below 20 ng/mL, regardless of the stage of disease</w:t>
            </w:r>
          </w:p>
          <w:p w14:paraId="1E1C5DA4" w14:textId="16D9AD5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19FC6C8E" w14:textId="42F5917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Based on current information, it is reasonable to obtain a serum vitamin D level at baseline. Patients with serum 25(OH</w:t>
            </w:r>
            <w:proofErr w:type="gramStart"/>
            <w:r w:rsidRPr="2F12C45C">
              <w:rPr>
                <w:sz w:val="20"/>
                <w:szCs w:val="20"/>
              </w:rPr>
              <w:t>)D</w:t>
            </w:r>
            <w:proofErr w:type="gramEnd"/>
            <w:r w:rsidRPr="2F12C45C">
              <w:rPr>
                <w:sz w:val="20"/>
                <w:szCs w:val="20"/>
              </w:rPr>
              <w:t xml:space="preserve"> levels &lt;30 ng/mL may be supplemented and then should be rechecked in 3 </w:t>
            </w:r>
            <w:r w:rsidRPr="2F12C45C">
              <w:rPr>
                <w:sz w:val="20"/>
                <w:szCs w:val="20"/>
              </w:rPr>
              <w:lastRenderedPageBreak/>
              <w:t>to 6 months. Some over-the-counter supple­ments may not offer consistent levels of supplementation (due to quality control issues), so change in 25(OH</w:t>
            </w:r>
            <w:proofErr w:type="gramStart"/>
            <w:r w:rsidRPr="2F12C45C">
              <w:rPr>
                <w:sz w:val="20"/>
                <w:szCs w:val="20"/>
              </w:rPr>
              <w:t>)D</w:t>
            </w:r>
            <w:proofErr w:type="gramEnd"/>
            <w:r w:rsidRPr="2F12C45C">
              <w:rPr>
                <w:sz w:val="20"/>
                <w:szCs w:val="20"/>
              </w:rPr>
              <w:t xml:space="preserve"> while tak­ing supplementation is a more reliable way to appreciate vitamin D status attained. For those with appropriate vitamin D lev­els, testing may be repeated approximately every two years.</w:t>
            </w:r>
          </w:p>
          <w:p w14:paraId="76AD75D0" w14:textId="3ED8597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0DB788E" w14:textId="334897F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“tolerable upper intake level”—what is considered a safe intake limit for adults—doubled from 2,000 IU to 4,000 IU/</w:t>
            </w:r>
            <w:proofErr w:type="gramStart"/>
            <w:r w:rsidRPr="2F12C45C">
              <w:rPr>
                <w:sz w:val="20"/>
                <w:szCs w:val="20"/>
              </w:rPr>
              <w:t>day.</w:t>
            </w:r>
            <w:proofErr w:type="gramEnd"/>
            <w:r w:rsidRPr="2F12C45C">
              <w:rPr>
                <w:sz w:val="20"/>
                <w:szCs w:val="20"/>
              </w:rPr>
              <w:t xml:space="preserve">  A notable exception is patients with sarcoidosis, who are at high risk for </w:t>
            </w:r>
            <w:proofErr w:type="spellStart"/>
            <w:r w:rsidRPr="2F12C45C">
              <w:rPr>
                <w:sz w:val="20"/>
                <w:szCs w:val="20"/>
              </w:rPr>
              <w:t>hypercalcemia</w:t>
            </w:r>
            <w:proofErr w:type="spellEnd"/>
            <w:r w:rsidRPr="2F12C45C">
              <w:rPr>
                <w:sz w:val="20"/>
                <w:szCs w:val="20"/>
              </w:rPr>
              <w:t>.</w:t>
            </w:r>
          </w:p>
          <w:p w14:paraId="61BDEAE3" w14:textId="355EEE0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4CF5881" w14:textId="61A5BC76"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In reality, supplement doses needed to bring up a low vitamin D level may be much higher than the RDA value, but this depends on the baseline and target 25(OH</w:t>
            </w:r>
            <w:proofErr w:type="gramStart"/>
            <w:r w:rsidRPr="43A3DDCF">
              <w:rPr>
                <w:sz w:val="20"/>
                <w:szCs w:val="20"/>
              </w:rPr>
              <w:t>)D</w:t>
            </w:r>
            <w:proofErr w:type="gramEnd"/>
            <w:r w:rsidRPr="43A3DDCF">
              <w:rPr>
                <w:sz w:val="20"/>
                <w:szCs w:val="20"/>
              </w:rPr>
              <w:t xml:space="preserve"> levels. To bring most people above 30 ng/ mL, a dosage of between 1,000 and 4,000 IU/day may be needed.</w:t>
            </w:r>
          </w:p>
          <w:p w14:paraId="5FD6A4C0" w14:textId="4A823BC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92A374A" w14:textId="6A010D6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Higher vitamin D levels are associated with a two- to three-fold decreased risk of upper respiratory infections, which may be relevant to MS.</w:t>
            </w:r>
          </w:p>
          <w:p w14:paraId="7A1A3D4F" w14:textId="0922E62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F242C44" w14:textId="046A8C00"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If necessary, vitamin D3 should be supplemented at doses of 600 IU to 4,000 IU (in conjunc­tion with calcium 1,000 to 1,200 mg/day for women) to a target range of 30 to 55 ng/</w:t>
            </w:r>
            <w:proofErr w:type="spellStart"/>
            <w:r w:rsidRPr="693C9F63">
              <w:rPr>
                <w:sz w:val="20"/>
                <w:szCs w:val="20"/>
              </w:rPr>
              <w:t>mL.</w:t>
            </w:r>
            <w:proofErr w:type="spellEnd"/>
            <w:r w:rsidRPr="693C9F63">
              <w:rPr>
                <w:sz w:val="20"/>
                <w:szCs w:val="20"/>
              </w:rPr>
              <w:t xml:space="preserve"> For men, it is unclear whether calcium supplements should be used. High calcium intake has been associated with increased risk of prostate cancer in some, but not all, studies.</w:t>
            </w:r>
          </w:p>
          <w:p w14:paraId="6BF96CAA" w14:textId="623BF74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7DFB74AA" w14:textId="3DCA972A"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lastRenderedPageBreak/>
              <w:t xml:space="preserve">Given the importance of vitamin D in the body as a whole and its potential influence on MS, it is important to consider vitamin D status as part of an overall therapeutic strategy. Regulating vitamin D intake and levels should be one small part of a broad-based, comprehensive </w:t>
            </w:r>
            <w:r w:rsidRPr="43A3DDCF">
              <w:rPr>
                <w:sz w:val="20"/>
                <w:szCs w:val="20"/>
              </w:rPr>
              <w:lastRenderedPageBreak/>
              <w:t xml:space="preserve">healthcare plan for those with MS. </w:t>
            </w:r>
          </w:p>
          <w:p w14:paraId="31347988" w14:textId="34EB26E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D953A0A" w14:textId="52E7A3B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Many patients are taking high-dose vitamin D supplements empirically, without knowing their serum vitamin D level. The concern with this approach is that it may lead to unnecessary or inadequate supplement use.</w:t>
            </w:r>
          </w:p>
          <w:p w14:paraId="048A2D4D" w14:textId="1BECB00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C377CE6" w14:textId="6A2E460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7CCC3664" w14:textId="525F1D9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Supplement doses needed to bring up a low vitamin D level may be much higher than the RDA value, but this depends on the baseline and target </w:t>
            </w:r>
            <w:r w:rsidRPr="2F12C45C">
              <w:rPr>
                <w:sz w:val="20"/>
                <w:szCs w:val="20"/>
              </w:rPr>
              <w:lastRenderedPageBreak/>
              <w:t>25(OH</w:t>
            </w:r>
            <w:proofErr w:type="gramStart"/>
            <w:r w:rsidRPr="2F12C45C">
              <w:rPr>
                <w:sz w:val="20"/>
                <w:szCs w:val="20"/>
              </w:rPr>
              <w:t>)D</w:t>
            </w:r>
            <w:proofErr w:type="gramEnd"/>
            <w:r w:rsidRPr="2F12C45C">
              <w:rPr>
                <w:sz w:val="20"/>
                <w:szCs w:val="20"/>
              </w:rPr>
              <w:t xml:space="preserve"> levels. </w:t>
            </w:r>
          </w:p>
          <w:p w14:paraId="0480E20C" w14:textId="11C74DD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Serum 25(OH</w:t>
            </w:r>
            <w:proofErr w:type="gramStart"/>
            <w:r w:rsidRPr="2F12C45C">
              <w:rPr>
                <w:sz w:val="20"/>
                <w:szCs w:val="20"/>
              </w:rPr>
              <w:t>)D</w:t>
            </w:r>
            <w:proofErr w:type="gramEnd"/>
            <w:r w:rsidRPr="2F12C45C">
              <w:rPr>
                <w:sz w:val="20"/>
                <w:szCs w:val="20"/>
              </w:rPr>
              <w:t xml:space="preserve"> should be monitored in patients with MS at baseline and rechecked 3 to 6 months after initiating supplementation or chang­ing the treatment regimen. </w:t>
            </w:r>
          </w:p>
          <w:p w14:paraId="22B93764" w14:textId="38F99BD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58BF0D3" w14:textId="7DC9185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r w:rsidR="2F12C45C" w14:paraId="20C6BD18"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497C5C5" w14:textId="4665BF55" w:rsidR="2F12C45C" w:rsidRDefault="693C9F63" w:rsidP="693C9F63">
            <w:pPr>
              <w:ind w:left="720" w:hanging="720"/>
              <w:rPr>
                <w:sz w:val="20"/>
                <w:szCs w:val="20"/>
              </w:rPr>
            </w:pPr>
            <w:proofErr w:type="spellStart"/>
            <w:r w:rsidRPr="693C9F63">
              <w:rPr>
                <w:sz w:val="20"/>
                <w:szCs w:val="20"/>
              </w:rPr>
              <w:lastRenderedPageBreak/>
              <w:t>Bordelon</w:t>
            </w:r>
            <w:proofErr w:type="spellEnd"/>
            <w:r w:rsidRPr="693C9F63">
              <w:rPr>
                <w:sz w:val="20"/>
                <w:szCs w:val="20"/>
              </w:rPr>
              <w:t xml:space="preserve">, P., </w:t>
            </w:r>
            <w:proofErr w:type="spellStart"/>
            <w:r w:rsidRPr="693C9F63">
              <w:rPr>
                <w:sz w:val="20"/>
                <w:szCs w:val="20"/>
              </w:rPr>
              <w:t>Ghetu</w:t>
            </w:r>
            <w:proofErr w:type="spellEnd"/>
            <w:r w:rsidRPr="693C9F63">
              <w:rPr>
                <w:sz w:val="20"/>
                <w:szCs w:val="20"/>
              </w:rPr>
              <w:t xml:space="preserve">, M. V., &amp; </w:t>
            </w:r>
            <w:proofErr w:type="spellStart"/>
            <w:r w:rsidRPr="693C9F63">
              <w:rPr>
                <w:sz w:val="20"/>
                <w:szCs w:val="20"/>
              </w:rPr>
              <w:t>Langan</w:t>
            </w:r>
            <w:proofErr w:type="spellEnd"/>
            <w:r w:rsidRPr="693C9F63">
              <w:rPr>
                <w:sz w:val="20"/>
                <w:szCs w:val="20"/>
              </w:rPr>
              <w:t>, R. C. (2009). Recognition and management of vitamin D deficiency.</w:t>
            </w:r>
            <w:r w:rsidRPr="693C9F63">
              <w:rPr>
                <w:i/>
                <w:iCs/>
                <w:sz w:val="20"/>
                <w:szCs w:val="20"/>
              </w:rPr>
              <w:t xml:space="preserve"> American Family Physician, 80</w:t>
            </w:r>
            <w:r w:rsidRPr="693C9F63">
              <w:rPr>
                <w:sz w:val="20"/>
                <w:szCs w:val="20"/>
              </w:rPr>
              <w:t>(8), 841-846.</w:t>
            </w:r>
          </w:p>
          <w:p w14:paraId="78FC8378" w14:textId="11AD6A30" w:rsidR="2F12C45C" w:rsidRDefault="2F12C45C" w:rsidP="2F12C45C">
            <w:pPr>
              <w:rPr>
                <w:sz w:val="20"/>
                <w:szCs w:val="20"/>
              </w:rPr>
            </w:pPr>
          </w:p>
        </w:tc>
        <w:tc>
          <w:tcPr>
            <w:tcW w:w="720" w:type="dxa"/>
          </w:tcPr>
          <w:p w14:paraId="4BF159BF" w14:textId="294D370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Level </w:t>
            </w:r>
          </w:p>
          <w:p w14:paraId="042B9E15" w14:textId="4861924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VII</w:t>
            </w:r>
          </w:p>
        </w:tc>
        <w:tc>
          <w:tcPr>
            <w:tcW w:w="2642" w:type="dxa"/>
          </w:tcPr>
          <w:p w14:paraId="58D93EB4" w14:textId="09ABC36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best indicator of vitamin D status is 25-hydroxyvitamin D because it is the major circulating form of vitamin D; it reflects cutaneous and dietary contributions; and it is thought to be a precursor for 1</w:t>
            </w:r>
            <w:proofErr w:type="gramStart"/>
            <w:r w:rsidRPr="2F12C45C">
              <w:rPr>
                <w:sz w:val="20"/>
                <w:szCs w:val="20"/>
              </w:rPr>
              <w:t>,25</w:t>
            </w:r>
            <w:proofErr w:type="gramEnd"/>
            <w:r w:rsidRPr="2F12C45C">
              <w:rPr>
                <w:sz w:val="20"/>
                <w:szCs w:val="20"/>
              </w:rPr>
              <w:t>-dihydroxyvitamin D, the most active vitamin D metabolite.7,25 The metabolite 1,25-dihydroxyvitamin D should not be used to measure vitamin D levels because levels can be increased by secondary hyperparathyroidism.</w:t>
            </w:r>
          </w:p>
          <w:p w14:paraId="5E86C851" w14:textId="257AEA8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F8C5EDE" w14:textId="18865E1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In persons with vitamin D deficiency, treatment may include oral </w:t>
            </w:r>
            <w:proofErr w:type="spellStart"/>
            <w:r w:rsidRPr="2F12C45C">
              <w:rPr>
                <w:sz w:val="20"/>
                <w:szCs w:val="20"/>
              </w:rPr>
              <w:t>ergocalciferol</w:t>
            </w:r>
            <w:proofErr w:type="spellEnd"/>
            <w:r w:rsidRPr="2F12C45C">
              <w:rPr>
                <w:sz w:val="20"/>
                <w:szCs w:val="20"/>
              </w:rPr>
              <w:t xml:space="preserve"> (vitamin D</w:t>
            </w:r>
            <w:r w:rsidRPr="2F12C45C">
              <w:rPr>
                <w:sz w:val="20"/>
                <w:szCs w:val="20"/>
                <w:vertAlign w:val="subscript"/>
              </w:rPr>
              <w:t>2</w:t>
            </w:r>
            <w:r w:rsidRPr="2F12C45C">
              <w:rPr>
                <w:sz w:val="20"/>
                <w:szCs w:val="20"/>
              </w:rPr>
              <w:t>) at 50,000 IU per week for eight weeks. After vitamin D levels normalize, experts recommend maintenance dosage.</w:t>
            </w:r>
          </w:p>
          <w:p w14:paraId="20EF790A" w14:textId="5CE9FCB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8498234" w14:textId="1898383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Serum 25-hydroxyvitamin D levels should be measured again after completion of therapy, and if values have not reached or exceeded the minimum level, a second eight-week course should be prescribed.</w:t>
            </w:r>
          </w:p>
          <w:p w14:paraId="5FD8307C" w14:textId="2D4574B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9EF9309" w14:textId="7D1FFCF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If the serum 25-hydroxyvitamin D levels still have not risen, the most likely cause is </w:t>
            </w:r>
            <w:proofErr w:type="spellStart"/>
            <w:r w:rsidRPr="2F12C45C">
              <w:rPr>
                <w:sz w:val="20"/>
                <w:szCs w:val="20"/>
              </w:rPr>
              <w:t>nonadherence</w:t>
            </w:r>
            <w:proofErr w:type="spellEnd"/>
            <w:r w:rsidRPr="2F12C45C">
              <w:rPr>
                <w:sz w:val="20"/>
                <w:szCs w:val="20"/>
              </w:rPr>
              <w:t xml:space="preserve"> to therapy or malabsorption.</w:t>
            </w:r>
          </w:p>
          <w:p w14:paraId="4DD657C0" w14:textId="30E67C3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714B44B2" w14:textId="5022896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25-hydroxyvitamin D should be used for measurement of vitamin D status.</w:t>
            </w:r>
          </w:p>
          <w:p w14:paraId="45AD08B2" w14:textId="6F39EA3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87033BB" w14:textId="3C5D79B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50,000 IU weekly for 8 weeks is the recommended replenishment regimen.</w:t>
            </w:r>
          </w:p>
          <w:p w14:paraId="1021E80F" w14:textId="7BE7365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1409D3B" w14:textId="3EF36CE1"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Re-evaluation of level should be completed after the </w:t>
            </w:r>
            <w:r w:rsidR="00285D7D" w:rsidRPr="43A3DDCF">
              <w:rPr>
                <w:sz w:val="20"/>
                <w:szCs w:val="20"/>
              </w:rPr>
              <w:t>8-week</w:t>
            </w:r>
            <w:r w:rsidRPr="43A3DDCF">
              <w:rPr>
                <w:sz w:val="20"/>
                <w:szCs w:val="20"/>
              </w:rPr>
              <w:t xml:space="preserve"> regimen has been completed, and a second round of </w:t>
            </w:r>
            <w:r w:rsidR="00285D7D" w:rsidRPr="43A3DDCF">
              <w:rPr>
                <w:sz w:val="20"/>
                <w:szCs w:val="20"/>
              </w:rPr>
              <w:t>8-week</w:t>
            </w:r>
            <w:r w:rsidRPr="43A3DDCF">
              <w:rPr>
                <w:sz w:val="20"/>
                <w:szCs w:val="20"/>
              </w:rPr>
              <w:t xml:space="preserve"> replacement therapy may be warranted.</w:t>
            </w:r>
          </w:p>
          <w:p w14:paraId="3735B8AB" w14:textId="1D554B2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458E0B6" w14:textId="48B338E7"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43A3DDCF">
              <w:rPr>
                <w:sz w:val="20"/>
                <w:szCs w:val="20"/>
              </w:rPr>
              <w:t>Nonadherence</w:t>
            </w:r>
            <w:proofErr w:type="spellEnd"/>
            <w:r w:rsidRPr="43A3DDCF">
              <w:rPr>
                <w:sz w:val="20"/>
                <w:szCs w:val="20"/>
              </w:rPr>
              <w:t xml:space="preserve"> to therapy or malabsorption are potential culprits for vitamin D deficiency after completing two 8 week high dose (50,000 IU) replacement regimens. </w:t>
            </w:r>
          </w:p>
          <w:p w14:paraId="1196D284" w14:textId="556C0E0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1082BBE1" w14:textId="16E2502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03B52467" w14:textId="0E9667A0"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Use high dose (50,000 IU) </w:t>
            </w:r>
            <w:r w:rsidR="00285D7D" w:rsidRPr="43A3DDCF">
              <w:rPr>
                <w:sz w:val="20"/>
                <w:szCs w:val="20"/>
              </w:rPr>
              <w:t>8-week</w:t>
            </w:r>
            <w:r w:rsidRPr="43A3DDCF">
              <w:rPr>
                <w:sz w:val="20"/>
                <w:szCs w:val="20"/>
              </w:rPr>
              <w:t xml:space="preserve"> vitamin D treatment for replacement, which may be repeated x1.</w:t>
            </w:r>
          </w:p>
          <w:p w14:paraId="34EB22A0" w14:textId="71A9C73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46B1D66" w14:textId="6BD9537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Use 25-hydroxyvitamin D for vitamin D status.</w:t>
            </w:r>
          </w:p>
          <w:p w14:paraId="5259E82E" w14:textId="7BC381E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52AFA3A" w14:textId="1BC743C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After vitamin D levels are replete, maintenance dosages of </w:t>
            </w:r>
            <w:proofErr w:type="spellStart"/>
            <w:r w:rsidRPr="2F12C45C">
              <w:rPr>
                <w:sz w:val="20"/>
                <w:szCs w:val="20"/>
              </w:rPr>
              <w:t>cholecalciferol</w:t>
            </w:r>
            <w:proofErr w:type="spellEnd"/>
            <w:r w:rsidRPr="2F12C45C">
              <w:rPr>
                <w:sz w:val="20"/>
                <w:szCs w:val="20"/>
              </w:rPr>
              <w:t xml:space="preserve"> should be instituted. </w:t>
            </w:r>
          </w:p>
        </w:tc>
      </w:tr>
      <w:tr w:rsidR="2F12C45C" w14:paraId="38627C79"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48735A6B" w14:textId="53F54A32" w:rsidR="2F12C45C" w:rsidRDefault="693C9F63" w:rsidP="693C9F63">
            <w:pPr>
              <w:spacing w:before="40"/>
              <w:ind w:left="720" w:hanging="720"/>
              <w:rPr>
                <w:sz w:val="20"/>
                <w:szCs w:val="20"/>
              </w:rPr>
            </w:pPr>
            <w:proofErr w:type="spellStart"/>
            <w:r w:rsidRPr="693C9F63">
              <w:rPr>
                <w:sz w:val="20"/>
                <w:szCs w:val="20"/>
              </w:rPr>
              <w:t>Iraj</w:t>
            </w:r>
            <w:proofErr w:type="spellEnd"/>
            <w:r w:rsidRPr="693C9F63">
              <w:rPr>
                <w:sz w:val="20"/>
                <w:szCs w:val="20"/>
              </w:rPr>
              <w:t xml:space="preserve">, B., </w:t>
            </w:r>
            <w:proofErr w:type="spellStart"/>
            <w:r w:rsidRPr="693C9F63">
              <w:rPr>
                <w:sz w:val="20"/>
                <w:szCs w:val="20"/>
              </w:rPr>
              <w:t>Ebneshahidi</w:t>
            </w:r>
            <w:proofErr w:type="spellEnd"/>
            <w:r w:rsidRPr="693C9F63">
              <w:rPr>
                <w:sz w:val="20"/>
                <w:szCs w:val="20"/>
              </w:rPr>
              <w:t xml:space="preserve">, A., &amp; </w:t>
            </w:r>
            <w:proofErr w:type="spellStart"/>
            <w:r w:rsidRPr="693C9F63">
              <w:rPr>
                <w:sz w:val="20"/>
                <w:szCs w:val="20"/>
              </w:rPr>
              <w:t>Askari</w:t>
            </w:r>
            <w:proofErr w:type="spellEnd"/>
            <w:r w:rsidRPr="693C9F63">
              <w:rPr>
                <w:sz w:val="20"/>
                <w:szCs w:val="20"/>
              </w:rPr>
              <w:t xml:space="preserve">, G. (2012). Vitamin D Deficiency, Prevention and Treatment. </w:t>
            </w:r>
            <w:r w:rsidRPr="693C9F63">
              <w:rPr>
                <w:i/>
                <w:iCs/>
                <w:sz w:val="20"/>
                <w:szCs w:val="20"/>
              </w:rPr>
              <w:t>International Journal of Preventive Medicine</w:t>
            </w:r>
            <w:r w:rsidRPr="693C9F63">
              <w:rPr>
                <w:sz w:val="20"/>
                <w:szCs w:val="20"/>
              </w:rPr>
              <w:t xml:space="preserve">, </w:t>
            </w:r>
            <w:r w:rsidRPr="693C9F63">
              <w:rPr>
                <w:i/>
                <w:iCs/>
                <w:sz w:val="20"/>
                <w:szCs w:val="20"/>
              </w:rPr>
              <w:t>3</w:t>
            </w:r>
            <w:r w:rsidRPr="693C9F63">
              <w:rPr>
                <w:sz w:val="20"/>
                <w:szCs w:val="20"/>
              </w:rPr>
              <w:t>(10), 733–736.</w:t>
            </w:r>
          </w:p>
          <w:p w14:paraId="3D016C7C" w14:textId="56A3DFB5" w:rsidR="2F12C45C" w:rsidRDefault="2F12C45C" w:rsidP="2F12C45C">
            <w:pPr>
              <w:ind w:left="720"/>
              <w:rPr>
                <w:sz w:val="20"/>
                <w:szCs w:val="20"/>
              </w:rPr>
            </w:pPr>
          </w:p>
        </w:tc>
        <w:tc>
          <w:tcPr>
            <w:tcW w:w="720" w:type="dxa"/>
          </w:tcPr>
          <w:p w14:paraId="342EFC02" w14:textId="0E34DE4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VII</w:t>
            </w:r>
          </w:p>
        </w:tc>
        <w:tc>
          <w:tcPr>
            <w:tcW w:w="2642" w:type="dxa"/>
          </w:tcPr>
          <w:p w14:paraId="43DA9A17" w14:textId="6C466FAD" w:rsidR="2F12C45C" w:rsidRDefault="43A3DDCF" w:rsidP="43A3DDCF">
            <w:pPr>
              <w:spacing w:before="40"/>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Prevention and treatment in adults: Majority of middle age adults are at increased risk of vitamin D deficiency due to decrease sun exposure and increase use of sun screens. Therefore, studies show that in order to reach a serum level of 25 (OH) D above 30 ng/ml a minimum of 1000 IU or probably 1500-2000 IU/day is necessary.</w:t>
            </w:r>
          </w:p>
          <w:p w14:paraId="2B331690" w14:textId="5D2AB83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37AB838" w14:textId="4B5AEAE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A common protocol for the treatment of patients.</w:t>
            </w:r>
          </w:p>
          <w:p w14:paraId="45C40297" w14:textId="3027D95D"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t>Holick</w:t>
            </w:r>
            <w:proofErr w:type="spellEnd"/>
            <w:r w:rsidRPr="693C9F63">
              <w:rPr>
                <w:sz w:val="20"/>
                <w:szCs w:val="20"/>
              </w:rPr>
              <w:t xml:space="preserve"> protocol: Weekly Pearl 50000 IU of vitamin D3 for a period of 8 weeks given to the patient to replenish the deficient vitamin D. In the maintenance phase 50000 IU vitamin D3 is administered every 2 weeks. It is recommended to measure the serum level of 25 (OH D) after 2-3 months of treatment; and if the level is above 30 ng/ml the maintenance therapy should continue.  </w:t>
            </w:r>
          </w:p>
          <w:p w14:paraId="4302B3FD" w14:textId="6386A42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If the serum level of vitamin D during the 10-12 weeks of treatment does not increase to above 30 ng/ml, it is recommended to repeat the replacement protocol. However, if the level of serum vitamin D after 2 periods of treatment was low and the patient compliance to treatment is assured; the physician should suspect intestinal fat malabsorption as a differential diagnosis (for example celiac disease).</w:t>
            </w:r>
          </w:p>
          <w:p w14:paraId="1E3636EB" w14:textId="2B15764A"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0CAD5740" w14:textId="5F6B8016"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lastRenderedPageBreak/>
              <w:t xml:space="preserve">The treatment of vitamin D Insufficiency/deficiency except in rickets and </w:t>
            </w:r>
            <w:proofErr w:type="spellStart"/>
            <w:r w:rsidRPr="693C9F63">
              <w:rPr>
                <w:sz w:val="20"/>
                <w:szCs w:val="20"/>
              </w:rPr>
              <w:t>osteomalacia</w:t>
            </w:r>
            <w:proofErr w:type="spellEnd"/>
            <w:r w:rsidRPr="693C9F63">
              <w:rPr>
                <w:sz w:val="20"/>
                <w:szCs w:val="20"/>
              </w:rPr>
              <w:t xml:space="preserve"> and without hypocalcaemia composed of 2 steps: 1. Replenishing vitamin D store more than 30 ng/ml 2. Maintenance treatment</w:t>
            </w:r>
          </w:p>
          <w:p w14:paraId="0D7F13D7" w14:textId="5675053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BE40C77" w14:textId="2CFD4BC5"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93C9F63">
              <w:rPr>
                <w:sz w:val="20"/>
                <w:szCs w:val="20"/>
              </w:rPr>
              <w:lastRenderedPageBreak/>
              <w:t>Holick</w:t>
            </w:r>
            <w:proofErr w:type="spellEnd"/>
            <w:r w:rsidRPr="693C9F63">
              <w:rPr>
                <w:sz w:val="20"/>
                <w:szCs w:val="20"/>
              </w:rPr>
              <w:t xml:space="preserve"> protocol: Weekly Pearl 50000 IU of vitamin D3 for a period of 8 weeks given to the patient to replenish the deficient vitamin D. In the maintenance phase 50000 IU vitamin D3 is administered every 2 weeks. It is recommended to measure the serum level of 25 (OH D) after 2-3 months of treatment; and if the level is above 30 ng/ml the maintenance therapy should continue.  If the serum level of vitamin D during the 10-12 weeks of treatment does not increase to above 30 ng/ml, it is recommended to repeat the replacement protocol.</w:t>
            </w:r>
          </w:p>
          <w:p w14:paraId="0C295306" w14:textId="4B69983A"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2FE3150D" w14:textId="0AD26DF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Steps to treatment of vitamin D deficiency:</w:t>
            </w:r>
          </w:p>
          <w:p w14:paraId="1FDC8883" w14:textId="6FD4CCD1" w:rsidR="2F12C45C" w:rsidRDefault="2F12C45C" w:rsidP="2F12C45C">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F12C45C">
              <w:rPr>
                <w:rFonts w:ascii="Times New Roman" w:eastAsia="Times New Roman" w:hAnsi="Times New Roman" w:cs="Times New Roman"/>
                <w:sz w:val="20"/>
                <w:szCs w:val="20"/>
              </w:rPr>
              <w:t xml:space="preserve">Replenish vitamin D store </w:t>
            </w:r>
          </w:p>
          <w:p w14:paraId="5C40A4F5" w14:textId="505464C7" w:rsidR="2F12C45C" w:rsidRDefault="2F12C45C" w:rsidP="2F12C45C">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F12C45C">
              <w:rPr>
                <w:rFonts w:ascii="Times New Roman" w:eastAsia="Times New Roman" w:hAnsi="Times New Roman" w:cs="Times New Roman"/>
                <w:sz w:val="20"/>
                <w:szCs w:val="20"/>
              </w:rPr>
              <w:lastRenderedPageBreak/>
              <w:t>Maintenance treatment</w:t>
            </w:r>
          </w:p>
          <w:p w14:paraId="788CA769" w14:textId="730771D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0857E1B" w14:textId="0BB9156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Measure the serum level of 25 (OH D) after 2 to 3 months of replenishment treatment.</w:t>
            </w:r>
          </w:p>
        </w:tc>
      </w:tr>
      <w:tr w:rsidR="2F12C45C" w14:paraId="759DD5C2"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6A8DEBFC" w14:textId="1FC18401" w:rsidR="2F12C45C" w:rsidRDefault="2F12C45C" w:rsidP="2F12C45C">
            <w:pPr>
              <w:ind w:left="720" w:hanging="720"/>
              <w:rPr>
                <w:sz w:val="20"/>
                <w:szCs w:val="20"/>
              </w:rPr>
            </w:pPr>
            <w:proofErr w:type="spellStart"/>
            <w:r w:rsidRPr="2F12C45C">
              <w:rPr>
                <w:sz w:val="20"/>
                <w:szCs w:val="20"/>
              </w:rPr>
              <w:lastRenderedPageBreak/>
              <w:t>Haroon</w:t>
            </w:r>
            <w:proofErr w:type="spellEnd"/>
            <w:r w:rsidRPr="2F12C45C">
              <w:rPr>
                <w:sz w:val="20"/>
                <w:szCs w:val="20"/>
              </w:rPr>
              <w:t xml:space="preserve"> M, Fitzgerald O (2012) Vitamin D Deficiency and its Repletion: A Review of Current Knowledge and Consensus Recommendations. J Arthritis 1:105. doi:10.4172/2167-7921.1000105</w:t>
            </w:r>
          </w:p>
        </w:tc>
        <w:tc>
          <w:tcPr>
            <w:tcW w:w="720" w:type="dxa"/>
          </w:tcPr>
          <w:p w14:paraId="7E842F30" w14:textId="33A782F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Level I</w:t>
            </w:r>
          </w:p>
        </w:tc>
        <w:tc>
          <w:tcPr>
            <w:tcW w:w="2642" w:type="dxa"/>
          </w:tcPr>
          <w:p w14:paraId="78CC5116" w14:textId="47CEC88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Vitamin D is available in two different formulations: vitamin D2, better known as </w:t>
            </w:r>
            <w:proofErr w:type="spellStart"/>
            <w:r w:rsidRPr="2F12C45C">
              <w:rPr>
                <w:sz w:val="20"/>
                <w:szCs w:val="20"/>
              </w:rPr>
              <w:t>ergocalciferol</w:t>
            </w:r>
            <w:proofErr w:type="spellEnd"/>
            <w:r w:rsidRPr="2F12C45C">
              <w:rPr>
                <w:sz w:val="20"/>
                <w:szCs w:val="20"/>
              </w:rPr>
              <w:t xml:space="preserve">; and Vitamin D 3, also called </w:t>
            </w:r>
            <w:proofErr w:type="spellStart"/>
            <w:r w:rsidRPr="2F12C45C">
              <w:rPr>
                <w:sz w:val="20"/>
                <w:szCs w:val="20"/>
              </w:rPr>
              <w:t>cholecalciferol</w:t>
            </w:r>
            <w:proofErr w:type="spellEnd"/>
            <w:r w:rsidRPr="2F12C45C">
              <w:rPr>
                <w:sz w:val="20"/>
                <w:szCs w:val="20"/>
              </w:rPr>
              <w:t xml:space="preserve">. Most experts believe that vitamin D3 is more efficacious than vitamin D2 in raising serum 25(OH) vitamin D levels. The differential efficacy of vitamin D2 and D3 in the treatment of rickets has been reported since 1930. </w:t>
            </w:r>
          </w:p>
          <w:p w14:paraId="2ED8AAAE" w14:textId="228F72F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There is possibly a higher affinity of hepatic 25-hydroxylase for vitaminD3 than for vitamin D2, and 1,24(OH)2 D2 has less affinity for vitamin D receptor than does 1,24(OH)2 D3. This has been confirmed in birds, monkeys and rats. In humans, vitamin D3 </w:t>
            </w:r>
            <w:r w:rsidRPr="2F12C45C">
              <w:rPr>
                <w:sz w:val="20"/>
                <w:szCs w:val="20"/>
              </w:rPr>
              <w:lastRenderedPageBreak/>
              <w:t xml:space="preserve">supplementation has been shown to raise 25(OH) vitamin D levels more than vitamin D2 supplementation. Using equal molar doses of vitamin D2 and D3, a study has shown a much greater increase of 25(OH) D levels with vitamin D3. </w:t>
            </w:r>
          </w:p>
          <w:p w14:paraId="530ED3E5" w14:textId="42C1A3DE"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Similarly another study reported that to obtain the same effect, the dose of vitamin D2 was 2.5 times the dose of vitamin D3. In another study, a single dose of 50,000 IU of vitamin D2 or D3 revealed that serum 25(OH</w:t>
            </w:r>
            <w:proofErr w:type="gramStart"/>
            <w:r w:rsidRPr="43A3DDCF">
              <w:rPr>
                <w:sz w:val="20"/>
                <w:szCs w:val="20"/>
              </w:rPr>
              <w:t>)D</w:t>
            </w:r>
            <w:proofErr w:type="gramEnd"/>
            <w:r w:rsidRPr="43A3DDCF">
              <w:rPr>
                <w:sz w:val="20"/>
                <w:szCs w:val="20"/>
              </w:rPr>
              <w:t xml:space="preserve"> returned to baseline levels by day 14 with vitamin D2; however, with vitamin D3, the serum 25(OH)D levels peaked at day 14 and remained above the baseline levels up to day 28. </w:t>
            </w:r>
          </w:p>
          <w:p w14:paraId="1DCFE895" w14:textId="1E486FB0"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 xml:space="preserve">In intervention trials, the average increment in serum 25(OH) D has been estimated at 1.2 </w:t>
            </w:r>
            <w:proofErr w:type="spellStart"/>
            <w:r w:rsidRPr="43A3DDCF">
              <w:rPr>
                <w:sz w:val="20"/>
                <w:szCs w:val="20"/>
              </w:rPr>
              <w:t>nmol</w:t>
            </w:r>
            <w:proofErr w:type="spellEnd"/>
            <w:r w:rsidRPr="43A3DDCF">
              <w:rPr>
                <w:sz w:val="20"/>
                <w:szCs w:val="20"/>
              </w:rPr>
              <w:t xml:space="preserve">/l for every mcg (40 IU) of vitamin </w:t>
            </w:r>
            <w:proofErr w:type="gramStart"/>
            <w:r w:rsidRPr="43A3DDCF">
              <w:rPr>
                <w:sz w:val="20"/>
                <w:szCs w:val="20"/>
              </w:rPr>
              <w:t>D3 ,</w:t>
            </w:r>
            <w:proofErr w:type="gramEnd"/>
            <w:r w:rsidRPr="43A3DDCF">
              <w:rPr>
                <w:sz w:val="20"/>
                <w:szCs w:val="20"/>
              </w:rPr>
              <w:t xml:space="preserve"> and a much smaller increment of only 0.3nmol/L for every microgram of vitamin D2 supplementation. </w:t>
            </w:r>
          </w:p>
          <w:p w14:paraId="40694B9F" w14:textId="6DC845A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Another very recent trial, using vitamin D doses of 50,000 IU/week for 12 weeks, has revealed that D3 was not only about 87% more potent in raising and maintaining serum 25(OH)D concentrations, but also produced 2- to 3-fold greater storage of vitamin D than does equal doses of D2. </w:t>
            </w:r>
          </w:p>
          <w:p w14:paraId="35C47769" w14:textId="3C26FC53" w:rsidR="2F12C45C" w:rsidRDefault="43A3DDCF" w:rsidP="43A3DDCF">
            <w:pPr>
              <w:cnfStyle w:val="000000000000" w:firstRow="0" w:lastRow="0" w:firstColumn="0" w:lastColumn="0" w:oddVBand="0" w:evenVBand="0" w:oddHBand="0" w:evenHBand="0" w:firstRowFirstColumn="0" w:firstRowLastColumn="0" w:lastRowFirstColumn="0" w:lastRowLastColumn="0"/>
              <w:rPr>
                <w:sz w:val="20"/>
                <w:szCs w:val="20"/>
              </w:rPr>
            </w:pPr>
            <w:r w:rsidRPr="43A3DDCF">
              <w:rPr>
                <w:sz w:val="20"/>
                <w:szCs w:val="20"/>
              </w:rPr>
              <w:t>Conversely, it has been shown in some studies that vitamin D2 and vitamin D3 are equally effective in humans to raise circulating 25(OH</w:t>
            </w:r>
            <w:proofErr w:type="gramStart"/>
            <w:r w:rsidRPr="43A3DDCF">
              <w:rPr>
                <w:sz w:val="20"/>
                <w:szCs w:val="20"/>
              </w:rPr>
              <w:t>)D</w:t>
            </w:r>
            <w:proofErr w:type="gramEnd"/>
            <w:r w:rsidRPr="43A3DDCF">
              <w:rPr>
                <w:sz w:val="20"/>
                <w:szCs w:val="20"/>
              </w:rPr>
              <w:t xml:space="preserve"> levels. We believe that vitamin D3 is a more potent form of vitamin D compared to vitamin D2, and should preferable be used. However, it is important to emphasize that the increase in </w:t>
            </w:r>
            <w:r w:rsidRPr="43A3DDCF">
              <w:rPr>
                <w:sz w:val="20"/>
                <w:szCs w:val="20"/>
              </w:rPr>
              <w:lastRenderedPageBreak/>
              <w:t>serum vitamin D levels is inversely related to the starting level of 25(OH</w:t>
            </w:r>
            <w:proofErr w:type="gramStart"/>
            <w:r w:rsidRPr="43A3DDCF">
              <w:rPr>
                <w:sz w:val="20"/>
                <w:szCs w:val="20"/>
              </w:rPr>
              <w:t>)D</w:t>
            </w:r>
            <w:proofErr w:type="gramEnd"/>
            <w:r w:rsidRPr="43A3DDCF">
              <w:rPr>
                <w:sz w:val="20"/>
                <w:szCs w:val="20"/>
              </w:rPr>
              <w:t>.</w:t>
            </w:r>
          </w:p>
          <w:p w14:paraId="16EDF491" w14:textId="7D53A3D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7AC9D2A" w14:textId="66BF8B8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25-OH vitamin D is the predominant circulating form of vitamin D in the blood and because of its close regulation by the availability of vitamin D, measurement of 25(OH) vitamin D is the most reliable indicator of vitamin D status.</w:t>
            </w:r>
          </w:p>
          <w:p w14:paraId="198B7E58" w14:textId="4409DF86"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52AD2B03" w14:textId="52F24C6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Vitamin D supplementation was considered indicated given that most Canadian adults have insufficient exposure to sunlight and dietary intake to maintain this level throughout the year. Recommended intake for low-risk and younger adults was suggested at </w:t>
            </w:r>
            <w:hyperlink r:id="rId35">
              <w:r w:rsidRPr="2F12C45C">
                <w:rPr>
                  <w:rStyle w:val="Hyperlink"/>
                  <w:sz w:val="20"/>
                  <w:szCs w:val="20"/>
                </w:rPr>
                <w:t>400–1000</w:t>
              </w:r>
            </w:hyperlink>
            <w:r w:rsidRPr="2F12C45C">
              <w:rPr>
                <w:sz w:val="20"/>
                <w:szCs w:val="20"/>
              </w:rPr>
              <w:t xml:space="preserve"> IU daily and for high-risk and older adults, to </w:t>
            </w:r>
            <w:hyperlink r:id="rId36">
              <w:r w:rsidRPr="2F12C45C">
                <w:rPr>
                  <w:rStyle w:val="Hyperlink"/>
                  <w:sz w:val="20"/>
                  <w:szCs w:val="20"/>
                </w:rPr>
                <w:t>800–2000</w:t>
              </w:r>
            </w:hyperlink>
            <w:r w:rsidRPr="2F12C45C">
              <w:rPr>
                <w:sz w:val="20"/>
                <w:szCs w:val="20"/>
              </w:rPr>
              <w:t xml:space="preserve"> IU daily.</w:t>
            </w:r>
          </w:p>
          <w:p w14:paraId="786B1BE1" w14:textId="76FD834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1C30A7C" w14:textId="7C6A943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 estimated average vitamin D requirement to acquire the serum level of 75 </w:t>
            </w:r>
            <w:proofErr w:type="spellStart"/>
            <w:r w:rsidRPr="2F12C45C">
              <w:rPr>
                <w:sz w:val="20"/>
                <w:szCs w:val="20"/>
              </w:rPr>
              <w:t>nmol</w:t>
            </w:r>
            <w:proofErr w:type="spellEnd"/>
            <w:r w:rsidRPr="2F12C45C">
              <w:rPr>
                <w:sz w:val="20"/>
                <w:szCs w:val="20"/>
              </w:rPr>
              <w:t>/L is 800 to 1,000 IU per day. This might need to be adjusted depending on the associated risk factors, such as, the starting level of 25(OH</w:t>
            </w:r>
            <w:proofErr w:type="gramStart"/>
            <w:r w:rsidRPr="2F12C45C">
              <w:rPr>
                <w:sz w:val="20"/>
                <w:szCs w:val="20"/>
              </w:rPr>
              <w:t>)D</w:t>
            </w:r>
            <w:proofErr w:type="gramEnd"/>
            <w:r w:rsidRPr="2F12C45C">
              <w:rPr>
                <w:sz w:val="20"/>
                <w:szCs w:val="20"/>
              </w:rPr>
              <w:t>, obesity, associated osteoporosis, poor sun exposure, malabsorption and residents or immigrants from South Asia and Middle East.</w:t>
            </w:r>
          </w:p>
          <w:p w14:paraId="1350AC2B" w14:textId="44CFAC3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7336188" w14:textId="2A6933A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74348128" w14:textId="4D4E1FE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Vitamin D deficiency remains under recognized and untreated</w:t>
            </w:r>
          </w:p>
          <w:p w14:paraId="4C257256" w14:textId="0709836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5556950" w14:textId="5881BFF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Using 25(OH) D as an objective measure of response to vitamin D administration has shown that vitamin D3 is a more potent form of vitamin D compared to vitamin D2. Some experts suggest that vitamin D2 should not be used for supplementation or fortification.</w:t>
            </w:r>
          </w:p>
          <w:p w14:paraId="1029649F" w14:textId="0030CB1C"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7E8BEEFC" w14:textId="1BA4C0B1" w:rsidR="2F12C45C" w:rsidRDefault="693C9F63" w:rsidP="693C9F63">
            <w:pPr>
              <w:cnfStyle w:val="000000000000" w:firstRow="0" w:lastRow="0" w:firstColumn="0" w:lastColumn="0" w:oddVBand="0" w:evenVBand="0" w:oddHBand="0" w:evenHBand="0" w:firstRowFirstColumn="0" w:firstRowLastColumn="0" w:lastRowFirstColumn="0" w:lastRowLastColumn="0"/>
              <w:rPr>
                <w:sz w:val="20"/>
                <w:szCs w:val="20"/>
              </w:rPr>
            </w:pPr>
            <w:r w:rsidRPr="693C9F63">
              <w:rPr>
                <w:sz w:val="20"/>
                <w:szCs w:val="20"/>
              </w:rPr>
              <w:t xml:space="preserve">Vitamin D3 is more efficacious than vitamin D2 in raising serum 25(OH) vitamin D levels. Vitamin D2 has </w:t>
            </w:r>
            <w:r w:rsidRPr="693C9F63">
              <w:rPr>
                <w:sz w:val="20"/>
                <w:szCs w:val="20"/>
              </w:rPr>
              <w:lastRenderedPageBreak/>
              <w:t xml:space="preserve">a shorter </w:t>
            </w:r>
            <w:r w:rsidR="00285D7D" w:rsidRPr="693C9F63">
              <w:rPr>
                <w:sz w:val="20"/>
                <w:szCs w:val="20"/>
              </w:rPr>
              <w:t>half-life</w:t>
            </w:r>
            <w:r w:rsidRPr="693C9F63">
              <w:rPr>
                <w:sz w:val="20"/>
                <w:szCs w:val="20"/>
              </w:rPr>
              <w:t xml:space="preserve"> and an increased rate of clearance from the circulation. There is possibly a higher affinity of hepatic 25-hydroxylase for vitaminD3 than for vitamin D2, and 1</w:t>
            </w:r>
            <w:proofErr w:type="gramStart"/>
            <w:r w:rsidRPr="693C9F63">
              <w:rPr>
                <w:sz w:val="20"/>
                <w:szCs w:val="20"/>
              </w:rPr>
              <w:t>,24</w:t>
            </w:r>
            <w:proofErr w:type="gramEnd"/>
            <w:r w:rsidRPr="693C9F63">
              <w:rPr>
                <w:sz w:val="20"/>
                <w:szCs w:val="20"/>
              </w:rPr>
              <w:t>(OH)2.  D2 has less affinity for vitamin D receptor than does 1</w:t>
            </w:r>
            <w:proofErr w:type="gramStart"/>
            <w:r w:rsidRPr="693C9F63">
              <w:rPr>
                <w:sz w:val="20"/>
                <w:szCs w:val="20"/>
              </w:rPr>
              <w:t>,24</w:t>
            </w:r>
            <w:proofErr w:type="gramEnd"/>
            <w:r w:rsidRPr="693C9F63">
              <w:rPr>
                <w:sz w:val="20"/>
                <w:szCs w:val="20"/>
              </w:rPr>
              <w:t xml:space="preserve">(OH)2 D3. This has been confirmed in birds, monkeys and rats. </w:t>
            </w:r>
          </w:p>
          <w:p w14:paraId="3C1C2086" w14:textId="3BBE421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5A94167" w14:textId="6019C58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Serum 25(OH)D increases by about 1 ng/mL (2.5 </w:t>
            </w:r>
            <w:proofErr w:type="spellStart"/>
            <w:r w:rsidRPr="2F12C45C">
              <w:rPr>
                <w:sz w:val="20"/>
                <w:szCs w:val="20"/>
              </w:rPr>
              <w:t>nmol</w:t>
            </w:r>
            <w:proofErr w:type="spellEnd"/>
            <w:r w:rsidRPr="2F12C45C">
              <w:rPr>
                <w:sz w:val="20"/>
                <w:szCs w:val="20"/>
              </w:rPr>
              <w:t>/L) for every 100 IU of additional vitamin D each day</w:t>
            </w:r>
          </w:p>
          <w:p w14:paraId="556D9924" w14:textId="37A438C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0AEF5E5" w14:textId="1B7E48C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Measuring serum vitamin D levels, for such at risk populations, is recommended as this not only helps to estimate the repletion dose, but also serves as a baseline for future retesting.</w:t>
            </w:r>
          </w:p>
          <w:p w14:paraId="514E5819" w14:textId="1011240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69C3C47" w14:textId="0830A1E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Some experts believe vitamin D sufficiency should be defined as a plasma 25(OH</w:t>
            </w:r>
            <w:proofErr w:type="gramStart"/>
            <w:r w:rsidRPr="2F12C45C">
              <w:rPr>
                <w:sz w:val="20"/>
                <w:szCs w:val="20"/>
              </w:rPr>
              <w:t>)D</w:t>
            </w:r>
            <w:proofErr w:type="gramEnd"/>
            <w:r w:rsidRPr="2F12C45C">
              <w:rPr>
                <w:sz w:val="20"/>
                <w:szCs w:val="20"/>
              </w:rPr>
              <w:t xml:space="preserve"> concentration of &gt;80 </w:t>
            </w:r>
            <w:proofErr w:type="spellStart"/>
            <w:r w:rsidRPr="2F12C45C">
              <w:rPr>
                <w:sz w:val="20"/>
                <w:szCs w:val="20"/>
              </w:rPr>
              <w:t>nmol</w:t>
            </w:r>
            <w:proofErr w:type="spellEnd"/>
            <w:r w:rsidRPr="2F12C45C">
              <w:rPr>
                <w:sz w:val="20"/>
                <w:szCs w:val="20"/>
              </w:rPr>
              <w:t xml:space="preserve">/L (32 ng/ml) and &gt;100 </w:t>
            </w:r>
            <w:proofErr w:type="spellStart"/>
            <w:r w:rsidRPr="2F12C45C">
              <w:rPr>
                <w:sz w:val="20"/>
                <w:szCs w:val="20"/>
              </w:rPr>
              <w:t>nmol</w:t>
            </w:r>
            <w:proofErr w:type="spellEnd"/>
            <w:r w:rsidRPr="2F12C45C">
              <w:rPr>
                <w:sz w:val="20"/>
                <w:szCs w:val="20"/>
              </w:rPr>
              <w:t>/L (40 ng/ml).</w:t>
            </w:r>
          </w:p>
          <w:p w14:paraId="290D40D4" w14:textId="7D813F3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20E41A2" w14:textId="6543897F"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cut-offs to define vitamin D deficiency should ideally be based on determining an optimal level for health as opposed to the minimum level to prevent severe deficiency</w:t>
            </w:r>
          </w:p>
          <w:p w14:paraId="54B6948E" w14:textId="0A682E1E"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1A67D1BB" w14:textId="0124CD2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There is no evidence of adverse effects with </w:t>
            </w:r>
            <w:r w:rsidRPr="2F12C45C">
              <w:rPr>
                <w:sz w:val="20"/>
                <w:szCs w:val="20"/>
              </w:rPr>
              <w:lastRenderedPageBreak/>
              <w:t>serum 25(OH</w:t>
            </w:r>
            <w:proofErr w:type="gramStart"/>
            <w:r w:rsidRPr="2F12C45C">
              <w:rPr>
                <w:sz w:val="20"/>
                <w:szCs w:val="20"/>
              </w:rPr>
              <w:t>)D</w:t>
            </w:r>
            <w:proofErr w:type="gramEnd"/>
            <w:r w:rsidRPr="2F12C45C">
              <w:rPr>
                <w:sz w:val="20"/>
                <w:szCs w:val="20"/>
              </w:rPr>
              <w:t xml:space="preserve"> ≤ 70 ng/ml, i.e. 175 </w:t>
            </w:r>
            <w:proofErr w:type="spellStart"/>
            <w:r w:rsidRPr="2F12C45C">
              <w:rPr>
                <w:sz w:val="20"/>
                <w:szCs w:val="20"/>
              </w:rPr>
              <w:t>nmol</w:t>
            </w:r>
            <w:proofErr w:type="spellEnd"/>
            <w:r w:rsidRPr="2F12C45C">
              <w:rPr>
                <w:sz w:val="20"/>
                <w:szCs w:val="20"/>
              </w:rPr>
              <w:t xml:space="preserve">/L. However, most trials have excluded subjects with renal insufficiency or </w:t>
            </w:r>
            <w:proofErr w:type="spellStart"/>
            <w:r w:rsidRPr="2F12C45C">
              <w:rPr>
                <w:sz w:val="20"/>
                <w:szCs w:val="20"/>
              </w:rPr>
              <w:t>hypercalcemia</w:t>
            </w:r>
            <w:proofErr w:type="spellEnd"/>
            <w:r w:rsidRPr="2F12C45C">
              <w:rPr>
                <w:sz w:val="20"/>
                <w:szCs w:val="20"/>
              </w:rPr>
              <w:t>, and included short durations of exposure to vitamin D. Continuous monitoring is essential as the</w:t>
            </w:r>
          </w:p>
          <w:p w14:paraId="7F266815" w14:textId="7CCDEF4D"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463E5CB5" w14:textId="32B26FF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0586E126" w14:textId="1EFE88BE"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 </w:t>
            </w:r>
          </w:p>
          <w:p w14:paraId="2502D0CD" w14:textId="4ED64A40" w:rsidR="2F12C45C" w:rsidRDefault="2F12C45C" w:rsidP="2F12C45C">
            <w:pPr>
              <w:ind w:left="720"/>
              <w:cnfStyle w:val="000000000000" w:firstRow="0" w:lastRow="0" w:firstColumn="0" w:lastColumn="0" w:oddVBand="0" w:evenVBand="0" w:oddHBand="0" w:evenHBand="0" w:firstRowFirstColumn="0" w:firstRowLastColumn="0" w:lastRowFirstColumn="0" w:lastRowLastColumn="0"/>
              <w:rPr>
                <w:sz w:val="20"/>
                <w:szCs w:val="20"/>
              </w:rPr>
            </w:pPr>
          </w:p>
        </w:tc>
        <w:tc>
          <w:tcPr>
            <w:tcW w:w="1332" w:type="dxa"/>
          </w:tcPr>
          <w:p w14:paraId="13DDC8F1" w14:textId="46E2B68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Use 25(OH) for measurement of vitamin D status. </w:t>
            </w:r>
          </w:p>
          <w:p w14:paraId="4FA148A8" w14:textId="1939E5A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26FFFCC0" w14:textId="0071AAD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Measure serum vitamin D levels to not only help estimate the repletion dose, but also serve as a baseline for future retesting.</w:t>
            </w:r>
          </w:p>
          <w:p w14:paraId="0F240907" w14:textId="295DC25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8F2884C" w14:textId="279C723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Serum 25(OH</w:t>
            </w:r>
            <w:proofErr w:type="gramStart"/>
            <w:r w:rsidRPr="2F12C45C">
              <w:rPr>
                <w:sz w:val="20"/>
                <w:szCs w:val="20"/>
              </w:rPr>
              <w:t>)D</w:t>
            </w:r>
            <w:proofErr w:type="gramEnd"/>
            <w:r w:rsidRPr="2F12C45C">
              <w:rPr>
                <w:sz w:val="20"/>
                <w:szCs w:val="20"/>
              </w:rPr>
              <w:t xml:space="preserve"> levels less than or equal to 70ng/mL </w:t>
            </w:r>
            <w:r w:rsidRPr="2F12C45C">
              <w:rPr>
                <w:sz w:val="20"/>
                <w:szCs w:val="20"/>
              </w:rPr>
              <w:lastRenderedPageBreak/>
              <w:t xml:space="preserve">have not been associated with adverse effects.  </w:t>
            </w:r>
          </w:p>
          <w:p w14:paraId="3B53C779" w14:textId="1ADAA62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C54BB13" w14:textId="5E34B0A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Vitamin D3 is more efficacious than vitamin D2 in raising serum 25(OH) vitamin D levels.</w:t>
            </w:r>
          </w:p>
          <w:p w14:paraId="4074B473" w14:textId="7F56B2A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01906E1F" w14:textId="29C7E72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Utilize D3 for supplementation.   </w:t>
            </w:r>
          </w:p>
        </w:tc>
      </w:tr>
      <w:tr w:rsidR="2F12C45C" w14:paraId="51E1811A" w14:textId="77777777" w:rsidTr="693C9F63">
        <w:tc>
          <w:tcPr>
            <w:cnfStyle w:val="001000000000" w:firstRow="0" w:lastRow="0" w:firstColumn="1" w:lastColumn="0" w:oddVBand="0" w:evenVBand="0" w:oddHBand="0" w:evenHBand="0" w:firstRowFirstColumn="0" w:firstRowLastColumn="0" w:lastRowFirstColumn="0" w:lastRowLastColumn="0"/>
            <w:tcW w:w="2512" w:type="dxa"/>
          </w:tcPr>
          <w:p w14:paraId="27F9790C" w14:textId="733E45BE" w:rsidR="2F12C45C" w:rsidRDefault="2F12C45C" w:rsidP="2F12C45C">
            <w:pPr>
              <w:ind w:left="720" w:hanging="720"/>
              <w:rPr>
                <w:sz w:val="20"/>
                <w:szCs w:val="20"/>
              </w:rPr>
            </w:pPr>
            <w:r w:rsidRPr="2F12C45C">
              <w:rPr>
                <w:color w:val="333333"/>
                <w:sz w:val="20"/>
                <w:szCs w:val="20"/>
              </w:rPr>
              <w:lastRenderedPageBreak/>
              <w:t xml:space="preserve">Vitamin D Council. (2016, July 06). For health professionals: Council position statement on supplementation, blood levels and sun exposure. Retrieved from </w:t>
            </w:r>
            <w:hyperlink r:id="rId37" w:anchor="holick05">
              <w:r w:rsidRPr="2F12C45C">
                <w:rPr>
                  <w:rStyle w:val="Hyperlink"/>
                  <w:color w:val="333333"/>
                  <w:sz w:val="20"/>
                  <w:szCs w:val="20"/>
                </w:rPr>
                <w:t>https://www.vitamindcouncil.org/for-health-professionals-</w:t>
              </w:r>
              <w:r w:rsidRPr="2F12C45C">
                <w:rPr>
                  <w:rStyle w:val="Hyperlink"/>
                  <w:color w:val="333333"/>
                  <w:sz w:val="20"/>
                  <w:szCs w:val="20"/>
                </w:rPr>
                <w:lastRenderedPageBreak/>
                <w:t>position-statement-on-supplementation-blood-levels-and-sun-exposure/#holick05</w:t>
              </w:r>
            </w:hyperlink>
          </w:p>
        </w:tc>
        <w:tc>
          <w:tcPr>
            <w:tcW w:w="720" w:type="dxa"/>
          </w:tcPr>
          <w:p w14:paraId="2C98C9B3" w14:textId="3EC8920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Level VII</w:t>
            </w:r>
          </w:p>
        </w:tc>
        <w:tc>
          <w:tcPr>
            <w:tcW w:w="2642" w:type="dxa"/>
          </w:tcPr>
          <w:p w14:paraId="61CA8919" w14:textId="515DBC8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The Vitamin D Council recommends maintaining serum levels of 50 ng/ml (equivalent to 125 </w:t>
            </w:r>
            <w:proofErr w:type="spellStart"/>
            <w:r w:rsidRPr="2F12C45C">
              <w:rPr>
                <w:sz w:val="20"/>
                <w:szCs w:val="20"/>
              </w:rPr>
              <w:t>nmol</w:t>
            </w:r>
            <w:proofErr w:type="spellEnd"/>
            <w:r w:rsidRPr="2F12C45C">
              <w:rPr>
                <w:sz w:val="20"/>
                <w:szCs w:val="20"/>
              </w:rPr>
              <w:t>/L), with the following reference ranges:</w:t>
            </w:r>
          </w:p>
          <w:p w14:paraId="47CCE5D1" w14:textId="5590562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Deficient: 0-40 ng/ml (0-100 </w:t>
            </w:r>
            <w:proofErr w:type="spellStart"/>
            <w:r w:rsidRPr="2F12C45C">
              <w:rPr>
                <w:sz w:val="20"/>
                <w:szCs w:val="20"/>
              </w:rPr>
              <w:t>nmol</w:t>
            </w:r>
            <w:proofErr w:type="spellEnd"/>
            <w:r w:rsidRPr="2F12C45C">
              <w:rPr>
                <w:sz w:val="20"/>
                <w:szCs w:val="20"/>
              </w:rPr>
              <w:t>/l)</w:t>
            </w:r>
          </w:p>
          <w:p w14:paraId="678A9565" w14:textId="3D8139F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Sufficient: 40-80 ng/ml (100-200 </w:t>
            </w:r>
            <w:proofErr w:type="spellStart"/>
            <w:r w:rsidRPr="2F12C45C">
              <w:rPr>
                <w:sz w:val="20"/>
                <w:szCs w:val="20"/>
              </w:rPr>
              <w:t>nmol</w:t>
            </w:r>
            <w:proofErr w:type="spellEnd"/>
            <w:r w:rsidRPr="2F12C45C">
              <w:rPr>
                <w:sz w:val="20"/>
                <w:szCs w:val="20"/>
              </w:rPr>
              <w:t>/l)</w:t>
            </w:r>
          </w:p>
          <w:p w14:paraId="72013AD9" w14:textId="7EEE3D8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High Normal: 80-100 ng/ml (200-250 </w:t>
            </w:r>
            <w:proofErr w:type="spellStart"/>
            <w:r w:rsidRPr="2F12C45C">
              <w:rPr>
                <w:sz w:val="20"/>
                <w:szCs w:val="20"/>
              </w:rPr>
              <w:t>nmol</w:t>
            </w:r>
            <w:proofErr w:type="spellEnd"/>
            <w:r w:rsidRPr="2F12C45C">
              <w:rPr>
                <w:sz w:val="20"/>
                <w:szCs w:val="20"/>
              </w:rPr>
              <w:t>/l)</w:t>
            </w:r>
          </w:p>
          <w:p w14:paraId="4C43C9EC" w14:textId="16BBF0B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Undesirable: &gt; 100 ng/ml (&gt; 250 </w:t>
            </w:r>
            <w:proofErr w:type="spellStart"/>
            <w:r w:rsidRPr="2F12C45C">
              <w:rPr>
                <w:sz w:val="20"/>
                <w:szCs w:val="20"/>
              </w:rPr>
              <w:t>nmol</w:t>
            </w:r>
            <w:proofErr w:type="spellEnd"/>
            <w:r w:rsidRPr="2F12C45C">
              <w:rPr>
                <w:sz w:val="20"/>
                <w:szCs w:val="20"/>
              </w:rPr>
              <w:t>/l)</w:t>
            </w:r>
          </w:p>
          <w:p w14:paraId="494E3A68" w14:textId="41C755C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Toxic: &gt; 150 ng/ml (&gt; 375 </w:t>
            </w:r>
            <w:proofErr w:type="spellStart"/>
            <w:r w:rsidRPr="2F12C45C">
              <w:rPr>
                <w:sz w:val="20"/>
                <w:szCs w:val="20"/>
              </w:rPr>
              <w:t>nmol</w:t>
            </w:r>
            <w:proofErr w:type="spellEnd"/>
            <w:r w:rsidRPr="2F12C45C">
              <w:rPr>
                <w:sz w:val="20"/>
                <w:szCs w:val="20"/>
              </w:rPr>
              <w:t>/l)</w:t>
            </w:r>
          </w:p>
          <w:p w14:paraId="72952477" w14:textId="3E9C6D6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7E2E4B0" w14:textId="2125110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25(OH</w:t>
            </w:r>
            <w:proofErr w:type="gramStart"/>
            <w:r w:rsidRPr="2F12C45C">
              <w:rPr>
                <w:sz w:val="20"/>
                <w:szCs w:val="20"/>
              </w:rPr>
              <w:t>)D</w:t>
            </w:r>
            <w:proofErr w:type="gramEnd"/>
            <w:r w:rsidRPr="2F12C45C">
              <w:rPr>
                <w:sz w:val="20"/>
                <w:szCs w:val="20"/>
              </w:rPr>
              <w:t xml:space="preserve"> levels can also be defined in units of </w:t>
            </w:r>
            <w:proofErr w:type="spellStart"/>
            <w:r w:rsidRPr="2F12C45C">
              <w:rPr>
                <w:sz w:val="20"/>
                <w:szCs w:val="20"/>
              </w:rPr>
              <w:t>nmol</w:t>
            </w:r>
            <w:proofErr w:type="spellEnd"/>
            <w:r w:rsidRPr="2F12C45C">
              <w:rPr>
                <w:sz w:val="20"/>
                <w:szCs w:val="20"/>
              </w:rPr>
              <w:t xml:space="preserve">/L. The conversion between the two is </w:t>
            </w:r>
            <w:proofErr w:type="spellStart"/>
            <w:r w:rsidRPr="2F12C45C">
              <w:rPr>
                <w:sz w:val="20"/>
                <w:szCs w:val="20"/>
              </w:rPr>
              <w:t>nmol</w:t>
            </w:r>
            <w:proofErr w:type="spellEnd"/>
            <w:r w:rsidRPr="2F12C45C">
              <w:rPr>
                <w:sz w:val="20"/>
                <w:szCs w:val="20"/>
              </w:rPr>
              <w:t>/L=2.5 ng/ml</w:t>
            </w:r>
          </w:p>
          <w:p w14:paraId="5A97AEB8" w14:textId="0CC6878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C0047A2" w14:textId="4CF6980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 Vitamin D Council makes a recommendation of 50 ng/ml and defines the above reference ranges for the following reasons:</w:t>
            </w:r>
          </w:p>
          <w:p w14:paraId="60CFBA24" w14:textId="2336F2A3" w:rsidR="2F12C45C" w:rsidRDefault="2F12C45C" w:rsidP="2F12C45C">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F12C45C">
              <w:rPr>
                <w:rFonts w:ascii="Times New Roman" w:eastAsia="Times New Roman" w:hAnsi="Times New Roman" w:cs="Times New Roman"/>
                <w:sz w:val="20"/>
                <w:szCs w:val="20"/>
              </w:rPr>
              <w:t>The human genome was selected with abundance of vitamin D. Humans evolved in the sun near the equator, synthesizing robust quantities of vitamin D in the skin. Research has shown that lifeguards, farmers near the equator, and sun dwelling hunter gatherers maintain blood levels between 40-80 ng/ml on sun exposure alone</w:t>
            </w:r>
          </w:p>
          <w:p w14:paraId="3C6B700D" w14:textId="3FAB155C" w:rsidR="009421C0" w:rsidRPr="009421C0" w:rsidRDefault="2F12C45C" w:rsidP="009421C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Symbol"/>
              </w:rPr>
            </w:pPr>
            <w:r w:rsidRPr="2F12C45C">
              <w:rPr>
                <w:rFonts w:ascii="Times New Roman" w:eastAsia="Times New Roman" w:hAnsi="Times New Roman" w:cs="Times New Roman"/>
                <w:sz w:val="20"/>
                <w:szCs w:val="20"/>
              </w:rPr>
              <w:t>The Vitamin D Council believes that the maternal 25(OH</w:t>
            </w:r>
            <w:proofErr w:type="gramStart"/>
            <w:r w:rsidRPr="2F12C45C">
              <w:rPr>
                <w:rFonts w:ascii="Times New Roman" w:eastAsia="Times New Roman" w:hAnsi="Times New Roman" w:cs="Times New Roman"/>
                <w:sz w:val="20"/>
                <w:szCs w:val="20"/>
              </w:rPr>
              <w:t>)D</w:t>
            </w:r>
            <w:proofErr w:type="gramEnd"/>
            <w:r w:rsidRPr="2F12C45C">
              <w:rPr>
                <w:rFonts w:ascii="Times New Roman" w:eastAsia="Times New Roman" w:hAnsi="Times New Roman" w:cs="Times New Roman"/>
                <w:sz w:val="20"/>
                <w:szCs w:val="20"/>
              </w:rPr>
              <w:t xml:space="preserve"> status necessary to provide </w:t>
            </w:r>
            <w:proofErr w:type="spellStart"/>
            <w:r w:rsidRPr="2F12C45C">
              <w:rPr>
                <w:rFonts w:ascii="Times New Roman" w:eastAsia="Times New Roman" w:hAnsi="Times New Roman" w:cs="Times New Roman"/>
                <w:sz w:val="20"/>
                <w:szCs w:val="20"/>
              </w:rPr>
              <w:t>antirachitic</w:t>
            </w:r>
            <w:proofErr w:type="spellEnd"/>
            <w:r w:rsidRPr="2F12C45C">
              <w:rPr>
                <w:rFonts w:ascii="Times New Roman" w:eastAsia="Times New Roman" w:hAnsi="Times New Roman" w:cs="Times New Roman"/>
                <w:sz w:val="20"/>
                <w:szCs w:val="20"/>
              </w:rPr>
              <w:t xml:space="preserve"> activity for offspring should be considered a biomarker for optimal vitamin </w:t>
            </w:r>
            <w:proofErr w:type="spellStart"/>
            <w:r w:rsidRPr="2F12C45C">
              <w:rPr>
                <w:rFonts w:ascii="Times New Roman" w:eastAsia="Times New Roman" w:hAnsi="Times New Roman" w:cs="Times New Roman"/>
                <w:sz w:val="20"/>
                <w:szCs w:val="20"/>
              </w:rPr>
              <w:t>D</w:t>
            </w:r>
            <w:r w:rsidRPr="009421C0">
              <w:rPr>
                <w:rFonts w:ascii="Times New Roman" w:eastAsia="Times New Roman" w:hAnsi="Times New Roman" w:cs="Times New Roman"/>
                <w:sz w:val="20"/>
                <w:szCs w:val="20"/>
              </w:rPr>
              <w:t>status</w:t>
            </w:r>
            <w:proofErr w:type="spellEnd"/>
            <w:r w:rsidRPr="009421C0">
              <w:rPr>
                <w:rFonts w:ascii="Times New Roman" w:eastAsia="Times New Roman" w:hAnsi="Times New Roman" w:cs="Times New Roman"/>
                <w:sz w:val="20"/>
                <w:szCs w:val="20"/>
              </w:rPr>
              <w:t xml:space="preserve"> in humans. </w:t>
            </w:r>
          </w:p>
          <w:p w14:paraId="6781B7AA" w14:textId="00B66A0F" w:rsidR="009421C0" w:rsidRPr="009421C0" w:rsidRDefault="2F12C45C" w:rsidP="009421C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Symbol"/>
              </w:rPr>
            </w:pPr>
            <w:r w:rsidRPr="009421C0">
              <w:rPr>
                <w:rFonts w:ascii="Times New Roman" w:eastAsia="Times New Roman" w:hAnsi="Times New Roman" w:cs="Times New Roman"/>
                <w:sz w:val="20"/>
                <w:szCs w:val="20"/>
              </w:rPr>
              <w:t xml:space="preserve">Research shows that </w:t>
            </w:r>
            <w:proofErr w:type="spellStart"/>
            <w:r w:rsidRPr="009421C0">
              <w:rPr>
                <w:rFonts w:ascii="Times New Roman" w:eastAsia="Times New Roman" w:hAnsi="Times New Roman" w:cs="Times New Roman"/>
                <w:sz w:val="20"/>
                <w:szCs w:val="20"/>
              </w:rPr>
              <w:t>antirachitic</w:t>
            </w:r>
            <w:proofErr w:type="spellEnd"/>
            <w:r w:rsidRPr="009421C0">
              <w:rPr>
                <w:rFonts w:ascii="Times New Roman" w:eastAsia="Times New Roman" w:hAnsi="Times New Roman" w:cs="Times New Roman"/>
                <w:sz w:val="20"/>
                <w:szCs w:val="20"/>
              </w:rPr>
              <w:t xml:space="preserve"> activity in breast milk occurs at 45 ng/ml or higher, but not at 38.4 ng/ml or lower</w:t>
            </w:r>
          </w:p>
          <w:p w14:paraId="6E63C9AC" w14:textId="766FE8E5" w:rsidR="009421C0" w:rsidRPr="009421C0" w:rsidRDefault="2F12C45C" w:rsidP="009421C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Symbol"/>
              </w:rPr>
            </w:pPr>
            <w:r w:rsidRPr="009421C0">
              <w:rPr>
                <w:rFonts w:ascii="Times New Roman" w:eastAsia="Times New Roman" w:hAnsi="Times New Roman" w:cs="Times New Roman"/>
                <w:sz w:val="20"/>
                <w:szCs w:val="20"/>
              </w:rPr>
              <w:t xml:space="preserve">Research has generally shown that parathyroid hormone is maximally suppressed at 40 ng/ml or higher, another finding that </w:t>
            </w:r>
            <w:r w:rsidRPr="009421C0">
              <w:rPr>
                <w:rFonts w:ascii="Times New Roman" w:eastAsia="Times New Roman" w:hAnsi="Times New Roman" w:cs="Times New Roman"/>
                <w:sz w:val="20"/>
                <w:szCs w:val="20"/>
              </w:rPr>
              <w:lastRenderedPageBreak/>
              <w:t>the Vitamin D Council considers a biomarker for optimal vitamin D status</w:t>
            </w:r>
          </w:p>
          <w:p w14:paraId="44C2CB82" w14:textId="053CBBBB" w:rsidR="00BA4D0A" w:rsidRPr="009421C0" w:rsidRDefault="2F12C45C" w:rsidP="009421C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Symbol"/>
              </w:rPr>
            </w:pPr>
            <w:r w:rsidRPr="009421C0">
              <w:rPr>
                <w:sz w:val="20"/>
                <w:szCs w:val="20"/>
              </w:rPr>
              <w:t>The human body is usually unable to achieve 25(OH</w:t>
            </w:r>
            <w:proofErr w:type="gramStart"/>
            <w:r w:rsidRPr="009421C0">
              <w:rPr>
                <w:sz w:val="20"/>
                <w:szCs w:val="20"/>
              </w:rPr>
              <w:t>)D</w:t>
            </w:r>
            <w:proofErr w:type="gramEnd"/>
            <w:r w:rsidRPr="009421C0">
              <w:rPr>
                <w:sz w:val="20"/>
                <w:szCs w:val="20"/>
              </w:rPr>
              <w:t xml:space="preserve"> levels above 100 ng/ml on UVB exposure alone There are no studies to date to suggest that 25(OH)D levels over 100 ng/ml are beneficial, so the Vitamin D Council believes that the upper limit should be set at 100 ng/ml.</w:t>
            </w:r>
          </w:p>
          <w:p w14:paraId="39916759"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 xml:space="preserve">Vitamin D toxicity manifests itself as </w:t>
            </w:r>
            <w:proofErr w:type="spellStart"/>
            <w:r>
              <w:rPr>
                <w:color w:val="333333"/>
                <w:sz w:val="20"/>
                <w:szCs w:val="20"/>
              </w:rPr>
              <w:t>hypercalcuria</w:t>
            </w:r>
            <w:proofErr w:type="spellEnd"/>
            <w:r>
              <w:rPr>
                <w:color w:val="333333"/>
                <w:sz w:val="20"/>
                <w:szCs w:val="20"/>
              </w:rPr>
              <w:t xml:space="preserve"> and </w:t>
            </w:r>
            <w:proofErr w:type="spellStart"/>
            <w:r>
              <w:rPr>
                <w:color w:val="333333"/>
                <w:sz w:val="20"/>
                <w:szCs w:val="20"/>
              </w:rPr>
              <w:t>hypercalcemia</w:t>
            </w:r>
            <w:proofErr w:type="spellEnd"/>
            <w:r>
              <w:rPr>
                <w:color w:val="333333"/>
                <w:sz w:val="20"/>
                <w:szCs w:val="20"/>
              </w:rPr>
              <w:t>.  Research has shown that serum calcium levels not related to 25(OH</w:t>
            </w:r>
            <w:proofErr w:type="gramStart"/>
            <w:r>
              <w:rPr>
                <w:color w:val="333333"/>
                <w:sz w:val="20"/>
                <w:szCs w:val="20"/>
              </w:rPr>
              <w:t>)D</w:t>
            </w:r>
            <w:proofErr w:type="gramEnd"/>
            <w:r>
              <w:rPr>
                <w:color w:val="333333"/>
                <w:sz w:val="20"/>
                <w:szCs w:val="20"/>
              </w:rPr>
              <w:t xml:space="preserve"> levels to 257 ng/ml but cases of toxicity have been reported at levels as low as 194 ng/ml.  The Vitamin D Council believes that a conservative threshold of 150</w:t>
            </w:r>
          </w:p>
          <w:p w14:paraId="1A369794"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proofErr w:type="gramStart"/>
            <w:r>
              <w:rPr>
                <w:color w:val="333333"/>
                <w:sz w:val="20"/>
                <w:szCs w:val="20"/>
              </w:rPr>
              <w:t>ng/ml</w:t>
            </w:r>
            <w:proofErr w:type="gramEnd"/>
            <w:r>
              <w:rPr>
                <w:color w:val="333333"/>
                <w:sz w:val="20"/>
                <w:szCs w:val="20"/>
              </w:rPr>
              <w:t xml:space="preserve"> should be considered the lower limit of toxicity.  </w:t>
            </w:r>
          </w:p>
          <w:p w14:paraId="3B61BEDD"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p>
          <w:p w14:paraId="2FE403AC"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 xml:space="preserve">Vitamin D3 is the type of vitamin the human body produces in response to sun exposure.  Vitamin D supplements are produced by irradiating fungus.  </w:t>
            </w:r>
          </w:p>
          <w:p w14:paraId="596D99BA"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p>
          <w:p w14:paraId="5CAF4FE8" w14:textId="77777777" w:rsidR="009421C0" w:rsidRDefault="009421C0"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r>
              <w:rPr>
                <w:color w:val="333333"/>
                <w:sz w:val="20"/>
                <w:szCs w:val="20"/>
              </w:rPr>
              <w:t xml:space="preserve">On days that individuals do not sunbathe, the Vitamin D Council recommends the following daily maintenance doses:  </w:t>
            </w:r>
          </w:p>
          <w:p w14:paraId="563DE3A5" w14:textId="77777777" w:rsidR="009421C0" w:rsidRDefault="009421C0" w:rsidP="2F12C45C">
            <w:pPr>
              <w:ind w:left="-360"/>
              <w:cnfStyle w:val="000000000000" w:firstRow="0" w:lastRow="0" w:firstColumn="0" w:lastColumn="0" w:oddVBand="0" w:evenVBand="0" w:oddHBand="0" w:evenHBand="0" w:firstRowFirstColumn="0" w:firstRowLastColumn="0" w:lastRowFirstColumn="0" w:lastRowLastColumn="0"/>
              <w:rPr>
                <w:sz w:val="20"/>
                <w:szCs w:val="20"/>
              </w:rPr>
            </w:pPr>
          </w:p>
          <w:p w14:paraId="60C65908" w14:textId="455EDE66" w:rsidR="2F12C45C" w:rsidRDefault="2F12C45C" w:rsidP="2F12C45C">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2F12C45C">
              <w:rPr>
                <w:rFonts w:ascii="Times New Roman" w:eastAsia="Times New Roman" w:hAnsi="Times New Roman" w:cs="Times New Roman"/>
                <w:sz w:val="20"/>
                <w:szCs w:val="20"/>
              </w:rPr>
              <w:t>Children: 1,000 IU per 25lbs of body weight. This recommendation applies up to 125 lbs.</w:t>
            </w:r>
          </w:p>
          <w:p w14:paraId="6D06277A" w14:textId="6F197E68" w:rsidR="2F12C45C" w:rsidRDefault="2F12C45C" w:rsidP="2F12C45C">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2F12C45C">
              <w:rPr>
                <w:rFonts w:ascii="Times New Roman" w:eastAsia="Times New Roman" w:hAnsi="Times New Roman" w:cs="Times New Roman"/>
                <w:sz w:val="20"/>
                <w:szCs w:val="20"/>
              </w:rPr>
              <w:t xml:space="preserve">Adults: 5,000 IU (including pregnant and breastfeeding mothers) </w:t>
            </w:r>
            <w:proofErr w:type="gramStart"/>
            <w:r w:rsidRPr="2F12C45C">
              <w:rPr>
                <w:rFonts w:ascii="Times New Roman" w:eastAsia="Times New Roman" w:hAnsi="Times New Roman" w:cs="Times New Roman"/>
                <w:sz w:val="20"/>
                <w:szCs w:val="20"/>
              </w:rPr>
              <w:t>If</w:t>
            </w:r>
            <w:proofErr w:type="gramEnd"/>
            <w:r w:rsidRPr="2F12C45C">
              <w:rPr>
                <w:rFonts w:ascii="Times New Roman" w:eastAsia="Times New Roman" w:hAnsi="Times New Roman" w:cs="Times New Roman"/>
                <w:sz w:val="20"/>
                <w:szCs w:val="20"/>
              </w:rPr>
              <w:t xml:space="preserve"> obese, consider a higher </w:t>
            </w:r>
            <w:r w:rsidRPr="2F12C45C">
              <w:rPr>
                <w:rFonts w:ascii="Times New Roman" w:eastAsia="Times New Roman" w:hAnsi="Times New Roman" w:cs="Times New Roman"/>
                <w:sz w:val="20"/>
                <w:szCs w:val="20"/>
              </w:rPr>
              <w:lastRenderedPageBreak/>
              <w:t>dose. If pregnant or breastfeeding, it is important to check blood levels and to make sure the mother is sufficient (50 ng/ml). If the mother is sufficient, then the weaning infant does not need to supplement.</w:t>
            </w:r>
          </w:p>
          <w:p w14:paraId="07EFEB11" w14:textId="35814B20" w:rsidR="2F12C45C" w:rsidRPr="009421C0" w:rsidRDefault="2F12C45C" w:rsidP="009421C0">
            <w:pPr>
              <w:pStyle w:val="ListParagraph"/>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2F12C45C">
              <w:rPr>
                <w:rFonts w:ascii="Times New Roman" w:eastAsia="Times New Roman" w:hAnsi="Times New Roman" w:cs="Times New Roman"/>
                <w:sz w:val="20"/>
                <w:szCs w:val="20"/>
              </w:rPr>
              <w:t>Upper limit: 10,000 IU.  If dosing at 10,000 IU/day or higher, the Vitamin D Council recommends 25(OH</w:t>
            </w:r>
            <w:proofErr w:type="gramStart"/>
            <w:r w:rsidRPr="2F12C45C">
              <w:rPr>
                <w:rFonts w:ascii="Times New Roman" w:eastAsia="Times New Roman" w:hAnsi="Times New Roman" w:cs="Times New Roman"/>
                <w:sz w:val="20"/>
                <w:szCs w:val="20"/>
              </w:rPr>
              <w:t>)D</w:t>
            </w:r>
            <w:proofErr w:type="gramEnd"/>
            <w:r w:rsidRPr="2F12C45C">
              <w:rPr>
                <w:rFonts w:ascii="Times New Roman" w:eastAsia="Times New Roman" w:hAnsi="Times New Roman" w:cs="Times New Roman"/>
                <w:sz w:val="20"/>
                <w:szCs w:val="20"/>
              </w:rPr>
              <w:t xml:space="preserve"> testing every 3 months for the first year, every 6 months thereafter.</w:t>
            </w:r>
          </w:p>
          <w:p w14:paraId="6A3806DD" w14:textId="354A6AD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These recommendations are based on dose response research, where 25(OH</w:t>
            </w:r>
            <w:proofErr w:type="gramStart"/>
            <w:r w:rsidRPr="2F12C45C">
              <w:rPr>
                <w:sz w:val="20"/>
                <w:szCs w:val="20"/>
              </w:rPr>
              <w:t>)D</w:t>
            </w:r>
            <w:proofErr w:type="gramEnd"/>
            <w:r w:rsidRPr="2F12C45C">
              <w:rPr>
                <w:sz w:val="20"/>
                <w:szCs w:val="20"/>
              </w:rPr>
              <w:t xml:space="preserve"> levels were measured after various daily dosing regimens. These recommendations will typically raise the average and healthy individual to blood levels around 50 ng/ml.</w:t>
            </w:r>
            <w:r w:rsidRPr="2F12C45C">
              <w:rPr>
                <w:b/>
                <w:bCs/>
                <w:sz w:val="20"/>
                <w:szCs w:val="20"/>
                <w:vertAlign w:val="superscript"/>
              </w:rPr>
              <w:t xml:space="preserve"> </w:t>
            </w:r>
            <w:r w:rsidRPr="2F12C45C">
              <w:rPr>
                <w:sz w:val="20"/>
                <w:szCs w:val="20"/>
              </w:rPr>
              <w:t>The Vitamin D Council makes these recommendations with the intention to meet the recommended blood level standards</w:t>
            </w:r>
          </w:p>
          <w:p w14:paraId="33D32920" w14:textId="21850779"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40216292" w14:textId="65BEDEFF" w:rsidR="00BA4D0A" w:rsidRPr="009421C0" w:rsidRDefault="2F12C45C" w:rsidP="009421C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2F12C45C">
              <w:rPr>
                <w:color w:val="333333"/>
                <w:sz w:val="20"/>
                <w:szCs w:val="20"/>
              </w:rPr>
              <w:t xml:space="preserve">Since vitamin D status is determined by blood levels and not dose, it is important to set a maintenance dose that achieves a targeted blood level first and foremost, and not select a maintenance dose intrinsically/arbitrarily. If an adult, for example, can achieve a blood level of 50 ng/ml on 3,500 IU/day, then that adult should take 3,500 IU/day. If an adult requires 8,000 IU/day to achieve a level of 50 ng/ml, however, then that adult should forego </w:t>
            </w:r>
            <w:r w:rsidRPr="2F12C45C">
              <w:rPr>
                <w:color w:val="333333"/>
                <w:sz w:val="20"/>
                <w:szCs w:val="20"/>
              </w:rPr>
              <w:lastRenderedPageBreak/>
              <w:t>the 5,000 IU/day recommendation.</w:t>
            </w:r>
          </w:p>
          <w:p w14:paraId="690486E7" w14:textId="26AAF4DE" w:rsidR="00BA4D0A" w:rsidRDefault="00BA4D0A" w:rsidP="009421C0">
            <w:pPr>
              <w:ind w:left="-360"/>
              <w:cnfStyle w:val="000000000000" w:firstRow="0" w:lastRow="0" w:firstColumn="0" w:lastColumn="0" w:oddVBand="0" w:evenVBand="0" w:oddHBand="0" w:evenHBand="0" w:firstRowFirstColumn="0" w:firstRowLastColumn="0" w:lastRowFirstColumn="0" w:lastRowLastColumn="0"/>
              <w:rPr>
                <w:sz w:val="20"/>
                <w:szCs w:val="20"/>
              </w:rPr>
            </w:pPr>
          </w:p>
        </w:tc>
        <w:tc>
          <w:tcPr>
            <w:tcW w:w="2153" w:type="dxa"/>
          </w:tcPr>
          <w:p w14:paraId="2A81D1CC" w14:textId="63E44ABC"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The Vitamin D Council recommends maintaining serum levels of 50 ng/ml (equivalent to 125 </w:t>
            </w:r>
            <w:proofErr w:type="spellStart"/>
            <w:r w:rsidRPr="2F12C45C">
              <w:rPr>
                <w:sz w:val="20"/>
                <w:szCs w:val="20"/>
              </w:rPr>
              <w:t>nmol</w:t>
            </w:r>
            <w:proofErr w:type="spellEnd"/>
            <w:r w:rsidRPr="2F12C45C">
              <w:rPr>
                <w:sz w:val="20"/>
                <w:szCs w:val="20"/>
              </w:rPr>
              <w:t>/L), with the following reference ranges:</w:t>
            </w:r>
          </w:p>
          <w:p w14:paraId="072DA380" w14:textId="679E211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Deficient: 0-40 ng/ml (0-100 </w:t>
            </w:r>
            <w:proofErr w:type="spellStart"/>
            <w:r w:rsidRPr="2F12C45C">
              <w:rPr>
                <w:sz w:val="20"/>
                <w:szCs w:val="20"/>
              </w:rPr>
              <w:t>nmol</w:t>
            </w:r>
            <w:proofErr w:type="spellEnd"/>
            <w:r w:rsidRPr="2F12C45C">
              <w:rPr>
                <w:sz w:val="20"/>
                <w:szCs w:val="20"/>
              </w:rPr>
              <w:t>/l)</w:t>
            </w:r>
          </w:p>
          <w:p w14:paraId="7645B88F" w14:textId="0E454FF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Sufficient: 40-80 ng/ml (100-200 </w:t>
            </w:r>
            <w:proofErr w:type="spellStart"/>
            <w:r w:rsidRPr="2F12C45C">
              <w:rPr>
                <w:sz w:val="20"/>
                <w:szCs w:val="20"/>
              </w:rPr>
              <w:t>nmol</w:t>
            </w:r>
            <w:proofErr w:type="spellEnd"/>
            <w:r w:rsidRPr="2F12C45C">
              <w:rPr>
                <w:sz w:val="20"/>
                <w:szCs w:val="20"/>
              </w:rPr>
              <w:t>/l)</w:t>
            </w:r>
          </w:p>
          <w:p w14:paraId="59F47F7F" w14:textId="0EC8BD5B"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High Normal: 80-100 ng/ml (200-250 </w:t>
            </w:r>
            <w:proofErr w:type="spellStart"/>
            <w:r w:rsidRPr="2F12C45C">
              <w:rPr>
                <w:sz w:val="20"/>
                <w:szCs w:val="20"/>
              </w:rPr>
              <w:t>nmol</w:t>
            </w:r>
            <w:proofErr w:type="spellEnd"/>
            <w:r w:rsidRPr="2F12C45C">
              <w:rPr>
                <w:sz w:val="20"/>
                <w:szCs w:val="20"/>
              </w:rPr>
              <w:t>/l)</w:t>
            </w:r>
          </w:p>
          <w:p w14:paraId="376CDA38" w14:textId="6299087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Undesirable: &gt; 100 ng/ml (&gt; 250 </w:t>
            </w:r>
            <w:proofErr w:type="spellStart"/>
            <w:r w:rsidRPr="2F12C45C">
              <w:rPr>
                <w:sz w:val="20"/>
                <w:szCs w:val="20"/>
              </w:rPr>
              <w:t>nmol</w:t>
            </w:r>
            <w:proofErr w:type="spellEnd"/>
            <w:r w:rsidRPr="2F12C45C">
              <w:rPr>
                <w:sz w:val="20"/>
                <w:szCs w:val="20"/>
              </w:rPr>
              <w:t>/l)</w:t>
            </w:r>
          </w:p>
          <w:p w14:paraId="45590122" w14:textId="01397428"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Toxic: &gt; 150 ng/ml (&gt; 375 </w:t>
            </w:r>
            <w:proofErr w:type="spellStart"/>
            <w:r w:rsidRPr="2F12C45C">
              <w:rPr>
                <w:sz w:val="20"/>
                <w:szCs w:val="20"/>
              </w:rPr>
              <w:t>nmol</w:t>
            </w:r>
            <w:proofErr w:type="spellEnd"/>
            <w:r w:rsidRPr="2F12C45C">
              <w:rPr>
                <w:sz w:val="20"/>
                <w:szCs w:val="20"/>
              </w:rPr>
              <w:t>/l)</w:t>
            </w:r>
          </w:p>
          <w:p w14:paraId="5DE9E1B2" w14:textId="11F1D0C2"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E8EFF0A" w14:textId="5E915053"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color w:val="333333"/>
                <w:sz w:val="20"/>
                <w:szCs w:val="20"/>
              </w:rPr>
              <w:t>Since vitamin D status is determined by blood levels and not dose, it is important to set a maintenance dose that achieves a targeted blood level first and foremost, and not select a maintenance dose intrinsically/arbitrarily</w:t>
            </w:r>
          </w:p>
        </w:tc>
        <w:tc>
          <w:tcPr>
            <w:tcW w:w="1332" w:type="dxa"/>
          </w:tcPr>
          <w:p w14:paraId="7D06B28A" w14:textId="255D988A"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lastRenderedPageBreak/>
              <w:t xml:space="preserve">Target maintaining serum levels of at least 50 ng/ml </w:t>
            </w:r>
          </w:p>
          <w:p w14:paraId="5855CC88" w14:textId="2A81899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3481481C" w14:textId="4CAF9ED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Use reference ranges:</w:t>
            </w:r>
          </w:p>
          <w:p w14:paraId="14ACA976" w14:textId="532E755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Deficient: 0-40 ng/ml (0-100 </w:t>
            </w:r>
            <w:proofErr w:type="spellStart"/>
            <w:r w:rsidRPr="2F12C45C">
              <w:rPr>
                <w:sz w:val="20"/>
                <w:szCs w:val="20"/>
              </w:rPr>
              <w:t>nmol</w:t>
            </w:r>
            <w:proofErr w:type="spellEnd"/>
            <w:r w:rsidRPr="2F12C45C">
              <w:rPr>
                <w:sz w:val="20"/>
                <w:szCs w:val="20"/>
              </w:rPr>
              <w:t>/l)</w:t>
            </w:r>
          </w:p>
          <w:p w14:paraId="7893BA89" w14:textId="38AB526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Sufficient: 40-80 ng/ml </w:t>
            </w:r>
            <w:r w:rsidRPr="2F12C45C">
              <w:rPr>
                <w:sz w:val="20"/>
                <w:szCs w:val="20"/>
              </w:rPr>
              <w:lastRenderedPageBreak/>
              <w:t xml:space="preserve">(100-200 </w:t>
            </w:r>
            <w:proofErr w:type="spellStart"/>
            <w:r w:rsidRPr="2F12C45C">
              <w:rPr>
                <w:sz w:val="20"/>
                <w:szCs w:val="20"/>
              </w:rPr>
              <w:t>nmol</w:t>
            </w:r>
            <w:proofErr w:type="spellEnd"/>
            <w:r w:rsidRPr="2F12C45C">
              <w:rPr>
                <w:sz w:val="20"/>
                <w:szCs w:val="20"/>
              </w:rPr>
              <w:t>/l)</w:t>
            </w:r>
          </w:p>
          <w:p w14:paraId="5986F38B" w14:textId="69FB02F5"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High Normal: 80-100 ng/ml (200-250 </w:t>
            </w:r>
            <w:proofErr w:type="spellStart"/>
            <w:r w:rsidRPr="2F12C45C">
              <w:rPr>
                <w:sz w:val="20"/>
                <w:szCs w:val="20"/>
              </w:rPr>
              <w:t>nmol</w:t>
            </w:r>
            <w:proofErr w:type="spellEnd"/>
            <w:r w:rsidRPr="2F12C45C">
              <w:rPr>
                <w:sz w:val="20"/>
                <w:szCs w:val="20"/>
              </w:rPr>
              <w:t>/l)</w:t>
            </w:r>
          </w:p>
          <w:p w14:paraId="766DD685" w14:textId="671027C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Undesirable: &gt; 100 ng/ml (&gt; 250 </w:t>
            </w:r>
            <w:proofErr w:type="spellStart"/>
            <w:r w:rsidRPr="2F12C45C">
              <w:rPr>
                <w:sz w:val="20"/>
                <w:szCs w:val="20"/>
              </w:rPr>
              <w:t>nmol</w:t>
            </w:r>
            <w:proofErr w:type="spellEnd"/>
            <w:r w:rsidRPr="2F12C45C">
              <w:rPr>
                <w:sz w:val="20"/>
                <w:szCs w:val="20"/>
              </w:rPr>
              <w:t>/l)</w:t>
            </w:r>
          </w:p>
          <w:p w14:paraId="4F8F8FFD" w14:textId="0E3B064E"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 xml:space="preserve">Toxic: &gt; 150 ng/ml (&gt; 375 </w:t>
            </w:r>
            <w:proofErr w:type="spellStart"/>
            <w:r w:rsidRPr="2F12C45C">
              <w:rPr>
                <w:sz w:val="20"/>
                <w:szCs w:val="20"/>
              </w:rPr>
              <w:t>nmol</w:t>
            </w:r>
            <w:proofErr w:type="spellEnd"/>
            <w:r w:rsidRPr="2F12C45C">
              <w:rPr>
                <w:sz w:val="20"/>
                <w:szCs w:val="20"/>
              </w:rPr>
              <w:t>/l)</w:t>
            </w:r>
          </w:p>
          <w:p w14:paraId="7708159F" w14:textId="4A437C76"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63B97ACA" w14:textId="3C759B57"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Daily maintenance dose option for adults: 5,000 IU</w:t>
            </w:r>
          </w:p>
          <w:p w14:paraId="299177EF" w14:textId="108F835D"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1E545622" w14:textId="239A8FE0"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r w:rsidRPr="2F12C45C">
              <w:rPr>
                <w:sz w:val="20"/>
                <w:szCs w:val="20"/>
              </w:rPr>
              <w:t>Maintenance dose should be set based upon desired/ target blood level</w:t>
            </w:r>
          </w:p>
          <w:p w14:paraId="146A1540" w14:textId="21508AE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7233B1D7" w14:textId="4117C141"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p w14:paraId="5B477B02" w14:textId="0355A804" w:rsidR="2F12C45C" w:rsidRDefault="2F12C45C" w:rsidP="2F12C45C">
            <w:pPr>
              <w:cnfStyle w:val="000000000000" w:firstRow="0" w:lastRow="0" w:firstColumn="0" w:lastColumn="0" w:oddVBand="0" w:evenVBand="0" w:oddHBand="0" w:evenHBand="0" w:firstRowFirstColumn="0" w:firstRowLastColumn="0" w:lastRowFirstColumn="0" w:lastRowLastColumn="0"/>
              <w:rPr>
                <w:sz w:val="20"/>
                <w:szCs w:val="20"/>
              </w:rPr>
            </w:pPr>
          </w:p>
        </w:tc>
      </w:tr>
    </w:tbl>
    <w:p w14:paraId="18438C0A" w14:textId="31575B4C" w:rsidR="269AEE2E" w:rsidRDefault="269AEE2E" w:rsidP="2F12C45C"/>
    <w:p w14:paraId="656E5CAF" w14:textId="019672C0" w:rsidR="065ECE21" w:rsidRDefault="065ECE21">
      <w:r>
        <w:br w:type="page"/>
      </w:r>
    </w:p>
    <w:p w14:paraId="21E8F07E" w14:textId="534A6B71" w:rsidR="269AEE2E" w:rsidRDefault="4E5A3D04" w:rsidP="065ECE21">
      <w:pPr>
        <w:pStyle w:val="APAReference"/>
        <w:ind w:left="0" w:firstLine="0"/>
        <w:jc w:val="center"/>
      </w:pPr>
      <w:bookmarkStart w:id="12" w:name="_Hlk6171416"/>
      <w:r w:rsidRPr="4E5A3D04">
        <w:lastRenderedPageBreak/>
        <w:t>Appendix D</w:t>
      </w:r>
    </w:p>
    <w:p w14:paraId="54C8C071" w14:textId="679C69AC" w:rsidR="0068389D" w:rsidRDefault="0068389D" w:rsidP="065ECE21">
      <w:pPr>
        <w:pStyle w:val="APAReference"/>
        <w:ind w:left="0" w:firstLine="0"/>
        <w:jc w:val="center"/>
      </w:pPr>
      <w:r>
        <w:t>Evidence-based Practice Model</w:t>
      </w:r>
    </w:p>
    <w:bookmarkEnd w:id="12"/>
    <w:p w14:paraId="2E94F7EE" w14:textId="1B926AB6" w:rsidR="4E5A3D04" w:rsidRDefault="4E5A3D04" w:rsidP="4E5A3D04">
      <w:pPr>
        <w:pStyle w:val="APAReference"/>
        <w:ind w:left="0" w:firstLine="0"/>
        <w:jc w:val="center"/>
      </w:pPr>
      <w:r>
        <w:rPr>
          <w:noProof/>
        </w:rPr>
        <w:drawing>
          <wp:inline distT="0" distB="0" distL="0" distR="0" wp14:anchorId="1886AE19" wp14:editId="6ACA73C1">
            <wp:extent cx="5943600" cy="5229225"/>
            <wp:effectExtent l="0" t="0" r="0" b="0"/>
            <wp:docPr id="1360707970" name="Picture 13607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5229225"/>
                    </a:xfrm>
                    <a:prstGeom prst="rect">
                      <a:avLst/>
                    </a:prstGeom>
                  </pic:spPr>
                </pic:pic>
              </a:graphicData>
            </a:graphic>
          </wp:inline>
        </w:drawing>
      </w:r>
    </w:p>
    <w:p w14:paraId="0AFDC478" w14:textId="12F9DA04" w:rsidR="4E5A3D04" w:rsidRDefault="4E5A3D04">
      <w:r>
        <w:br w:type="page"/>
      </w:r>
    </w:p>
    <w:p w14:paraId="3E4600E4" w14:textId="49B2B978" w:rsidR="270DDC39" w:rsidRDefault="270DDC39" w:rsidP="270DDC39">
      <w:pPr>
        <w:pStyle w:val="APAReference"/>
        <w:ind w:left="0" w:firstLine="0"/>
        <w:jc w:val="center"/>
      </w:pPr>
      <w:bookmarkStart w:id="13" w:name="_Hlk6171435"/>
      <w:r>
        <w:lastRenderedPageBreak/>
        <w:t>Appendix E</w:t>
      </w:r>
    </w:p>
    <w:p w14:paraId="3710E5BA" w14:textId="14B34D37" w:rsidR="270DDC39" w:rsidRDefault="270DDC39" w:rsidP="270DDC39">
      <w:pPr>
        <w:pStyle w:val="APAReference"/>
        <w:ind w:left="0" w:firstLine="0"/>
        <w:jc w:val="center"/>
      </w:pPr>
      <w:r w:rsidRPr="270DDC39">
        <w:rPr>
          <w:color w:val="1F1C1D"/>
          <w:szCs w:val="24"/>
        </w:rPr>
        <w:t xml:space="preserve">John </w:t>
      </w:r>
      <w:proofErr w:type="spellStart"/>
      <w:r w:rsidRPr="270DDC39">
        <w:rPr>
          <w:color w:val="1F1C1D"/>
          <w:szCs w:val="24"/>
        </w:rPr>
        <w:t>Hopkin's</w:t>
      </w:r>
      <w:proofErr w:type="spellEnd"/>
      <w:r w:rsidRPr="270DDC39">
        <w:rPr>
          <w:color w:val="1F1C1D"/>
          <w:szCs w:val="24"/>
        </w:rPr>
        <w:t xml:space="preserve"> EBP model action plan tool</w:t>
      </w:r>
    </w:p>
    <w:bookmarkEnd w:id="13"/>
    <w:p w14:paraId="30577467" w14:textId="63A444C5" w:rsidR="4E5A3D04" w:rsidRDefault="4E5A3D04" w:rsidP="0F9C91B5">
      <w:pPr>
        <w:pStyle w:val="APAReference"/>
        <w:ind w:left="0" w:firstLine="0"/>
        <w:jc w:val="center"/>
      </w:pPr>
      <w:r>
        <w:rPr>
          <w:noProof/>
        </w:rPr>
        <w:drawing>
          <wp:inline distT="0" distB="0" distL="0" distR="0" wp14:anchorId="17F62890" wp14:editId="328602B8">
            <wp:extent cx="3533775" cy="4572000"/>
            <wp:effectExtent l="0" t="0" r="0" b="0"/>
            <wp:docPr id="1247775211" name="Picture 12477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3C6076BB" w14:textId="66FC816E" w:rsidR="4E5A3D04" w:rsidRDefault="4E5A3D04" w:rsidP="0F9C91B5">
      <w:pPr>
        <w:pStyle w:val="APAReference"/>
        <w:ind w:left="0" w:firstLine="0"/>
        <w:jc w:val="center"/>
      </w:pPr>
      <w:r>
        <w:rPr>
          <w:noProof/>
        </w:rPr>
        <w:lastRenderedPageBreak/>
        <w:drawing>
          <wp:inline distT="0" distB="0" distL="0" distR="0" wp14:anchorId="009FF8DC" wp14:editId="5CA3CA8C">
            <wp:extent cx="3533775" cy="4572000"/>
            <wp:effectExtent l="0" t="0" r="0" b="0"/>
            <wp:docPr id="444078640" name="Picture 44407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138ED1E7" w14:textId="058F33F6" w:rsidR="4E5A3D04" w:rsidRDefault="4E5A3D04" w:rsidP="0F9C91B5">
      <w:pPr>
        <w:pStyle w:val="APAReference"/>
        <w:ind w:left="0" w:firstLine="0"/>
        <w:jc w:val="center"/>
      </w:pPr>
      <w:r>
        <w:br w:type="page"/>
      </w:r>
    </w:p>
    <w:p w14:paraId="0F89968C" w14:textId="6EAE87EB" w:rsidR="4E5A3D04" w:rsidRDefault="4E5A3D04" w:rsidP="4E5A3D04">
      <w:pPr>
        <w:pStyle w:val="APAReference"/>
        <w:ind w:left="0" w:firstLine="0"/>
        <w:jc w:val="center"/>
      </w:pPr>
      <w:bookmarkStart w:id="14" w:name="_Hlk6171446"/>
      <w:r w:rsidRPr="4E5A3D04">
        <w:lastRenderedPageBreak/>
        <w:t>Appendix F</w:t>
      </w:r>
    </w:p>
    <w:p w14:paraId="38A1328A" w14:textId="4638AD1C" w:rsidR="00375D69" w:rsidRDefault="00375D69" w:rsidP="00375D69">
      <w:pPr>
        <w:pStyle w:val="APAReference"/>
        <w:ind w:left="0" w:firstLine="0"/>
        <w:jc w:val="center"/>
      </w:pPr>
      <w:r>
        <w:t>Vitamin D Protocol</w:t>
      </w:r>
    </w:p>
    <w:bookmarkEnd w:id="14"/>
    <w:p w14:paraId="38939BBB" w14:textId="11CA29FB" w:rsidR="00375D69" w:rsidRDefault="00375D69" w:rsidP="4E5A3D04">
      <w:pPr>
        <w:pStyle w:val="APAReference"/>
        <w:ind w:left="0" w:firstLine="0"/>
        <w:jc w:val="center"/>
      </w:pPr>
      <w:r>
        <w:rPr>
          <w:noProof/>
        </w:rPr>
        <w:drawing>
          <wp:inline distT="0" distB="0" distL="0" distR="0" wp14:anchorId="13B93BE2" wp14:editId="5B45CBE3">
            <wp:extent cx="5943600" cy="3559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3559175"/>
                    </a:xfrm>
                    <a:prstGeom prst="rect">
                      <a:avLst/>
                    </a:prstGeom>
                  </pic:spPr>
                </pic:pic>
              </a:graphicData>
            </a:graphic>
          </wp:inline>
        </w:drawing>
      </w:r>
    </w:p>
    <w:p w14:paraId="2B9C6268" w14:textId="180EE9D0" w:rsidR="006A7AB4" w:rsidRDefault="00375D69">
      <w:pPr>
        <w:rPr>
          <w:szCs w:val="20"/>
        </w:rPr>
      </w:pPr>
      <w:r>
        <w:br w:type="page"/>
      </w:r>
    </w:p>
    <w:p w14:paraId="200E42F4" w14:textId="31D55D47" w:rsidR="004A5EF2" w:rsidRPr="00623319" w:rsidRDefault="004A5EF2" w:rsidP="006A7AB4">
      <w:pPr>
        <w:pStyle w:val="APAReference"/>
        <w:ind w:left="0" w:firstLine="0"/>
        <w:jc w:val="center"/>
      </w:pPr>
      <w:bookmarkStart w:id="15" w:name="_Hlk6171459"/>
      <w:r w:rsidRPr="00623319">
        <w:lastRenderedPageBreak/>
        <w:t>Appendix G</w:t>
      </w:r>
    </w:p>
    <w:p w14:paraId="4E00057D" w14:textId="77777777" w:rsidR="00375D69" w:rsidRPr="00623319" w:rsidRDefault="00375D69" w:rsidP="00375D69">
      <w:pPr>
        <w:pStyle w:val="APAReference"/>
        <w:ind w:left="0" w:firstLine="0"/>
        <w:jc w:val="center"/>
      </w:pPr>
      <w:r w:rsidRPr="00623319">
        <w:t>Provider &amp; Staff Educational Materials &amp; Patient Education Resources</w:t>
      </w:r>
    </w:p>
    <w:bookmarkEnd w:id="15"/>
    <w:p w14:paraId="3F75F2DF" w14:textId="5953027C" w:rsidR="004A5EF2" w:rsidRDefault="00375D69" w:rsidP="006A7AB4">
      <w:pPr>
        <w:pStyle w:val="APAReference"/>
        <w:ind w:left="0" w:firstLine="0"/>
        <w:jc w:val="center"/>
      </w:pPr>
      <w:r>
        <w:rPr>
          <w:noProof/>
        </w:rPr>
        <w:drawing>
          <wp:inline distT="0" distB="0" distL="0" distR="0" wp14:anchorId="7C1D5BF4" wp14:editId="0D5D9FD9">
            <wp:extent cx="2810974" cy="465681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10974" cy="4656810"/>
                    </a:xfrm>
                    <a:prstGeom prst="rect">
                      <a:avLst/>
                    </a:prstGeom>
                  </pic:spPr>
                </pic:pic>
              </a:graphicData>
            </a:graphic>
          </wp:inline>
        </w:drawing>
      </w:r>
      <w:r>
        <w:rPr>
          <w:noProof/>
        </w:rPr>
        <w:drawing>
          <wp:inline distT="0" distB="0" distL="0" distR="0" wp14:anchorId="609326A3" wp14:editId="083E2205">
            <wp:extent cx="2880179" cy="464961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80179" cy="4649619"/>
                    </a:xfrm>
                    <a:prstGeom prst="rect">
                      <a:avLst/>
                    </a:prstGeom>
                  </pic:spPr>
                </pic:pic>
              </a:graphicData>
            </a:graphic>
          </wp:inline>
        </w:drawing>
      </w:r>
    </w:p>
    <w:p w14:paraId="29EA94DB" w14:textId="2D830418" w:rsidR="00CF4672" w:rsidRDefault="00CF4672" w:rsidP="006A7AB4">
      <w:pPr>
        <w:pStyle w:val="APAReference"/>
        <w:ind w:left="0" w:firstLine="0"/>
        <w:jc w:val="center"/>
      </w:pPr>
    </w:p>
    <w:p w14:paraId="1C921AC3" w14:textId="19BD7D8C" w:rsidR="00375D69" w:rsidRPr="00623319" w:rsidRDefault="004A5EF2" w:rsidP="00375D69">
      <w:pPr>
        <w:pStyle w:val="APAReference"/>
        <w:ind w:left="0" w:firstLine="0"/>
        <w:jc w:val="center"/>
      </w:pPr>
      <w:r>
        <w:br w:type="page"/>
      </w:r>
      <w:r w:rsidR="00375D69" w:rsidRPr="00623319">
        <w:lastRenderedPageBreak/>
        <w:t>Appendix G</w:t>
      </w:r>
    </w:p>
    <w:p w14:paraId="587E5EC5" w14:textId="4160899D" w:rsidR="004A5EF2" w:rsidRDefault="00375D69" w:rsidP="00375D69">
      <w:pPr>
        <w:pStyle w:val="APAReference"/>
        <w:ind w:left="0" w:firstLine="0"/>
        <w:jc w:val="center"/>
      </w:pPr>
      <w:r w:rsidRPr="00623319">
        <w:t>Provider &amp; Staff Educational Materials &amp; Patient Education Resources</w:t>
      </w:r>
    </w:p>
    <w:p w14:paraId="2F8C2281" w14:textId="77777777" w:rsidR="00375D69" w:rsidRDefault="00375D69" w:rsidP="00375D69">
      <w:pPr>
        <w:pStyle w:val="APAReference"/>
        <w:ind w:left="0" w:firstLine="0"/>
        <w:jc w:val="center"/>
      </w:pPr>
    </w:p>
    <w:p w14:paraId="6FBDF05E" w14:textId="147C4E58" w:rsidR="00375D69" w:rsidRDefault="00375D69" w:rsidP="00375D69">
      <w:pPr>
        <w:pStyle w:val="APAReference"/>
        <w:ind w:left="0" w:firstLine="0"/>
        <w:jc w:val="center"/>
        <w:rPr>
          <w:highlight w:val="yellow"/>
        </w:rPr>
      </w:pPr>
      <w:r>
        <w:rPr>
          <w:noProof/>
        </w:rPr>
        <w:drawing>
          <wp:inline distT="0" distB="0" distL="0" distR="0" wp14:anchorId="7CDD7B2A" wp14:editId="04EAE811">
            <wp:extent cx="5943600" cy="2479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2479642"/>
                    </a:xfrm>
                    <a:prstGeom prst="rect">
                      <a:avLst/>
                    </a:prstGeom>
                  </pic:spPr>
                </pic:pic>
              </a:graphicData>
            </a:graphic>
          </wp:inline>
        </w:drawing>
      </w:r>
    </w:p>
    <w:p w14:paraId="7FD6480D" w14:textId="56B67EF8" w:rsidR="00375D69" w:rsidRDefault="00375D69">
      <w:pPr>
        <w:rPr>
          <w:highlight w:val="yellow"/>
        </w:rPr>
      </w:pPr>
      <w:r>
        <w:rPr>
          <w:highlight w:val="yellow"/>
        </w:rPr>
        <w:br w:type="page"/>
      </w:r>
    </w:p>
    <w:p w14:paraId="3A02F42C" w14:textId="77777777" w:rsidR="00375D69" w:rsidRPr="00623319" w:rsidRDefault="00375D69" w:rsidP="00375D69">
      <w:pPr>
        <w:pStyle w:val="APAReference"/>
        <w:ind w:left="0" w:firstLine="0"/>
        <w:jc w:val="center"/>
      </w:pPr>
      <w:r w:rsidRPr="00623319">
        <w:lastRenderedPageBreak/>
        <w:t>Appendix G</w:t>
      </w:r>
    </w:p>
    <w:p w14:paraId="1E5E033E" w14:textId="77777777" w:rsidR="00375D69" w:rsidRDefault="00375D69" w:rsidP="00375D69">
      <w:pPr>
        <w:pStyle w:val="APAReference"/>
        <w:ind w:left="0" w:firstLine="0"/>
        <w:jc w:val="center"/>
      </w:pPr>
      <w:r w:rsidRPr="00623319">
        <w:t>Provider &amp; Staff Educational Materials &amp; Patient Education Resources</w:t>
      </w:r>
    </w:p>
    <w:p w14:paraId="3231C297" w14:textId="77777777" w:rsidR="00375D69" w:rsidRDefault="00375D69">
      <w:pPr>
        <w:rPr>
          <w:szCs w:val="20"/>
          <w:highlight w:val="yellow"/>
        </w:rPr>
      </w:pPr>
    </w:p>
    <w:p w14:paraId="158B1A4A" w14:textId="2A18C598" w:rsidR="00375D69" w:rsidRDefault="00375D69" w:rsidP="00375D69">
      <w:pPr>
        <w:pStyle w:val="APAReference"/>
        <w:ind w:left="0" w:firstLine="0"/>
        <w:jc w:val="center"/>
        <w:rPr>
          <w:highlight w:val="yellow"/>
        </w:rPr>
      </w:pPr>
      <w:r>
        <w:rPr>
          <w:noProof/>
        </w:rPr>
        <w:drawing>
          <wp:inline distT="0" distB="0" distL="0" distR="0" wp14:anchorId="57D64C8C" wp14:editId="6B9DB352">
            <wp:extent cx="5943600" cy="24590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2459099"/>
                    </a:xfrm>
                    <a:prstGeom prst="rect">
                      <a:avLst/>
                    </a:prstGeom>
                  </pic:spPr>
                </pic:pic>
              </a:graphicData>
            </a:graphic>
          </wp:inline>
        </w:drawing>
      </w:r>
    </w:p>
    <w:p w14:paraId="13611331" w14:textId="407211C2" w:rsidR="00375D69" w:rsidRDefault="00375D69" w:rsidP="00375D69">
      <w:pPr>
        <w:pStyle w:val="APAReference"/>
        <w:ind w:left="0" w:firstLine="0"/>
        <w:jc w:val="center"/>
        <w:rPr>
          <w:highlight w:val="yellow"/>
        </w:rPr>
      </w:pPr>
      <w:r>
        <w:rPr>
          <w:noProof/>
        </w:rPr>
        <w:drawing>
          <wp:inline distT="0" distB="0" distL="0" distR="0" wp14:anchorId="7FB8A36F" wp14:editId="7F82BEA9">
            <wp:extent cx="5943600" cy="237193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371931"/>
                    </a:xfrm>
                    <a:prstGeom prst="rect">
                      <a:avLst/>
                    </a:prstGeom>
                  </pic:spPr>
                </pic:pic>
              </a:graphicData>
            </a:graphic>
          </wp:inline>
        </w:drawing>
      </w:r>
    </w:p>
    <w:p w14:paraId="73201E42" w14:textId="4EB626F8" w:rsidR="00375D69" w:rsidRDefault="00375D69">
      <w:pPr>
        <w:rPr>
          <w:szCs w:val="20"/>
          <w:highlight w:val="yellow"/>
        </w:rPr>
      </w:pPr>
      <w:r>
        <w:rPr>
          <w:highlight w:val="yellow"/>
        </w:rPr>
        <w:br w:type="page"/>
      </w:r>
      <w:r>
        <w:rPr>
          <w:noProof/>
        </w:rPr>
        <w:lastRenderedPageBreak/>
        <w:drawing>
          <wp:inline distT="0" distB="0" distL="0" distR="0" wp14:anchorId="3D01CA5E" wp14:editId="0C2FEDC8">
            <wp:extent cx="5943600" cy="234032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2340321"/>
                    </a:xfrm>
                    <a:prstGeom prst="rect">
                      <a:avLst/>
                    </a:prstGeom>
                  </pic:spPr>
                </pic:pic>
              </a:graphicData>
            </a:graphic>
          </wp:inline>
        </w:drawing>
      </w:r>
    </w:p>
    <w:p w14:paraId="0B5B1645" w14:textId="0B2F4B2F" w:rsidR="00375D69" w:rsidRPr="00375D69" w:rsidRDefault="00375D69" w:rsidP="00375D69">
      <w:pPr>
        <w:pStyle w:val="APAReference"/>
        <w:ind w:left="0" w:firstLine="0"/>
        <w:jc w:val="center"/>
        <w:rPr>
          <w:highlight w:val="yellow"/>
        </w:rPr>
      </w:pPr>
      <w:r>
        <w:rPr>
          <w:noProof/>
        </w:rPr>
        <w:drawing>
          <wp:inline distT="0" distB="0" distL="0" distR="0" wp14:anchorId="3063F037" wp14:editId="57FC40A9">
            <wp:extent cx="5943600" cy="239605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396059"/>
                    </a:xfrm>
                    <a:prstGeom prst="rect">
                      <a:avLst/>
                    </a:prstGeom>
                  </pic:spPr>
                </pic:pic>
              </a:graphicData>
            </a:graphic>
          </wp:inline>
        </w:drawing>
      </w:r>
    </w:p>
    <w:p w14:paraId="2B299C28" w14:textId="77336FCE" w:rsidR="00375D69" w:rsidRPr="00506D2F" w:rsidRDefault="00375D69" w:rsidP="00506D2F">
      <w:pPr>
        <w:rPr>
          <w:szCs w:val="20"/>
        </w:rPr>
      </w:pPr>
      <w:r>
        <w:br w:type="page"/>
      </w:r>
    </w:p>
    <w:p w14:paraId="143E0E4C" w14:textId="77777777" w:rsidR="00375D69" w:rsidRPr="00623319" w:rsidRDefault="00375D69" w:rsidP="00375D69">
      <w:pPr>
        <w:pStyle w:val="APAReference"/>
        <w:ind w:left="0" w:firstLine="0"/>
        <w:jc w:val="center"/>
      </w:pPr>
      <w:r w:rsidRPr="00623319">
        <w:lastRenderedPageBreak/>
        <w:t>Appendix G</w:t>
      </w:r>
    </w:p>
    <w:p w14:paraId="2BB73B79" w14:textId="77777777" w:rsidR="00375D69" w:rsidRDefault="00375D69" w:rsidP="00375D69">
      <w:pPr>
        <w:pStyle w:val="APAReference"/>
        <w:ind w:left="0" w:firstLine="0"/>
        <w:jc w:val="center"/>
      </w:pPr>
      <w:r w:rsidRPr="00623319">
        <w:t>Provider &amp; Staff Educational Materials &amp; Patient Education Resources</w:t>
      </w:r>
    </w:p>
    <w:p w14:paraId="04A3A002" w14:textId="09594CED" w:rsidR="00375D69" w:rsidRDefault="00375D69" w:rsidP="006A7AB4">
      <w:pPr>
        <w:pStyle w:val="APAReference"/>
        <w:ind w:left="0" w:firstLine="0"/>
        <w:jc w:val="center"/>
      </w:pPr>
    </w:p>
    <w:p w14:paraId="41E8C556" w14:textId="5EAF5FBE" w:rsidR="00375D69" w:rsidRDefault="00375D69" w:rsidP="006A7AB4">
      <w:pPr>
        <w:pStyle w:val="APAReference"/>
        <w:ind w:left="0" w:firstLine="0"/>
        <w:jc w:val="center"/>
      </w:pPr>
      <w:r>
        <w:rPr>
          <w:noProof/>
        </w:rPr>
        <w:drawing>
          <wp:inline distT="0" distB="0" distL="0" distR="0" wp14:anchorId="5B409B11" wp14:editId="7DE1E8DD">
            <wp:extent cx="5943600" cy="24058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2405837"/>
                    </a:xfrm>
                    <a:prstGeom prst="rect">
                      <a:avLst/>
                    </a:prstGeom>
                  </pic:spPr>
                </pic:pic>
              </a:graphicData>
            </a:graphic>
          </wp:inline>
        </w:drawing>
      </w:r>
    </w:p>
    <w:p w14:paraId="2B624ED6" w14:textId="75772781" w:rsidR="00375D69" w:rsidRPr="00506D2F" w:rsidRDefault="00506D2F" w:rsidP="00506D2F">
      <w:pPr>
        <w:rPr>
          <w:szCs w:val="20"/>
        </w:rPr>
      </w:pPr>
      <w:r>
        <w:br w:type="page"/>
      </w:r>
    </w:p>
    <w:p w14:paraId="48845466" w14:textId="77777777" w:rsidR="00375D69" w:rsidRPr="00623319" w:rsidRDefault="00375D69" w:rsidP="00375D69">
      <w:pPr>
        <w:pStyle w:val="APAReference"/>
        <w:ind w:left="0" w:firstLine="0"/>
        <w:jc w:val="center"/>
      </w:pPr>
      <w:r w:rsidRPr="00623319">
        <w:lastRenderedPageBreak/>
        <w:t>Appendix G</w:t>
      </w:r>
    </w:p>
    <w:p w14:paraId="5AD5A4C3" w14:textId="5E391806" w:rsidR="00506D2F" w:rsidRDefault="006842AB" w:rsidP="00375D69">
      <w:pPr>
        <w:pStyle w:val="APAReference"/>
        <w:ind w:left="0" w:firstLine="0"/>
        <w:jc w:val="center"/>
      </w:pPr>
      <w:r w:rsidRPr="00623319">
        <w:t>Provider &amp; Staff Educational Materials &amp; Patient Education Resources</w:t>
      </w:r>
    </w:p>
    <w:p w14:paraId="797BD453" w14:textId="77777777" w:rsidR="00506D2F" w:rsidRDefault="00506D2F" w:rsidP="00375D69">
      <w:pPr>
        <w:pStyle w:val="APAReference"/>
        <w:ind w:left="0" w:firstLine="0"/>
        <w:jc w:val="center"/>
      </w:pPr>
    </w:p>
    <w:p w14:paraId="17A69FC7" w14:textId="58DAF723" w:rsidR="00506D2F" w:rsidRDefault="00375D69" w:rsidP="00375D69">
      <w:pPr>
        <w:pStyle w:val="APAReference"/>
        <w:ind w:left="0" w:firstLine="0"/>
        <w:jc w:val="center"/>
        <w:rPr>
          <w:highlight w:val="yellow"/>
        </w:rPr>
      </w:pPr>
      <w:r>
        <w:rPr>
          <w:noProof/>
        </w:rPr>
        <w:drawing>
          <wp:inline distT="0" distB="0" distL="0" distR="0" wp14:anchorId="3874B9AF" wp14:editId="7085B433">
            <wp:extent cx="5943600" cy="244941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2449415"/>
                    </a:xfrm>
                    <a:prstGeom prst="rect">
                      <a:avLst/>
                    </a:prstGeom>
                  </pic:spPr>
                </pic:pic>
              </a:graphicData>
            </a:graphic>
          </wp:inline>
        </w:drawing>
      </w:r>
    </w:p>
    <w:p w14:paraId="291FEAED" w14:textId="33AC19B0" w:rsidR="00375D69" w:rsidRPr="00506D2F" w:rsidRDefault="00506D2F" w:rsidP="00506D2F">
      <w:pPr>
        <w:rPr>
          <w:szCs w:val="20"/>
          <w:highlight w:val="yellow"/>
        </w:rPr>
      </w:pPr>
      <w:r>
        <w:rPr>
          <w:highlight w:val="yellow"/>
        </w:rPr>
        <w:br w:type="page"/>
      </w:r>
    </w:p>
    <w:p w14:paraId="1D81C36A" w14:textId="02625DF9" w:rsidR="065ECE21" w:rsidRDefault="006A7AB4" w:rsidP="006A7AB4">
      <w:pPr>
        <w:pStyle w:val="APAReference"/>
        <w:ind w:left="0" w:firstLine="0"/>
        <w:jc w:val="center"/>
      </w:pPr>
      <w:bookmarkStart w:id="16" w:name="_Hlk6171474"/>
      <w:r>
        <w:lastRenderedPageBreak/>
        <w:t xml:space="preserve">Appendix </w:t>
      </w:r>
      <w:r w:rsidR="004A5EF2">
        <w:t>H</w:t>
      </w:r>
    </w:p>
    <w:p w14:paraId="4C07A399" w14:textId="62F578D9" w:rsidR="00F13B9B" w:rsidRDefault="00F13B9B" w:rsidP="00F13B9B">
      <w:pPr>
        <w:pStyle w:val="APAReference"/>
        <w:ind w:left="0" w:firstLine="0"/>
        <w:jc w:val="center"/>
      </w:pPr>
      <w:r>
        <w:t>SWOT Analysis</w:t>
      </w:r>
    </w:p>
    <w:bookmarkEnd w:id="16"/>
    <w:p w14:paraId="7E2A0893" w14:textId="2D97F740" w:rsidR="00F13B9B" w:rsidRDefault="00F13B9B" w:rsidP="00F13B9B">
      <w:pPr>
        <w:pStyle w:val="APAReference"/>
        <w:ind w:left="0" w:firstLine="0"/>
        <w:jc w:val="center"/>
      </w:pPr>
    </w:p>
    <w:tbl>
      <w:tblPr>
        <w:tblStyle w:val="GridTable1Light-Accent1"/>
        <w:tblW w:w="0" w:type="auto"/>
        <w:tblLayout w:type="fixed"/>
        <w:tblLook w:val="06A0" w:firstRow="1" w:lastRow="0" w:firstColumn="1" w:lastColumn="0" w:noHBand="1" w:noVBand="1"/>
      </w:tblPr>
      <w:tblGrid>
        <w:gridCol w:w="3105"/>
        <w:gridCol w:w="3105"/>
        <w:gridCol w:w="3105"/>
      </w:tblGrid>
      <w:tr w:rsidR="00F13B9B" w14:paraId="3CB41B7A" w14:textId="77777777" w:rsidTr="00BA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tcPr>
          <w:p w14:paraId="09BB2D4C" w14:textId="77777777" w:rsidR="00F13B9B" w:rsidRDefault="00F13B9B" w:rsidP="00BA3526">
            <w:pPr>
              <w:spacing w:after="200" w:line="276" w:lineRule="auto"/>
              <w:rPr>
                <w:rFonts w:ascii="Calibri" w:eastAsia="Calibri" w:hAnsi="Calibri" w:cs="Calibri"/>
                <w:i/>
                <w:iCs/>
                <w:sz w:val="22"/>
                <w:szCs w:val="22"/>
              </w:rPr>
            </w:pPr>
          </w:p>
        </w:tc>
        <w:tc>
          <w:tcPr>
            <w:tcW w:w="3105" w:type="dxa"/>
          </w:tcPr>
          <w:p w14:paraId="6CC56033" w14:textId="77777777" w:rsidR="00F13B9B" w:rsidRDefault="00F13B9B" w:rsidP="00BA3526">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65ECE21">
              <w:rPr>
                <w:rFonts w:ascii="Calibri" w:eastAsia="Calibri" w:hAnsi="Calibri" w:cs="Calibri"/>
                <w:sz w:val="22"/>
                <w:szCs w:val="22"/>
              </w:rPr>
              <w:t>Strengths</w:t>
            </w:r>
          </w:p>
        </w:tc>
        <w:tc>
          <w:tcPr>
            <w:tcW w:w="3105" w:type="dxa"/>
          </w:tcPr>
          <w:p w14:paraId="6B086914" w14:textId="77777777" w:rsidR="00F13B9B" w:rsidRDefault="00F13B9B" w:rsidP="00BA3526">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65ECE21">
              <w:rPr>
                <w:rFonts w:ascii="Calibri" w:eastAsia="Calibri" w:hAnsi="Calibri" w:cs="Calibri"/>
                <w:sz w:val="22"/>
                <w:szCs w:val="22"/>
              </w:rPr>
              <w:t>Weaknesses</w:t>
            </w:r>
          </w:p>
        </w:tc>
      </w:tr>
      <w:tr w:rsidR="00F13B9B" w14:paraId="1C85CC0D" w14:textId="77777777" w:rsidTr="00BA3526">
        <w:tc>
          <w:tcPr>
            <w:cnfStyle w:val="001000000000" w:firstRow="0" w:lastRow="0" w:firstColumn="1" w:lastColumn="0" w:oddVBand="0" w:evenVBand="0" w:oddHBand="0" w:evenHBand="0" w:firstRowFirstColumn="0" w:firstRowLastColumn="0" w:lastRowFirstColumn="0" w:lastRowLastColumn="0"/>
            <w:tcW w:w="3105" w:type="dxa"/>
          </w:tcPr>
          <w:p w14:paraId="648EF0DC" w14:textId="77777777" w:rsidR="00F13B9B" w:rsidRDefault="00F13B9B" w:rsidP="00BA3526">
            <w:pPr>
              <w:spacing w:after="200" w:line="276" w:lineRule="auto"/>
              <w:rPr>
                <w:rFonts w:ascii="Calibri" w:eastAsia="Calibri" w:hAnsi="Calibri" w:cs="Calibri"/>
                <w:i/>
                <w:iCs/>
                <w:sz w:val="22"/>
                <w:szCs w:val="22"/>
              </w:rPr>
            </w:pPr>
            <w:r w:rsidRPr="065ECE21">
              <w:rPr>
                <w:rFonts w:ascii="Calibri" w:eastAsia="Calibri" w:hAnsi="Calibri" w:cs="Calibri"/>
                <w:i/>
                <w:iCs/>
                <w:sz w:val="22"/>
                <w:szCs w:val="22"/>
              </w:rPr>
              <w:t>Internal Origin</w:t>
            </w:r>
          </w:p>
        </w:tc>
        <w:tc>
          <w:tcPr>
            <w:tcW w:w="3105" w:type="dxa"/>
          </w:tcPr>
          <w:p w14:paraId="5ABB0415"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65ECE21">
              <w:rPr>
                <w:rFonts w:ascii="Calibri" w:eastAsia="Calibri" w:hAnsi="Calibri" w:cs="Calibri"/>
              </w:rPr>
              <w:t>Outstanding staff</w:t>
            </w:r>
          </w:p>
          <w:p w14:paraId="53988380"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bookmarkStart w:id="17" w:name="_Hlk11701624"/>
            <w:r w:rsidRPr="065ECE21">
              <w:rPr>
                <w:rFonts w:ascii="Calibri" w:eastAsia="Calibri" w:hAnsi="Calibri" w:cs="Calibri"/>
              </w:rPr>
              <w:t xml:space="preserve">Strong commitment to excellent patient care </w:t>
            </w:r>
          </w:p>
          <w:bookmarkEnd w:id="17"/>
          <w:p w14:paraId="1CF9B898"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Outstanding facilities with a dedicated MS Center with subspecialty providers to care for MS population.</w:t>
            </w:r>
          </w:p>
          <w:p w14:paraId="332B52B2" w14:textId="1A810EAF"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bookmarkStart w:id="18" w:name="_Hlk11701649"/>
            <w:r w:rsidRPr="693C9F63">
              <w:rPr>
                <w:rFonts w:ascii="Calibri" w:eastAsia="Calibri" w:hAnsi="Calibri" w:cs="Calibri"/>
              </w:rPr>
              <w:t xml:space="preserve">One stop shop offering a magnitude of services available for completion in house (lab, pharmacy, </w:t>
            </w:r>
            <w:r w:rsidR="00285D7D" w:rsidRPr="693C9F63">
              <w:rPr>
                <w:rFonts w:ascii="Calibri" w:eastAsia="Calibri" w:hAnsi="Calibri" w:cs="Calibri"/>
              </w:rPr>
              <w:t>etc.</w:t>
            </w:r>
            <w:r w:rsidRPr="693C9F63">
              <w:rPr>
                <w:rFonts w:ascii="Calibri" w:eastAsia="Calibri" w:hAnsi="Calibri" w:cs="Calibri"/>
              </w:rPr>
              <w:t>)</w:t>
            </w:r>
          </w:p>
          <w:bookmarkEnd w:id="18"/>
          <w:p w14:paraId="20104857" w14:textId="77777777" w:rsidR="00F13B9B" w:rsidRDefault="00F13B9B" w:rsidP="00BA3526">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4FB177C9">
              <w:rPr>
                <w:rFonts w:ascii="Calibri" w:eastAsia="Calibri" w:hAnsi="Calibri" w:cs="Calibri"/>
              </w:rPr>
              <w:t xml:space="preserve">Dedicated EMR staff, IT department, Medical Scribes, </w:t>
            </w:r>
            <w:proofErr w:type="spellStart"/>
            <w:r w:rsidRPr="4FB177C9">
              <w:rPr>
                <w:rFonts w:ascii="Calibri" w:eastAsia="Calibri" w:hAnsi="Calibri" w:cs="Calibri"/>
              </w:rPr>
              <w:t>LabCorp</w:t>
            </w:r>
            <w:proofErr w:type="spellEnd"/>
            <w:r w:rsidRPr="4FB177C9">
              <w:rPr>
                <w:rFonts w:ascii="Calibri" w:eastAsia="Calibri" w:hAnsi="Calibri" w:cs="Calibri"/>
              </w:rPr>
              <w:t xml:space="preserve"> location in house, Financial Services/ Billing Department</w:t>
            </w:r>
          </w:p>
          <w:p w14:paraId="2BB3E4A2"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Positive customer and public perception.</w:t>
            </w:r>
          </w:p>
          <w:p w14:paraId="2F56E914"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Convenient location and hours</w:t>
            </w:r>
          </w:p>
          <w:p w14:paraId="34387005"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bookmarkStart w:id="19" w:name="_Hlk11701673"/>
            <w:r w:rsidRPr="693C9F63">
              <w:rPr>
                <w:rFonts w:ascii="Calibri" w:eastAsia="Calibri" w:hAnsi="Calibri" w:cs="Calibri"/>
              </w:rPr>
              <w:t>Various insurances accepted in addition to cash/self-pay</w:t>
            </w:r>
          </w:p>
          <w:bookmarkEnd w:id="19"/>
          <w:p w14:paraId="742E3BCA"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2037013C">
              <w:rPr>
                <w:rFonts w:ascii="Calibri" w:eastAsia="Calibri" w:hAnsi="Calibri" w:cs="Calibri"/>
              </w:rPr>
              <w:t>Some studies have suggested clinics are more likely to practice evidence-based medicine</w:t>
            </w:r>
          </w:p>
          <w:p w14:paraId="2CB8BBA1"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lastRenderedPageBreak/>
              <w:t>Representation &amp; provider coverage in local hospitals (Rex, Wake Med and Wake Med Cary)</w:t>
            </w:r>
          </w:p>
          <w:p w14:paraId="4602E415"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bookmarkStart w:id="20" w:name="_Hlk11701732"/>
            <w:r w:rsidRPr="065ECE21">
              <w:rPr>
                <w:rFonts w:ascii="Calibri" w:eastAsia="Calibri" w:hAnsi="Calibri" w:cs="Calibri"/>
              </w:rPr>
              <w:t>High level of organizational efficiency</w:t>
            </w:r>
          </w:p>
          <w:bookmarkEnd w:id="20"/>
          <w:p w14:paraId="77F4D63D" w14:textId="77777777" w:rsidR="00F13B9B" w:rsidRDefault="00F13B9B" w:rsidP="00BA352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05" w:type="dxa"/>
          </w:tcPr>
          <w:p w14:paraId="06CBCF7C"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lastRenderedPageBreak/>
              <w:t>Given the complex disease process, established patient appointment times can seem short and can impact ability to expand on education</w:t>
            </w:r>
          </w:p>
          <w:p w14:paraId="53E37C1F"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Unstandardized treatment models/ Lack of unified approach to patient evaluation.</w:t>
            </w:r>
          </w:p>
          <w:p w14:paraId="591D9451"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Obstacles with access to shared patient medical information from other EMR systems</w:t>
            </w:r>
          </w:p>
          <w:p w14:paraId="5ECFC635" w14:textId="77777777" w:rsidR="00F13B9B" w:rsidRDefault="00F13B9B" w:rsidP="00BA3526">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Absence of current clinical decision support use for aid with protocols.</w:t>
            </w:r>
          </w:p>
          <w:p w14:paraId="63F3D6D6" w14:textId="77777777" w:rsidR="00F13B9B" w:rsidRDefault="00F13B9B" w:rsidP="00BA3526">
            <w:p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F13B9B" w14:paraId="0ED1B215" w14:textId="77777777" w:rsidTr="00BA3526">
        <w:tc>
          <w:tcPr>
            <w:cnfStyle w:val="001000000000" w:firstRow="0" w:lastRow="0" w:firstColumn="1" w:lastColumn="0" w:oddVBand="0" w:evenVBand="0" w:oddHBand="0" w:evenHBand="0" w:firstRowFirstColumn="0" w:firstRowLastColumn="0" w:lastRowFirstColumn="0" w:lastRowLastColumn="0"/>
            <w:tcW w:w="3105" w:type="dxa"/>
          </w:tcPr>
          <w:p w14:paraId="53F1CF4F" w14:textId="77777777" w:rsidR="00F13B9B" w:rsidRDefault="00F13B9B" w:rsidP="00BA3526">
            <w:pPr>
              <w:spacing w:after="200" w:line="276" w:lineRule="auto"/>
              <w:rPr>
                <w:rFonts w:ascii="Calibri" w:eastAsia="Calibri" w:hAnsi="Calibri" w:cs="Calibri"/>
                <w:i/>
                <w:iCs/>
                <w:sz w:val="22"/>
                <w:szCs w:val="22"/>
              </w:rPr>
            </w:pPr>
          </w:p>
        </w:tc>
        <w:tc>
          <w:tcPr>
            <w:tcW w:w="3105" w:type="dxa"/>
          </w:tcPr>
          <w:p w14:paraId="7EAAF990" w14:textId="77777777" w:rsidR="00F13B9B" w:rsidRDefault="00F13B9B" w:rsidP="00BA352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65ECE21">
              <w:rPr>
                <w:rFonts w:ascii="Calibri" w:eastAsia="Calibri" w:hAnsi="Calibri" w:cs="Calibri"/>
                <w:b/>
                <w:bCs/>
                <w:sz w:val="22"/>
                <w:szCs w:val="22"/>
              </w:rPr>
              <w:t>Opportunities</w:t>
            </w:r>
          </w:p>
        </w:tc>
        <w:tc>
          <w:tcPr>
            <w:tcW w:w="3105" w:type="dxa"/>
          </w:tcPr>
          <w:p w14:paraId="003510C9" w14:textId="77777777" w:rsidR="00F13B9B" w:rsidRDefault="00F13B9B" w:rsidP="00BA352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65ECE21">
              <w:rPr>
                <w:rFonts w:ascii="Calibri" w:eastAsia="Calibri" w:hAnsi="Calibri" w:cs="Calibri"/>
                <w:b/>
                <w:bCs/>
                <w:sz w:val="22"/>
                <w:szCs w:val="22"/>
              </w:rPr>
              <w:t>Threats</w:t>
            </w:r>
          </w:p>
        </w:tc>
      </w:tr>
      <w:tr w:rsidR="00F13B9B" w14:paraId="49358AD2" w14:textId="77777777" w:rsidTr="00BA3526">
        <w:tc>
          <w:tcPr>
            <w:cnfStyle w:val="001000000000" w:firstRow="0" w:lastRow="0" w:firstColumn="1" w:lastColumn="0" w:oddVBand="0" w:evenVBand="0" w:oddHBand="0" w:evenHBand="0" w:firstRowFirstColumn="0" w:firstRowLastColumn="0" w:lastRowFirstColumn="0" w:lastRowLastColumn="0"/>
            <w:tcW w:w="3105" w:type="dxa"/>
          </w:tcPr>
          <w:p w14:paraId="1DA998EA" w14:textId="77777777" w:rsidR="00F13B9B" w:rsidRDefault="00F13B9B" w:rsidP="00BA3526">
            <w:pPr>
              <w:spacing w:after="200" w:line="276" w:lineRule="auto"/>
              <w:rPr>
                <w:rFonts w:ascii="Calibri" w:eastAsia="Calibri" w:hAnsi="Calibri" w:cs="Calibri"/>
                <w:i/>
                <w:iCs/>
                <w:sz w:val="22"/>
                <w:szCs w:val="22"/>
              </w:rPr>
            </w:pPr>
            <w:r w:rsidRPr="065ECE21">
              <w:rPr>
                <w:rFonts w:ascii="Calibri" w:eastAsia="Calibri" w:hAnsi="Calibri" w:cs="Calibri"/>
                <w:i/>
                <w:iCs/>
                <w:sz w:val="22"/>
                <w:szCs w:val="22"/>
              </w:rPr>
              <w:t>External Origin</w:t>
            </w:r>
          </w:p>
        </w:tc>
        <w:tc>
          <w:tcPr>
            <w:tcW w:w="3105" w:type="dxa"/>
          </w:tcPr>
          <w:p w14:paraId="0E5BFD38" w14:textId="77777777" w:rsidR="00F13B9B" w:rsidRDefault="00F13B9B" w:rsidP="00BA3526">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65ECE21">
              <w:rPr>
                <w:rFonts w:ascii="Calibri" w:eastAsia="Calibri" w:hAnsi="Calibri" w:cs="Calibri"/>
              </w:rPr>
              <w:t>Growing metropolitan community</w:t>
            </w:r>
          </w:p>
          <w:p w14:paraId="7A0DF979" w14:textId="641D14E2" w:rsidR="00F13B9B" w:rsidRDefault="00F13B9B" w:rsidP="00BA3526">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693C9F63">
              <w:rPr>
                <w:rFonts w:ascii="Calibri" w:eastAsia="Calibri" w:hAnsi="Calibri" w:cs="Calibri"/>
              </w:rPr>
              <w:t xml:space="preserve">Changes in population needs- growing evidence supporting best practices within MS patient care; Information regarding the important role of Vitamin D in MS has been published on various MS organizations media (i.e. National MS Society website, </w:t>
            </w:r>
            <w:r w:rsidR="00285D7D" w:rsidRPr="693C9F63">
              <w:rPr>
                <w:rFonts w:ascii="Calibri" w:eastAsia="Calibri" w:hAnsi="Calibri" w:cs="Calibri"/>
              </w:rPr>
              <w:t>etc.</w:t>
            </w:r>
            <w:r w:rsidRPr="693C9F63">
              <w:rPr>
                <w:rFonts w:ascii="Calibri" w:eastAsia="Calibri" w:hAnsi="Calibri" w:cs="Calibri"/>
              </w:rPr>
              <w:t>)</w:t>
            </w:r>
          </w:p>
          <w:p w14:paraId="052896A4" w14:textId="77777777" w:rsidR="00F13B9B" w:rsidRDefault="00F13B9B" w:rsidP="00BA3526">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 xml:space="preserve">Enhanced application of technology with clinical decision support </w:t>
            </w:r>
          </w:p>
          <w:p w14:paraId="0127B27A" w14:textId="77777777" w:rsidR="00F13B9B" w:rsidRDefault="00F13B9B" w:rsidP="00BA3526">
            <w:pPr>
              <w:pStyle w:val="ListParagraph"/>
              <w:numPr>
                <w:ilvl w:val="0"/>
                <w:numId w:val="23"/>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Use of provider supportive staff, such as medical scribes, for order and prescription entry</w:t>
            </w:r>
          </w:p>
          <w:p w14:paraId="6AF69BD4" w14:textId="77777777" w:rsidR="00F13B9B" w:rsidRDefault="00F13B9B" w:rsidP="00BA3526">
            <w:pPr>
              <w:spacing w:after="200" w:line="276" w:lineRule="auto"/>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05" w:type="dxa"/>
          </w:tcPr>
          <w:p w14:paraId="11C505FC" w14:textId="77777777" w:rsidR="00F13B9B" w:rsidRDefault="00F13B9B" w:rsidP="00BA3526">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65ECE21">
              <w:rPr>
                <w:rFonts w:ascii="Calibri" w:eastAsia="Calibri" w:hAnsi="Calibri" w:cs="Calibri"/>
              </w:rPr>
              <w:t>Competition with other neurology specialty clinics utilizing best practices</w:t>
            </w:r>
          </w:p>
          <w:p w14:paraId="4E835E33" w14:textId="77777777" w:rsidR="00F13B9B" w:rsidRDefault="00F13B9B" w:rsidP="00BA3526">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Reimbursement challenges imposed by insurance companies and government funded insurance such as Medicare</w:t>
            </w:r>
          </w:p>
          <w:p w14:paraId="20C1B993" w14:textId="77777777" w:rsidR="00F13B9B" w:rsidRDefault="00F13B9B" w:rsidP="00BA3526">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693C9F63">
              <w:rPr>
                <w:rFonts w:ascii="Calibri" w:eastAsia="Calibri" w:hAnsi="Calibri" w:cs="Calibri"/>
              </w:rPr>
              <w:t>Potential changes in insurance plans and or contracts for major area Employers</w:t>
            </w:r>
          </w:p>
          <w:p w14:paraId="42F8F739" w14:textId="77777777" w:rsidR="00F13B9B" w:rsidRDefault="00F13B9B" w:rsidP="00BA3526">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rPr>
                <w:rFonts w:ascii="Symbol" w:eastAsia="Symbol" w:hAnsi="Symbol" w:cs="Symbol"/>
                <w:sz w:val="24"/>
                <w:szCs w:val="24"/>
              </w:rPr>
            </w:pPr>
            <w:r w:rsidRPr="065ECE21">
              <w:rPr>
                <w:rFonts w:ascii="Calibri" w:eastAsia="Calibri" w:hAnsi="Calibri" w:cs="Calibri"/>
              </w:rPr>
              <w:t>Economic shifts</w:t>
            </w:r>
          </w:p>
          <w:p w14:paraId="64310FBC" w14:textId="77777777" w:rsidR="00F13B9B" w:rsidRDefault="00F13B9B" w:rsidP="00BA3526">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14:paraId="39F511DD" w14:textId="77777777" w:rsidR="00F13B9B" w:rsidRDefault="00F13B9B" w:rsidP="00F13B9B">
      <w:pPr>
        <w:pStyle w:val="APAReference"/>
        <w:ind w:left="0" w:firstLine="0"/>
        <w:jc w:val="center"/>
      </w:pPr>
    </w:p>
    <w:p w14:paraId="67D087E9" w14:textId="0280442A" w:rsidR="00F32DBF" w:rsidRDefault="00F32DBF">
      <w:pPr>
        <w:rPr>
          <w:szCs w:val="20"/>
        </w:rPr>
      </w:pPr>
    </w:p>
    <w:p w14:paraId="13A9F3CF" w14:textId="5DFBB092" w:rsidR="00A621EA" w:rsidRDefault="00A621EA" w:rsidP="00B03AF3">
      <w:pPr>
        <w:pStyle w:val="APAReference"/>
        <w:ind w:left="0" w:firstLine="0"/>
      </w:pPr>
    </w:p>
    <w:p w14:paraId="5821A53F" w14:textId="2B1DDA94" w:rsidR="00804DCF" w:rsidRPr="00B03AF3" w:rsidRDefault="00B03AF3" w:rsidP="00B03AF3">
      <w:pPr>
        <w:spacing w:line="480" w:lineRule="auto"/>
        <w:jc w:val="center"/>
        <w:rPr>
          <w:szCs w:val="20"/>
        </w:rPr>
      </w:pPr>
      <w:bookmarkStart w:id="21" w:name="_Hlk6171495"/>
      <w:r>
        <w:lastRenderedPageBreak/>
        <w:t>Appendix I</w:t>
      </w:r>
    </w:p>
    <w:p w14:paraId="2BF18592" w14:textId="75B9103E" w:rsidR="00F13B9B" w:rsidRDefault="00F13B9B" w:rsidP="00B03AF3">
      <w:pPr>
        <w:pStyle w:val="APAReference"/>
        <w:ind w:left="0" w:firstLine="0"/>
        <w:jc w:val="center"/>
      </w:pPr>
      <w:r>
        <w:t>Data Collection Tool</w:t>
      </w:r>
    </w:p>
    <w:bookmarkEnd w:id="21"/>
    <w:p w14:paraId="57B1109C" w14:textId="3ED714B4" w:rsidR="00F13B9B" w:rsidRDefault="00F13B9B" w:rsidP="00F13B9B">
      <w:pPr>
        <w:pStyle w:val="APAReference"/>
        <w:ind w:left="0" w:firstLine="0"/>
        <w:jc w:val="center"/>
      </w:pPr>
    </w:p>
    <w:tbl>
      <w:tblPr>
        <w:tblW w:w="3600" w:type="dxa"/>
        <w:tblLook w:val="04A0" w:firstRow="1" w:lastRow="0" w:firstColumn="1" w:lastColumn="0" w:noHBand="0" w:noVBand="1"/>
      </w:tblPr>
      <w:tblGrid>
        <w:gridCol w:w="2719"/>
        <w:gridCol w:w="755"/>
        <w:gridCol w:w="781"/>
        <w:gridCol w:w="826"/>
        <w:gridCol w:w="1055"/>
        <w:gridCol w:w="878"/>
        <w:gridCol w:w="659"/>
        <w:gridCol w:w="852"/>
        <w:gridCol w:w="789"/>
      </w:tblGrid>
      <w:tr w:rsidR="00F13B9B" w14:paraId="7AA654B1" w14:textId="77777777" w:rsidTr="00BA3526">
        <w:trPr>
          <w:trHeight w:val="400"/>
        </w:trPr>
        <w:tc>
          <w:tcPr>
            <w:tcW w:w="3367" w:type="dxa"/>
            <w:tcBorders>
              <w:top w:val="nil"/>
              <w:left w:val="nil"/>
              <w:bottom w:val="nil"/>
              <w:right w:val="nil"/>
            </w:tcBorders>
            <w:shd w:val="clear" w:color="auto" w:fill="FFFFFF" w:themeFill="background1"/>
            <w:noWrap/>
            <w:hideMark/>
          </w:tcPr>
          <w:p w14:paraId="6B93C5DB" w14:textId="77777777" w:rsidR="00F13B9B" w:rsidRDefault="00F13B9B" w:rsidP="00BA3526">
            <w:pPr>
              <w:rPr>
                <w:rFonts w:ascii="Arial" w:hAnsi="Arial" w:cs="Arial"/>
                <w:sz w:val="20"/>
                <w:szCs w:val="20"/>
              </w:rPr>
            </w:pPr>
            <w:r w:rsidRPr="00CF4672">
              <w:rPr>
                <w:rFonts w:ascii="Arial" w:hAnsi="Arial" w:cs="Arial"/>
                <w:color w:val="000000" w:themeColor="text1"/>
                <w:sz w:val="20"/>
                <w:szCs w:val="20"/>
              </w:rPr>
              <w:t>Project Name:</w:t>
            </w:r>
          </w:p>
        </w:tc>
        <w:tc>
          <w:tcPr>
            <w:tcW w:w="3868" w:type="dxa"/>
            <w:gridSpan w:val="5"/>
            <w:tcBorders>
              <w:top w:val="nil"/>
              <w:left w:val="nil"/>
              <w:bottom w:val="single" w:sz="4" w:space="0" w:color="auto"/>
              <w:right w:val="nil"/>
            </w:tcBorders>
            <w:shd w:val="clear" w:color="auto" w:fill="FFFFFF" w:themeFill="background1"/>
            <w:noWrap/>
            <w:hideMark/>
          </w:tcPr>
          <w:p w14:paraId="1F1A63B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527102D4"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54866F8F"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4472940B"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373C2223" w14:textId="77777777" w:rsidTr="00BA3526">
        <w:trPr>
          <w:trHeight w:val="400"/>
        </w:trPr>
        <w:tc>
          <w:tcPr>
            <w:tcW w:w="3367" w:type="dxa"/>
            <w:tcBorders>
              <w:top w:val="nil"/>
              <w:left w:val="nil"/>
              <w:bottom w:val="nil"/>
              <w:right w:val="nil"/>
            </w:tcBorders>
            <w:shd w:val="clear" w:color="auto" w:fill="FFFFFF" w:themeFill="background1"/>
            <w:noWrap/>
            <w:hideMark/>
          </w:tcPr>
          <w:p w14:paraId="5A0BFD50" w14:textId="77777777" w:rsidR="00F13B9B" w:rsidRDefault="00F13B9B" w:rsidP="00BA3526">
            <w:pPr>
              <w:rPr>
                <w:rFonts w:ascii="Arial" w:hAnsi="Arial" w:cs="Arial"/>
                <w:sz w:val="20"/>
                <w:szCs w:val="20"/>
              </w:rPr>
            </w:pPr>
            <w:r>
              <w:rPr>
                <w:rFonts w:ascii="Arial" w:hAnsi="Arial" w:cs="Arial"/>
                <w:sz w:val="20"/>
                <w:szCs w:val="20"/>
              </w:rPr>
              <w:t>Name of Data Recorder:</w:t>
            </w:r>
          </w:p>
        </w:tc>
        <w:tc>
          <w:tcPr>
            <w:tcW w:w="3868" w:type="dxa"/>
            <w:gridSpan w:val="5"/>
            <w:tcBorders>
              <w:top w:val="single" w:sz="4" w:space="0" w:color="auto"/>
              <w:left w:val="nil"/>
              <w:bottom w:val="single" w:sz="4" w:space="0" w:color="auto"/>
              <w:right w:val="nil"/>
            </w:tcBorders>
            <w:shd w:val="clear" w:color="auto" w:fill="FFFFFF" w:themeFill="background1"/>
            <w:noWrap/>
            <w:hideMark/>
          </w:tcPr>
          <w:p w14:paraId="1901DF60"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77E31C45"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5EC07E52"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19BB085A"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74F8F915" w14:textId="77777777" w:rsidTr="00BA3526">
        <w:trPr>
          <w:trHeight w:val="400"/>
        </w:trPr>
        <w:tc>
          <w:tcPr>
            <w:tcW w:w="3367" w:type="dxa"/>
            <w:tcBorders>
              <w:top w:val="nil"/>
              <w:left w:val="nil"/>
              <w:bottom w:val="nil"/>
              <w:right w:val="nil"/>
            </w:tcBorders>
            <w:shd w:val="clear" w:color="auto" w:fill="FFFFFF" w:themeFill="background1"/>
            <w:noWrap/>
            <w:hideMark/>
          </w:tcPr>
          <w:p w14:paraId="18F67075" w14:textId="77777777" w:rsidR="00F13B9B" w:rsidRDefault="00F13B9B" w:rsidP="00BA3526">
            <w:pPr>
              <w:rPr>
                <w:rFonts w:ascii="Arial" w:hAnsi="Arial" w:cs="Arial"/>
                <w:sz w:val="20"/>
                <w:szCs w:val="20"/>
              </w:rPr>
            </w:pPr>
            <w:r>
              <w:rPr>
                <w:rFonts w:ascii="Arial" w:hAnsi="Arial" w:cs="Arial"/>
                <w:sz w:val="20"/>
                <w:szCs w:val="20"/>
              </w:rPr>
              <w:t>Location:</w:t>
            </w:r>
          </w:p>
        </w:tc>
        <w:tc>
          <w:tcPr>
            <w:tcW w:w="3868" w:type="dxa"/>
            <w:gridSpan w:val="5"/>
            <w:tcBorders>
              <w:top w:val="single" w:sz="4" w:space="0" w:color="auto"/>
              <w:left w:val="nil"/>
              <w:bottom w:val="single" w:sz="4" w:space="0" w:color="auto"/>
              <w:right w:val="nil"/>
            </w:tcBorders>
            <w:shd w:val="clear" w:color="auto" w:fill="FFFFFF" w:themeFill="background1"/>
            <w:noWrap/>
            <w:hideMark/>
          </w:tcPr>
          <w:p w14:paraId="414506E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1025BF6E"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132DA2B3"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58C7684B"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37BC2D77" w14:textId="77777777" w:rsidTr="00BA3526">
        <w:trPr>
          <w:trHeight w:val="400"/>
        </w:trPr>
        <w:tc>
          <w:tcPr>
            <w:tcW w:w="3367" w:type="dxa"/>
            <w:tcBorders>
              <w:top w:val="nil"/>
              <w:left w:val="nil"/>
              <w:bottom w:val="nil"/>
              <w:right w:val="nil"/>
            </w:tcBorders>
            <w:shd w:val="clear" w:color="auto" w:fill="FFFFFF" w:themeFill="background1"/>
            <w:noWrap/>
            <w:hideMark/>
          </w:tcPr>
          <w:p w14:paraId="0E7893CB" w14:textId="77777777" w:rsidR="00F13B9B" w:rsidRDefault="00F13B9B" w:rsidP="00BA3526">
            <w:pPr>
              <w:rPr>
                <w:rFonts w:ascii="Arial" w:hAnsi="Arial" w:cs="Arial"/>
                <w:sz w:val="20"/>
                <w:szCs w:val="20"/>
              </w:rPr>
            </w:pPr>
            <w:r>
              <w:rPr>
                <w:rFonts w:ascii="Arial" w:hAnsi="Arial" w:cs="Arial"/>
                <w:sz w:val="20"/>
                <w:szCs w:val="20"/>
              </w:rPr>
              <w:t>Data Collection Dates:</w:t>
            </w:r>
          </w:p>
        </w:tc>
        <w:tc>
          <w:tcPr>
            <w:tcW w:w="2111" w:type="dxa"/>
            <w:gridSpan w:val="3"/>
            <w:tcBorders>
              <w:top w:val="single" w:sz="4" w:space="0" w:color="auto"/>
              <w:left w:val="nil"/>
              <w:bottom w:val="single" w:sz="4" w:space="0" w:color="auto"/>
              <w:right w:val="nil"/>
            </w:tcBorders>
            <w:shd w:val="clear" w:color="auto" w:fill="FFFFFF" w:themeFill="background1"/>
            <w:noWrap/>
            <w:hideMark/>
          </w:tcPr>
          <w:p w14:paraId="42CA7B4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nil"/>
              <w:right w:val="nil"/>
            </w:tcBorders>
            <w:shd w:val="clear" w:color="auto" w:fill="FFFFFF" w:themeFill="background1"/>
            <w:noWrap/>
            <w:hideMark/>
          </w:tcPr>
          <w:p w14:paraId="6CE85D42" w14:textId="77777777" w:rsidR="00F13B9B" w:rsidRDefault="00F13B9B" w:rsidP="00BA3526">
            <w:pPr>
              <w:rPr>
                <w:rFonts w:ascii="Arial" w:hAnsi="Arial" w:cs="Arial"/>
                <w:sz w:val="20"/>
                <w:szCs w:val="20"/>
              </w:rPr>
            </w:pPr>
            <w:r>
              <w:rPr>
                <w:rFonts w:ascii="Arial" w:hAnsi="Arial" w:cs="Arial"/>
                <w:sz w:val="20"/>
                <w:szCs w:val="20"/>
              </w:rPr>
              <w:t> </w:t>
            </w:r>
          </w:p>
        </w:tc>
        <w:tc>
          <w:tcPr>
            <w:tcW w:w="792" w:type="dxa"/>
            <w:tcBorders>
              <w:top w:val="nil"/>
              <w:left w:val="nil"/>
              <w:bottom w:val="nil"/>
              <w:right w:val="nil"/>
            </w:tcBorders>
            <w:shd w:val="clear" w:color="auto" w:fill="FFFFFF" w:themeFill="background1"/>
            <w:noWrap/>
            <w:hideMark/>
          </w:tcPr>
          <w:p w14:paraId="294EA098"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4873A52F"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1794DE3C"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451E5553"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7C0E8037" w14:textId="77777777" w:rsidTr="00BA3526">
        <w:trPr>
          <w:trHeight w:val="260"/>
        </w:trPr>
        <w:tc>
          <w:tcPr>
            <w:tcW w:w="3367" w:type="dxa"/>
            <w:tcBorders>
              <w:top w:val="nil"/>
              <w:left w:val="nil"/>
              <w:bottom w:val="nil"/>
              <w:right w:val="nil"/>
            </w:tcBorders>
            <w:shd w:val="clear" w:color="auto" w:fill="FFFFFF" w:themeFill="background1"/>
            <w:noWrap/>
            <w:hideMark/>
          </w:tcPr>
          <w:p w14:paraId="4928FFAD" w14:textId="77777777" w:rsidR="00F13B9B" w:rsidRDefault="00F13B9B" w:rsidP="00BA3526">
            <w:pPr>
              <w:rPr>
                <w:rFonts w:ascii="Arial" w:hAnsi="Arial" w:cs="Arial"/>
                <w:sz w:val="20"/>
                <w:szCs w:val="20"/>
              </w:rPr>
            </w:pPr>
            <w:r>
              <w:rPr>
                <w:rFonts w:ascii="Arial" w:hAnsi="Arial" w:cs="Arial"/>
                <w:sz w:val="20"/>
                <w:szCs w:val="20"/>
              </w:rPr>
              <w:t> </w:t>
            </w:r>
          </w:p>
        </w:tc>
        <w:tc>
          <w:tcPr>
            <w:tcW w:w="672" w:type="dxa"/>
            <w:tcBorders>
              <w:top w:val="nil"/>
              <w:left w:val="nil"/>
              <w:bottom w:val="nil"/>
              <w:right w:val="nil"/>
            </w:tcBorders>
            <w:shd w:val="clear" w:color="auto" w:fill="FFFFFF" w:themeFill="background1"/>
            <w:noWrap/>
            <w:hideMark/>
          </w:tcPr>
          <w:p w14:paraId="44E57AB2"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nil"/>
              <w:right w:val="nil"/>
            </w:tcBorders>
            <w:shd w:val="clear" w:color="auto" w:fill="FFFFFF" w:themeFill="background1"/>
            <w:noWrap/>
            <w:hideMark/>
          </w:tcPr>
          <w:p w14:paraId="32A0D94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nil"/>
              <w:right w:val="nil"/>
            </w:tcBorders>
            <w:shd w:val="clear" w:color="auto" w:fill="FFFFFF" w:themeFill="background1"/>
            <w:noWrap/>
            <w:hideMark/>
          </w:tcPr>
          <w:p w14:paraId="5FBB5D3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nil"/>
              <w:right w:val="nil"/>
            </w:tcBorders>
            <w:shd w:val="clear" w:color="auto" w:fill="FFFFFF" w:themeFill="background1"/>
            <w:noWrap/>
            <w:hideMark/>
          </w:tcPr>
          <w:p w14:paraId="31F4EA11" w14:textId="77777777" w:rsidR="00F13B9B" w:rsidRDefault="00F13B9B" w:rsidP="00BA3526">
            <w:pPr>
              <w:rPr>
                <w:rFonts w:ascii="Arial" w:hAnsi="Arial" w:cs="Arial"/>
                <w:sz w:val="20"/>
                <w:szCs w:val="20"/>
              </w:rPr>
            </w:pPr>
            <w:r>
              <w:rPr>
                <w:rFonts w:ascii="Arial" w:hAnsi="Arial" w:cs="Arial"/>
                <w:sz w:val="20"/>
                <w:szCs w:val="20"/>
              </w:rPr>
              <w:t> </w:t>
            </w:r>
          </w:p>
        </w:tc>
        <w:tc>
          <w:tcPr>
            <w:tcW w:w="792" w:type="dxa"/>
            <w:tcBorders>
              <w:top w:val="nil"/>
              <w:left w:val="nil"/>
              <w:bottom w:val="nil"/>
              <w:right w:val="nil"/>
            </w:tcBorders>
            <w:shd w:val="clear" w:color="auto" w:fill="FFFFFF" w:themeFill="background1"/>
            <w:noWrap/>
            <w:hideMark/>
          </w:tcPr>
          <w:p w14:paraId="1BC46026"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57A960B4"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17EFBD7F"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63457E63"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0DF53FDB" w14:textId="77777777" w:rsidTr="00BA3526">
        <w:trPr>
          <w:trHeight w:val="260"/>
        </w:trPr>
        <w:tc>
          <w:tcPr>
            <w:tcW w:w="3367" w:type="dxa"/>
            <w:tcBorders>
              <w:top w:val="nil"/>
              <w:left w:val="nil"/>
              <w:bottom w:val="nil"/>
              <w:right w:val="nil"/>
            </w:tcBorders>
            <w:shd w:val="clear" w:color="auto" w:fill="FFFFFF" w:themeFill="background1"/>
            <w:noWrap/>
            <w:hideMark/>
          </w:tcPr>
          <w:p w14:paraId="5359BF88" w14:textId="77777777" w:rsidR="00F13B9B" w:rsidRDefault="00F13B9B" w:rsidP="00BA3526">
            <w:pPr>
              <w:rPr>
                <w:rFonts w:ascii="Arial" w:hAnsi="Arial" w:cs="Arial"/>
                <w:sz w:val="20"/>
                <w:szCs w:val="20"/>
              </w:rPr>
            </w:pPr>
            <w:r>
              <w:rPr>
                <w:rFonts w:ascii="Arial" w:hAnsi="Arial" w:cs="Arial"/>
                <w:sz w:val="20"/>
                <w:szCs w:val="20"/>
              </w:rPr>
              <w:t> </w:t>
            </w:r>
          </w:p>
        </w:tc>
        <w:tc>
          <w:tcPr>
            <w:tcW w:w="672" w:type="dxa"/>
            <w:tcBorders>
              <w:top w:val="nil"/>
              <w:left w:val="nil"/>
              <w:bottom w:val="nil"/>
              <w:right w:val="nil"/>
            </w:tcBorders>
            <w:shd w:val="clear" w:color="auto" w:fill="FFFFFF" w:themeFill="background1"/>
            <w:noWrap/>
            <w:hideMark/>
          </w:tcPr>
          <w:p w14:paraId="3515A07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nil"/>
              <w:right w:val="nil"/>
            </w:tcBorders>
            <w:shd w:val="clear" w:color="auto" w:fill="FFFFFF" w:themeFill="background1"/>
            <w:noWrap/>
            <w:hideMark/>
          </w:tcPr>
          <w:p w14:paraId="19BAE4A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nil"/>
              <w:right w:val="nil"/>
            </w:tcBorders>
            <w:shd w:val="clear" w:color="auto" w:fill="FFFFFF" w:themeFill="background1"/>
            <w:noWrap/>
            <w:hideMark/>
          </w:tcPr>
          <w:p w14:paraId="31E3B80F"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nil"/>
              <w:right w:val="nil"/>
            </w:tcBorders>
            <w:shd w:val="clear" w:color="auto" w:fill="FFFFFF" w:themeFill="background1"/>
            <w:noWrap/>
            <w:hideMark/>
          </w:tcPr>
          <w:p w14:paraId="0818F0EB" w14:textId="77777777" w:rsidR="00F13B9B" w:rsidRDefault="00F13B9B" w:rsidP="00BA3526">
            <w:pPr>
              <w:rPr>
                <w:rFonts w:ascii="Arial" w:hAnsi="Arial" w:cs="Arial"/>
                <w:sz w:val="20"/>
                <w:szCs w:val="20"/>
              </w:rPr>
            </w:pPr>
            <w:r>
              <w:rPr>
                <w:rFonts w:ascii="Arial" w:hAnsi="Arial" w:cs="Arial"/>
                <w:sz w:val="20"/>
                <w:szCs w:val="20"/>
              </w:rPr>
              <w:t> </w:t>
            </w:r>
          </w:p>
        </w:tc>
        <w:tc>
          <w:tcPr>
            <w:tcW w:w="792" w:type="dxa"/>
            <w:tcBorders>
              <w:top w:val="nil"/>
              <w:left w:val="nil"/>
              <w:bottom w:val="nil"/>
              <w:right w:val="nil"/>
            </w:tcBorders>
            <w:shd w:val="clear" w:color="auto" w:fill="FFFFFF" w:themeFill="background1"/>
            <w:noWrap/>
            <w:hideMark/>
          </w:tcPr>
          <w:p w14:paraId="3FDF1634"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6C639085"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42AC3108"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62E1DD57"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6AD24DFF" w14:textId="77777777" w:rsidTr="00BA3526">
        <w:trPr>
          <w:trHeight w:val="280"/>
        </w:trPr>
        <w:tc>
          <w:tcPr>
            <w:tcW w:w="3367" w:type="dxa"/>
            <w:tcBorders>
              <w:top w:val="nil"/>
              <w:left w:val="nil"/>
              <w:bottom w:val="nil"/>
              <w:right w:val="nil"/>
            </w:tcBorders>
            <w:shd w:val="clear" w:color="auto" w:fill="FFFFFF" w:themeFill="background1"/>
            <w:noWrap/>
            <w:hideMark/>
          </w:tcPr>
          <w:p w14:paraId="149F6198" w14:textId="77777777" w:rsidR="00F13B9B" w:rsidRDefault="00F13B9B" w:rsidP="00BA3526">
            <w:pPr>
              <w:rPr>
                <w:rFonts w:ascii="Arial" w:hAnsi="Arial" w:cs="Arial"/>
                <w:sz w:val="20"/>
                <w:szCs w:val="20"/>
              </w:rPr>
            </w:pPr>
            <w:r>
              <w:rPr>
                <w:rFonts w:ascii="Arial" w:hAnsi="Arial" w:cs="Arial"/>
                <w:sz w:val="20"/>
                <w:szCs w:val="20"/>
              </w:rPr>
              <w:t> </w:t>
            </w:r>
          </w:p>
        </w:tc>
        <w:tc>
          <w:tcPr>
            <w:tcW w:w="672" w:type="dxa"/>
            <w:tcBorders>
              <w:top w:val="nil"/>
              <w:left w:val="nil"/>
              <w:bottom w:val="nil"/>
              <w:right w:val="nil"/>
            </w:tcBorders>
            <w:shd w:val="clear" w:color="auto" w:fill="FFFFFF" w:themeFill="background1"/>
            <w:noWrap/>
            <w:hideMark/>
          </w:tcPr>
          <w:p w14:paraId="416FBE10" w14:textId="77777777" w:rsidR="00F13B9B" w:rsidRDefault="00F13B9B" w:rsidP="00BA3526">
            <w:pPr>
              <w:rPr>
                <w:rFonts w:ascii="Arial" w:hAnsi="Arial" w:cs="Arial"/>
                <w:sz w:val="20"/>
                <w:szCs w:val="20"/>
              </w:rPr>
            </w:pPr>
            <w:r>
              <w:rPr>
                <w:rFonts w:ascii="Arial" w:hAnsi="Arial" w:cs="Arial"/>
                <w:sz w:val="20"/>
                <w:szCs w:val="20"/>
              </w:rPr>
              <w:t> </w:t>
            </w:r>
          </w:p>
        </w:tc>
        <w:tc>
          <w:tcPr>
            <w:tcW w:w="698" w:type="dxa"/>
            <w:tcBorders>
              <w:top w:val="nil"/>
              <w:left w:val="nil"/>
              <w:bottom w:val="nil"/>
              <w:right w:val="nil"/>
            </w:tcBorders>
            <w:shd w:val="clear" w:color="auto" w:fill="FFFFFF" w:themeFill="background1"/>
            <w:noWrap/>
            <w:hideMark/>
          </w:tcPr>
          <w:p w14:paraId="76DB4E57" w14:textId="77777777" w:rsidR="00F13B9B" w:rsidRDefault="00F13B9B" w:rsidP="00BA3526">
            <w:pPr>
              <w:rPr>
                <w:rFonts w:ascii="Arial" w:hAnsi="Arial" w:cs="Arial"/>
                <w:sz w:val="20"/>
                <w:szCs w:val="20"/>
              </w:rPr>
            </w:pPr>
            <w:r>
              <w:rPr>
                <w:rFonts w:ascii="Arial" w:hAnsi="Arial" w:cs="Arial"/>
                <w:sz w:val="20"/>
                <w:szCs w:val="20"/>
              </w:rPr>
              <w:t> </w:t>
            </w:r>
          </w:p>
        </w:tc>
        <w:tc>
          <w:tcPr>
            <w:tcW w:w="741" w:type="dxa"/>
            <w:tcBorders>
              <w:top w:val="nil"/>
              <w:left w:val="nil"/>
              <w:bottom w:val="nil"/>
              <w:right w:val="nil"/>
            </w:tcBorders>
            <w:shd w:val="clear" w:color="auto" w:fill="FFFFFF" w:themeFill="background1"/>
            <w:noWrap/>
            <w:hideMark/>
          </w:tcPr>
          <w:p w14:paraId="56595A56" w14:textId="77777777" w:rsidR="00F13B9B" w:rsidRDefault="00F13B9B" w:rsidP="00BA3526">
            <w:pPr>
              <w:rPr>
                <w:rFonts w:ascii="Arial" w:hAnsi="Arial" w:cs="Arial"/>
                <w:sz w:val="20"/>
                <w:szCs w:val="20"/>
              </w:rPr>
            </w:pPr>
            <w:r>
              <w:rPr>
                <w:rFonts w:ascii="Arial" w:hAnsi="Arial" w:cs="Arial"/>
                <w:sz w:val="20"/>
                <w:szCs w:val="20"/>
              </w:rPr>
              <w:t> </w:t>
            </w:r>
          </w:p>
        </w:tc>
        <w:tc>
          <w:tcPr>
            <w:tcW w:w="965" w:type="dxa"/>
            <w:tcBorders>
              <w:top w:val="nil"/>
              <w:left w:val="nil"/>
              <w:bottom w:val="nil"/>
              <w:right w:val="nil"/>
            </w:tcBorders>
            <w:shd w:val="clear" w:color="auto" w:fill="FFFFFF" w:themeFill="background1"/>
            <w:noWrap/>
            <w:hideMark/>
          </w:tcPr>
          <w:p w14:paraId="3CEB8376" w14:textId="77777777" w:rsidR="00F13B9B" w:rsidRDefault="00F13B9B" w:rsidP="00BA3526">
            <w:pPr>
              <w:rPr>
                <w:rFonts w:ascii="Arial" w:hAnsi="Arial" w:cs="Arial"/>
                <w:sz w:val="20"/>
                <w:szCs w:val="20"/>
              </w:rPr>
            </w:pPr>
            <w:r>
              <w:rPr>
                <w:rFonts w:ascii="Arial" w:hAnsi="Arial" w:cs="Arial"/>
                <w:sz w:val="20"/>
                <w:szCs w:val="20"/>
              </w:rPr>
              <w:t> </w:t>
            </w:r>
          </w:p>
        </w:tc>
        <w:tc>
          <w:tcPr>
            <w:tcW w:w="792" w:type="dxa"/>
            <w:tcBorders>
              <w:top w:val="nil"/>
              <w:left w:val="nil"/>
              <w:bottom w:val="nil"/>
              <w:right w:val="nil"/>
            </w:tcBorders>
            <w:shd w:val="clear" w:color="auto" w:fill="FFFFFF" w:themeFill="background1"/>
            <w:noWrap/>
            <w:hideMark/>
          </w:tcPr>
          <w:p w14:paraId="321F2720"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702CC79F"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nil"/>
              <w:left w:val="nil"/>
              <w:bottom w:val="nil"/>
              <w:right w:val="nil"/>
            </w:tcBorders>
            <w:shd w:val="clear" w:color="auto" w:fill="FFFFFF" w:themeFill="background1"/>
            <w:noWrap/>
            <w:hideMark/>
          </w:tcPr>
          <w:p w14:paraId="00F3062B"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nil"/>
              <w:left w:val="nil"/>
              <w:bottom w:val="nil"/>
              <w:right w:val="nil"/>
            </w:tcBorders>
            <w:shd w:val="clear" w:color="auto" w:fill="FFFFFF" w:themeFill="background1"/>
            <w:noWrap/>
            <w:hideMark/>
          </w:tcPr>
          <w:p w14:paraId="06404637"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76020855" w14:textId="77777777" w:rsidTr="00BA3526">
        <w:trPr>
          <w:trHeight w:val="280"/>
        </w:trPr>
        <w:tc>
          <w:tcPr>
            <w:tcW w:w="3367" w:type="dxa"/>
            <w:vMerge w:val="restart"/>
            <w:tcBorders>
              <w:top w:val="single" w:sz="4" w:space="0" w:color="auto"/>
              <w:left w:val="single" w:sz="4" w:space="0" w:color="auto"/>
              <w:bottom w:val="single" w:sz="4" w:space="0" w:color="auto"/>
              <w:right w:val="single" w:sz="4" w:space="0" w:color="auto"/>
            </w:tcBorders>
            <w:shd w:val="clear" w:color="auto" w:fill="00FF00"/>
            <w:hideMark/>
          </w:tcPr>
          <w:p w14:paraId="210726CF" w14:textId="77777777" w:rsidR="00F13B9B" w:rsidRDefault="00F13B9B" w:rsidP="00BA3526">
            <w:pPr>
              <w:jc w:val="center"/>
              <w:rPr>
                <w:rFonts w:ascii="Arial" w:hAnsi="Arial" w:cs="Arial"/>
                <w:sz w:val="20"/>
                <w:szCs w:val="20"/>
              </w:rPr>
            </w:pPr>
            <w:r>
              <w:rPr>
                <w:rFonts w:ascii="Arial" w:hAnsi="Arial" w:cs="Arial"/>
                <w:sz w:val="20"/>
                <w:szCs w:val="20"/>
              </w:rPr>
              <w:t>Defect Types/</w:t>
            </w:r>
            <w:r>
              <w:rPr>
                <w:rFonts w:ascii="Arial" w:hAnsi="Arial" w:cs="Arial"/>
                <w:sz w:val="20"/>
                <w:szCs w:val="20"/>
              </w:rPr>
              <w:br/>
              <w:t>Event Occurrence</w:t>
            </w:r>
          </w:p>
        </w:tc>
        <w:tc>
          <w:tcPr>
            <w:tcW w:w="5416" w:type="dxa"/>
            <w:gridSpan w:val="7"/>
            <w:tcBorders>
              <w:top w:val="single" w:sz="4" w:space="0" w:color="auto"/>
              <w:left w:val="nil"/>
              <w:bottom w:val="single" w:sz="4" w:space="0" w:color="auto"/>
              <w:right w:val="single" w:sz="4" w:space="0" w:color="auto"/>
            </w:tcBorders>
            <w:shd w:val="clear" w:color="auto" w:fill="FFFF00"/>
            <w:noWrap/>
            <w:hideMark/>
          </w:tcPr>
          <w:p w14:paraId="2A688E78" w14:textId="77777777" w:rsidR="00F13B9B" w:rsidRDefault="00F13B9B" w:rsidP="00BA3526">
            <w:pPr>
              <w:jc w:val="center"/>
              <w:rPr>
                <w:rFonts w:ascii="Arial" w:hAnsi="Arial" w:cs="Arial"/>
                <w:b/>
                <w:bCs/>
                <w:sz w:val="20"/>
                <w:szCs w:val="20"/>
              </w:rPr>
            </w:pPr>
            <w:r>
              <w:rPr>
                <w:rFonts w:ascii="Arial" w:hAnsi="Arial" w:cs="Arial"/>
                <w:b/>
                <w:bCs/>
                <w:sz w:val="20"/>
                <w:szCs w:val="20"/>
              </w:rPr>
              <w:t>Dates</w:t>
            </w:r>
          </w:p>
        </w:tc>
        <w:tc>
          <w:tcPr>
            <w:tcW w:w="937" w:type="dxa"/>
            <w:vMerge w:val="restart"/>
            <w:tcBorders>
              <w:top w:val="double" w:sz="6" w:space="0" w:color="auto"/>
              <w:left w:val="double" w:sz="6" w:space="0" w:color="auto"/>
              <w:bottom w:val="single" w:sz="4" w:space="0" w:color="000000" w:themeColor="text1"/>
              <w:right w:val="double" w:sz="6" w:space="0" w:color="auto"/>
            </w:tcBorders>
            <w:shd w:val="clear" w:color="auto" w:fill="C0C0C0"/>
            <w:noWrap/>
            <w:hideMark/>
          </w:tcPr>
          <w:p w14:paraId="082E5F13" w14:textId="77777777" w:rsidR="00F13B9B" w:rsidRDefault="00F13B9B" w:rsidP="00BA3526">
            <w:pPr>
              <w:jc w:val="center"/>
              <w:rPr>
                <w:rFonts w:ascii="Arial" w:hAnsi="Arial" w:cs="Arial"/>
                <w:b/>
                <w:bCs/>
                <w:sz w:val="20"/>
                <w:szCs w:val="20"/>
              </w:rPr>
            </w:pPr>
            <w:r>
              <w:rPr>
                <w:rFonts w:ascii="Arial" w:hAnsi="Arial" w:cs="Arial"/>
                <w:b/>
                <w:bCs/>
                <w:sz w:val="20"/>
                <w:szCs w:val="20"/>
              </w:rPr>
              <w:t>Total</w:t>
            </w:r>
          </w:p>
        </w:tc>
      </w:tr>
      <w:tr w:rsidR="00F13B9B" w14:paraId="285ED1D4" w14:textId="77777777" w:rsidTr="00BA3526">
        <w:trPr>
          <w:trHeight w:val="510"/>
        </w:trPr>
        <w:tc>
          <w:tcPr>
            <w:tcW w:w="3367" w:type="dxa"/>
            <w:vMerge/>
            <w:hideMark/>
          </w:tcPr>
          <w:p w14:paraId="47069A11" w14:textId="77777777" w:rsidR="00F13B9B" w:rsidRDefault="00F13B9B" w:rsidP="00BA3526">
            <w:pPr>
              <w:rPr>
                <w:rFonts w:ascii="Arial" w:hAnsi="Arial" w:cs="Arial"/>
                <w:sz w:val="20"/>
                <w:szCs w:val="20"/>
              </w:rPr>
            </w:pPr>
          </w:p>
        </w:tc>
        <w:tc>
          <w:tcPr>
            <w:tcW w:w="672" w:type="dxa"/>
            <w:tcBorders>
              <w:top w:val="nil"/>
              <w:left w:val="nil"/>
              <w:bottom w:val="single" w:sz="4" w:space="0" w:color="auto"/>
              <w:right w:val="single" w:sz="4" w:space="0" w:color="auto"/>
            </w:tcBorders>
            <w:shd w:val="clear" w:color="auto" w:fill="FFFF99"/>
            <w:noWrap/>
            <w:hideMark/>
          </w:tcPr>
          <w:p w14:paraId="63515B4F" w14:textId="77777777" w:rsidR="00F13B9B" w:rsidRDefault="00F13B9B" w:rsidP="00BA3526">
            <w:pPr>
              <w:jc w:val="center"/>
              <w:rPr>
                <w:rFonts w:ascii="Arial" w:hAnsi="Arial" w:cs="Arial"/>
                <w:sz w:val="20"/>
                <w:szCs w:val="20"/>
              </w:rPr>
            </w:pPr>
            <w:r>
              <w:rPr>
                <w:rFonts w:ascii="Arial" w:hAnsi="Arial" w:cs="Arial"/>
                <w:sz w:val="20"/>
                <w:szCs w:val="20"/>
              </w:rPr>
              <w:t>Sunday</w:t>
            </w:r>
          </w:p>
        </w:tc>
        <w:tc>
          <w:tcPr>
            <w:tcW w:w="698" w:type="dxa"/>
            <w:tcBorders>
              <w:top w:val="nil"/>
              <w:left w:val="nil"/>
              <w:bottom w:val="single" w:sz="4" w:space="0" w:color="auto"/>
              <w:right w:val="single" w:sz="4" w:space="0" w:color="auto"/>
            </w:tcBorders>
            <w:shd w:val="clear" w:color="auto" w:fill="FFFF99"/>
            <w:noWrap/>
            <w:hideMark/>
          </w:tcPr>
          <w:p w14:paraId="4328DD6F" w14:textId="77777777" w:rsidR="00F13B9B" w:rsidRDefault="00F13B9B" w:rsidP="00BA3526">
            <w:pPr>
              <w:jc w:val="center"/>
              <w:rPr>
                <w:rFonts w:ascii="Arial" w:hAnsi="Arial" w:cs="Arial"/>
                <w:sz w:val="20"/>
                <w:szCs w:val="20"/>
              </w:rPr>
            </w:pPr>
            <w:r>
              <w:rPr>
                <w:rFonts w:ascii="Arial" w:hAnsi="Arial" w:cs="Arial"/>
                <w:sz w:val="20"/>
                <w:szCs w:val="20"/>
              </w:rPr>
              <w:t>Monday</w:t>
            </w:r>
          </w:p>
        </w:tc>
        <w:tc>
          <w:tcPr>
            <w:tcW w:w="741" w:type="dxa"/>
            <w:tcBorders>
              <w:top w:val="nil"/>
              <w:left w:val="nil"/>
              <w:bottom w:val="single" w:sz="4" w:space="0" w:color="auto"/>
              <w:right w:val="single" w:sz="4" w:space="0" w:color="auto"/>
            </w:tcBorders>
            <w:shd w:val="clear" w:color="auto" w:fill="FFFF99"/>
            <w:noWrap/>
            <w:hideMark/>
          </w:tcPr>
          <w:p w14:paraId="11C3CF35" w14:textId="77777777" w:rsidR="00F13B9B" w:rsidRDefault="00F13B9B" w:rsidP="00BA3526">
            <w:pPr>
              <w:jc w:val="center"/>
              <w:rPr>
                <w:rFonts w:ascii="Arial" w:hAnsi="Arial" w:cs="Arial"/>
                <w:sz w:val="20"/>
                <w:szCs w:val="20"/>
              </w:rPr>
            </w:pPr>
            <w:r>
              <w:rPr>
                <w:rFonts w:ascii="Arial" w:hAnsi="Arial" w:cs="Arial"/>
                <w:sz w:val="20"/>
                <w:szCs w:val="20"/>
              </w:rPr>
              <w:t>Tuesday</w:t>
            </w:r>
          </w:p>
        </w:tc>
        <w:tc>
          <w:tcPr>
            <w:tcW w:w="965" w:type="dxa"/>
            <w:tcBorders>
              <w:top w:val="nil"/>
              <w:left w:val="nil"/>
              <w:bottom w:val="single" w:sz="4" w:space="0" w:color="auto"/>
              <w:right w:val="single" w:sz="4" w:space="0" w:color="auto"/>
            </w:tcBorders>
            <w:shd w:val="clear" w:color="auto" w:fill="FFFF99"/>
            <w:noWrap/>
            <w:hideMark/>
          </w:tcPr>
          <w:p w14:paraId="1FF0DC9A" w14:textId="77777777" w:rsidR="00F13B9B" w:rsidRDefault="00F13B9B" w:rsidP="00BA3526">
            <w:pPr>
              <w:jc w:val="center"/>
              <w:rPr>
                <w:rFonts w:ascii="Arial" w:hAnsi="Arial" w:cs="Arial"/>
                <w:sz w:val="20"/>
                <w:szCs w:val="20"/>
              </w:rPr>
            </w:pPr>
            <w:r>
              <w:rPr>
                <w:rFonts w:ascii="Arial" w:hAnsi="Arial" w:cs="Arial"/>
                <w:sz w:val="20"/>
                <w:szCs w:val="20"/>
              </w:rPr>
              <w:t>Wednesday</w:t>
            </w:r>
          </w:p>
        </w:tc>
        <w:tc>
          <w:tcPr>
            <w:tcW w:w="792" w:type="dxa"/>
            <w:tcBorders>
              <w:top w:val="nil"/>
              <w:left w:val="nil"/>
              <w:bottom w:val="single" w:sz="4" w:space="0" w:color="auto"/>
              <w:right w:val="single" w:sz="4" w:space="0" w:color="auto"/>
            </w:tcBorders>
            <w:shd w:val="clear" w:color="auto" w:fill="FFFF99"/>
            <w:noWrap/>
            <w:hideMark/>
          </w:tcPr>
          <w:p w14:paraId="764BCA32" w14:textId="77777777" w:rsidR="00F13B9B" w:rsidRDefault="00F13B9B" w:rsidP="00BA3526">
            <w:pPr>
              <w:jc w:val="center"/>
              <w:rPr>
                <w:rFonts w:ascii="Arial" w:hAnsi="Arial" w:cs="Arial"/>
                <w:sz w:val="20"/>
                <w:szCs w:val="20"/>
              </w:rPr>
            </w:pPr>
            <w:r>
              <w:rPr>
                <w:rFonts w:ascii="Arial" w:hAnsi="Arial" w:cs="Arial"/>
                <w:sz w:val="20"/>
                <w:szCs w:val="20"/>
              </w:rPr>
              <w:t>Thursday</w:t>
            </w:r>
          </w:p>
        </w:tc>
        <w:tc>
          <w:tcPr>
            <w:tcW w:w="774" w:type="dxa"/>
            <w:tcBorders>
              <w:top w:val="nil"/>
              <w:left w:val="nil"/>
              <w:bottom w:val="single" w:sz="4" w:space="0" w:color="auto"/>
              <w:right w:val="single" w:sz="4" w:space="0" w:color="auto"/>
            </w:tcBorders>
            <w:shd w:val="clear" w:color="auto" w:fill="FFFF99"/>
            <w:noWrap/>
            <w:hideMark/>
          </w:tcPr>
          <w:p w14:paraId="5498E097" w14:textId="77777777" w:rsidR="00F13B9B" w:rsidRDefault="00F13B9B" w:rsidP="00BA3526">
            <w:pPr>
              <w:jc w:val="center"/>
              <w:rPr>
                <w:rFonts w:ascii="Arial" w:hAnsi="Arial" w:cs="Arial"/>
                <w:sz w:val="20"/>
                <w:szCs w:val="20"/>
              </w:rPr>
            </w:pPr>
            <w:r>
              <w:rPr>
                <w:rFonts w:ascii="Arial" w:hAnsi="Arial" w:cs="Arial"/>
                <w:sz w:val="20"/>
                <w:szCs w:val="20"/>
              </w:rPr>
              <w:t>Friday</w:t>
            </w:r>
          </w:p>
        </w:tc>
        <w:tc>
          <w:tcPr>
            <w:tcW w:w="774" w:type="dxa"/>
            <w:tcBorders>
              <w:top w:val="nil"/>
              <w:left w:val="nil"/>
              <w:bottom w:val="single" w:sz="4" w:space="0" w:color="auto"/>
              <w:right w:val="single" w:sz="4" w:space="0" w:color="auto"/>
            </w:tcBorders>
            <w:shd w:val="clear" w:color="auto" w:fill="FFFF99"/>
            <w:noWrap/>
            <w:hideMark/>
          </w:tcPr>
          <w:p w14:paraId="07ECE796" w14:textId="77777777" w:rsidR="00F13B9B" w:rsidRDefault="00F13B9B" w:rsidP="00BA3526">
            <w:pPr>
              <w:jc w:val="center"/>
              <w:rPr>
                <w:rFonts w:ascii="Arial" w:hAnsi="Arial" w:cs="Arial"/>
                <w:sz w:val="20"/>
                <w:szCs w:val="20"/>
              </w:rPr>
            </w:pPr>
            <w:r>
              <w:rPr>
                <w:rFonts w:ascii="Arial" w:hAnsi="Arial" w:cs="Arial"/>
                <w:sz w:val="20"/>
                <w:szCs w:val="20"/>
              </w:rPr>
              <w:t>Saturday</w:t>
            </w:r>
          </w:p>
        </w:tc>
        <w:tc>
          <w:tcPr>
            <w:tcW w:w="937" w:type="dxa"/>
            <w:vMerge/>
            <w:hideMark/>
          </w:tcPr>
          <w:p w14:paraId="267D1A18" w14:textId="77777777" w:rsidR="00F13B9B" w:rsidRDefault="00F13B9B" w:rsidP="00BA3526">
            <w:pPr>
              <w:rPr>
                <w:rFonts w:ascii="Arial" w:hAnsi="Arial" w:cs="Arial"/>
                <w:b/>
                <w:bCs/>
                <w:sz w:val="20"/>
                <w:szCs w:val="20"/>
              </w:rPr>
            </w:pPr>
          </w:p>
        </w:tc>
      </w:tr>
      <w:tr w:rsidR="00F13B9B" w14:paraId="2445DAF5"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58A473F4" w14:textId="77777777" w:rsidR="00F13B9B" w:rsidRDefault="00F13B9B" w:rsidP="00BA3526">
            <w:pPr>
              <w:jc w:val="right"/>
              <w:rPr>
                <w:rFonts w:ascii="Arial" w:hAnsi="Arial" w:cs="Arial"/>
                <w:sz w:val="20"/>
                <w:szCs w:val="20"/>
              </w:rPr>
            </w:pPr>
            <w:r>
              <w:rPr>
                <w:rFonts w:ascii="Arial" w:hAnsi="Arial" w:cs="Arial"/>
                <w:sz w:val="20"/>
                <w:szCs w:val="20"/>
              </w:rPr>
              <w:t>Patients with Diagnosis of MS seen</w:t>
            </w:r>
          </w:p>
        </w:tc>
        <w:tc>
          <w:tcPr>
            <w:tcW w:w="672" w:type="dxa"/>
            <w:tcBorders>
              <w:top w:val="nil"/>
              <w:left w:val="nil"/>
              <w:bottom w:val="single" w:sz="4" w:space="0" w:color="auto"/>
              <w:right w:val="single" w:sz="4" w:space="0" w:color="auto"/>
            </w:tcBorders>
            <w:shd w:val="clear" w:color="auto" w:fill="FFFFFF" w:themeFill="background1"/>
            <w:noWrap/>
            <w:hideMark/>
          </w:tcPr>
          <w:p w14:paraId="38012B7C"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1FEE17B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0C101E33"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61633AC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36D2E399"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53722F5C"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5E8FC0E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4BE827A6"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1285C04F"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26ED9FB4" w14:textId="77777777" w:rsidR="00F13B9B" w:rsidRDefault="00F13B9B" w:rsidP="00BA3526">
            <w:pPr>
              <w:jc w:val="right"/>
              <w:rPr>
                <w:rFonts w:ascii="Arial" w:hAnsi="Arial" w:cs="Arial"/>
                <w:sz w:val="20"/>
                <w:szCs w:val="20"/>
              </w:rPr>
            </w:pPr>
            <w:r>
              <w:rPr>
                <w:rFonts w:ascii="Arial" w:hAnsi="Arial" w:cs="Arial"/>
                <w:sz w:val="20"/>
                <w:szCs w:val="20"/>
              </w:rPr>
              <w:t>Patients with Diagnosis of MS without vitamin D testing completed in past year</w:t>
            </w:r>
          </w:p>
        </w:tc>
        <w:tc>
          <w:tcPr>
            <w:tcW w:w="672" w:type="dxa"/>
            <w:tcBorders>
              <w:top w:val="nil"/>
              <w:left w:val="nil"/>
              <w:bottom w:val="single" w:sz="4" w:space="0" w:color="auto"/>
              <w:right w:val="single" w:sz="4" w:space="0" w:color="auto"/>
            </w:tcBorders>
            <w:shd w:val="clear" w:color="auto" w:fill="FFFFFF" w:themeFill="background1"/>
            <w:noWrap/>
            <w:hideMark/>
          </w:tcPr>
          <w:p w14:paraId="051486CC"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7F8401B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0643DAB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742AB90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260A43B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72D4F0F0"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6E2C142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2C0D3A63"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3E050CF2"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302F5018" w14:textId="77777777" w:rsidR="00F13B9B" w:rsidRDefault="00F13B9B" w:rsidP="00BA3526">
            <w:pPr>
              <w:jc w:val="right"/>
              <w:rPr>
                <w:rFonts w:ascii="Arial" w:hAnsi="Arial" w:cs="Arial"/>
                <w:sz w:val="20"/>
                <w:szCs w:val="20"/>
              </w:rPr>
            </w:pPr>
            <w:r>
              <w:rPr>
                <w:rFonts w:ascii="Arial" w:hAnsi="Arial" w:cs="Arial"/>
                <w:sz w:val="20"/>
                <w:szCs w:val="20"/>
              </w:rPr>
              <w:t xml:space="preserve">Patients with Diagnosis of MS whom a vitamin D Level was ordered </w:t>
            </w:r>
          </w:p>
        </w:tc>
        <w:tc>
          <w:tcPr>
            <w:tcW w:w="672" w:type="dxa"/>
            <w:tcBorders>
              <w:top w:val="nil"/>
              <w:left w:val="nil"/>
              <w:bottom w:val="single" w:sz="4" w:space="0" w:color="auto"/>
              <w:right w:val="single" w:sz="4" w:space="0" w:color="auto"/>
            </w:tcBorders>
            <w:shd w:val="clear" w:color="auto" w:fill="FFFFFF" w:themeFill="background1"/>
            <w:noWrap/>
            <w:hideMark/>
          </w:tcPr>
          <w:p w14:paraId="222087C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5506B09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7CB0967F"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1D8A6E9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62C1526C"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2D83E29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379856C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6A46ED28"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10FF6A11"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62CE6B97" w14:textId="77777777" w:rsidR="00F13B9B" w:rsidRDefault="00F13B9B" w:rsidP="00BA3526">
            <w:pPr>
              <w:jc w:val="right"/>
              <w:rPr>
                <w:rFonts w:ascii="Arial" w:hAnsi="Arial" w:cs="Arial"/>
                <w:sz w:val="20"/>
                <w:szCs w:val="20"/>
              </w:rPr>
            </w:pPr>
            <w:r>
              <w:rPr>
                <w:rFonts w:ascii="Arial" w:hAnsi="Arial" w:cs="Arial"/>
                <w:sz w:val="20"/>
                <w:szCs w:val="20"/>
              </w:rPr>
              <w:t xml:space="preserve">Patients whose vitamin D level was deficit </w:t>
            </w:r>
          </w:p>
        </w:tc>
        <w:tc>
          <w:tcPr>
            <w:tcW w:w="672" w:type="dxa"/>
            <w:tcBorders>
              <w:top w:val="nil"/>
              <w:left w:val="nil"/>
              <w:bottom w:val="single" w:sz="4" w:space="0" w:color="auto"/>
              <w:right w:val="single" w:sz="4" w:space="0" w:color="auto"/>
            </w:tcBorders>
            <w:shd w:val="clear" w:color="auto" w:fill="FFFFFF" w:themeFill="background1"/>
            <w:noWrap/>
            <w:hideMark/>
          </w:tcPr>
          <w:p w14:paraId="24026B3B"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0BD8751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0A102E0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29C35B8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469B035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43DCDEE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0B600EC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7F238703"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3F8B356A"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3194B7E9" w14:textId="77777777" w:rsidR="00F13B9B" w:rsidRDefault="00F13B9B" w:rsidP="00BA3526">
            <w:pPr>
              <w:jc w:val="right"/>
              <w:rPr>
                <w:rFonts w:ascii="Arial" w:hAnsi="Arial" w:cs="Arial"/>
                <w:sz w:val="20"/>
                <w:szCs w:val="20"/>
              </w:rPr>
            </w:pPr>
            <w:r>
              <w:rPr>
                <w:rFonts w:ascii="Arial" w:hAnsi="Arial" w:cs="Arial"/>
                <w:sz w:val="20"/>
                <w:szCs w:val="20"/>
              </w:rPr>
              <w:t>Patients with vitamin D deficiency whom Rx was provided</w:t>
            </w:r>
          </w:p>
        </w:tc>
        <w:tc>
          <w:tcPr>
            <w:tcW w:w="672" w:type="dxa"/>
            <w:tcBorders>
              <w:top w:val="nil"/>
              <w:left w:val="nil"/>
              <w:bottom w:val="single" w:sz="4" w:space="0" w:color="auto"/>
              <w:right w:val="single" w:sz="4" w:space="0" w:color="auto"/>
            </w:tcBorders>
            <w:shd w:val="clear" w:color="auto" w:fill="FFFFFF" w:themeFill="background1"/>
            <w:noWrap/>
            <w:hideMark/>
          </w:tcPr>
          <w:p w14:paraId="3160462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55701E35"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4943C18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47633B1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44DDE6C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0FEB0D7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4770C91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4CDFC4BC"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6EE77179"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5A8D0A88" w14:textId="77777777" w:rsidR="00F13B9B" w:rsidRDefault="00F13B9B" w:rsidP="00BA3526">
            <w:pPr>
              <w:jc w:val="right"/>
              <w:rPr>
                <w:rFonts w:ascii="Arial" w:hAnsi="Arial" w:cs="Arial"/>
                <w:sz w:val="20"/>
                <w:szCs w:val="20"/>
              </w:rPr>
            </w:pPr>
            <w:r>
              <w:rPr>
                <w:rFonts w:ascii="Arial" w:hAnsi="Arial" w:cs="Arial"/>
                <w:sz w:val="20"/>
                <w:szCs w:val="20"/>
              </w:rPr>
              <w:t> </w:t>
            </w:r>
          </w:p>
        </w:tc>
        <w:tc>
          <w:tcPr>
            <w:tcW w:w="672" w:type="dxa"/>
            <w:tcBorders>
              <w:top w:val="nil"/>
              <w:left w:val="nil"/>
              <w:bottom w:val="single" w:sz="4" w:space="0" w:color="auto"/>
              <w:right w:val="single" w:sz="4" w:space="0" w:color="auto"/>
            </w:tcBorders>
            <w:shd w:val="clear" w:color="auto" w:fill="FFFFFF" w:themeFill="background1"/>
            <w:noWrap/>
            <w:hideMark/>
          </w:tcPr>
          <w:p w14:paraId="6FD9FA3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1861F983"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01ADDA1B"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0594E42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3C0245D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3E3D985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5C0942D3"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6A558BF7"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6B70D981"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3FF91AA1" w14:textId="77777777" w:rsidR="00F13B9B" w:rsidRDefault="00F13B9B" w:rsidP="00BA3526">
            <w:pPr>
              <w:jc w:val="right"/>
              <w:rPr>
                <w:rFonts w:ascii="Arial" w:hAnsi="Arial" w:cs="Arial"/>
                <w:sz w:val="20"/>
                <w:szCs w:val="20"/>
              </w:rPr>
            </w:pPr>
            <w:r>
              <w:rPr>
                <w:rFonts w:ascii="Arial" w:hAnsi="Arial" w:cs="Arial"/>
                <w:sz w:val="20"/>
                <w:szCs w:val="20"/>
              </w:rPr>
              <w:t> </w:t>
            </w:r>
          </w:p>
        </w:tc>
        <w:tc>
          <w:tcPr>
            <w:tcW w:w="672" w:type="dxa"/>
            <w:tcBorders>
              <w:top w:val="nil"/>
              <w:left w:val="nil"/>
              <w:bottom w:val="single" w:sz="4" w:space="0" w:color="auto"/>
              <w:right w:val="single" w:sz="4" w:space="0" w:color="auto"/>
            </w:tcBorders>
            <w:shd w:val="clear" w:color="auto" w:fill="FFFFFF" w:themeFill="background1"/>
            <w:noWrap/>
            <w:hideMark/>
          </w:tcPr>
          <w:p w14:paraId="527F6D13"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7D8862E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7446C1BB"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59831B5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15BCD4E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0840D59A"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3A4F181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075BE51A"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20233D82"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63551981" w14:textId="77777777" w:rsidR="00F13B9B" w:rsidRDefault="00F13B9B" w:rsidP="00BA3526">
            <w:pPr>
              <w:jc w:val="right"/>
              <w:rPr>
                <w:rFonts w:ascii="Arial" w:hAnsi="Arial" w:cs="Arial"/>
                <w:sz w:val="20"/>
                <w:szCs w:val="20"/>
              </w:rPr>
            </w:pPr>
            <w:r>
              <w:rPr>
                <w:rFonts w:ascii="Arial" w:hAnsi="Arial" w:cs="Arial"/>
                <w:sz w:val="20"/>
                <w:szCs w:val="20"/>
              </w:rPr>
              <w:t> </w:t>
            </w:r>
          </w:p>
        </w:tc>
        <w:tc>
          <w:tcPr>
            <w:tcW w:w="672" w:type="dxa"/>
            <w:tcBorders>
              <w:top w:val="nil"/>
              <w:left w:val="nil"/>
              <w:bottom w:val="single" w:sz="4" w:space="0" w:color="auto"/>
              <w:right w:val="single" w:sz="4" w:space="0" w:color="auto"/>
            </w:tcBorders>
            <w:shd w:val="clear" w:color="auto" w:fill="FFFFFF" w:themeFill="background1"/>
            <w:noWrap/>
            <w:hideMark/>
          </w:tcPr>
          <w:p w14:paraId="52C05C9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38AC772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4B62ECE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2D273170"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53A04F2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48099795"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3309181B"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7EEE89A3"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229FC1F9"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02FB717B" w14:textId="77777777" w:rsidR="00F13B9B" w:rsidRDefault="00F13B9B" w:rsidP="00BA3526">
            <w:pPr>
              <w:jc w:val="right"/>
              <w:rPr>
                <w:rFonts w:ascii="Arial" w:hAnsi="Arial" w:cs="Arial"/>
                <w:sz w:val="20"/>
                <w:szCs w:val="20"/>
              </w:rPr>
            </w:pPr>
            <w:r>
              <w:rPr>
                <w:rFonts w:ascii="Arial" w:hAnsi="Arial" w:cs="Arial"/>
                <w:sz w:val="20"/>
                <w:szCs w:val="20"/>
              </w:rPr>
              <w:t> </w:t>
            </w:r>
          </w:p>
        </w:tc>
        <w:tc>
          <w:tcPr>
            <w:tcW w:w="672" w:type="dxa"/>
            <w:tcBorders>
              <w:top w:val="nil"/>
              <w:left w:val="nil"/>
              <w:bottom w:val="single" w:sz="4" w:space="0" w:color="auto"/>
              <w:right w:val="single" w:sz="4" w:space="0" w:color="auto"/>
            </w:tcBorders>
            <w:shd w:val="clear" w:color="auto" w:fill="FFFFFF" w:themeFill="background1"/>
            <w:noWrap/>
            <w:hideMark/>
          </w:tcPr>
          <w:p w14:paraId="033D3994"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5ED69797"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69826EDD"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4BE405E0"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05C24A4E"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09A9435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3D89328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536346CB"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52FC990F" w14:textId="77777777" w:rsidTr="00BA3526">
        <w:trPr>
          <w:trHeight w:val="500"/>
        </w:trPr>
        <w:tc>
          <w:tcPr>
            <w:tcW w:w="3367" w:type="dxa"/>
            <w:tcBorders>
              <w:top w:val="nil"/>
              <w:left w:val="single" w:sz="4" w:space="0" w:color="auto"/>
              <w:bottom w:val="single" w:sz="4" w:space="0" w:color="auto"/>
              <w:right w:val="single" w:sz="4" w:space="0" w:color="auto"/>
            </w:tcBorders>
            <w:shd w:val="clear" w:color="auto" w:fill="CCFFCC"/>
            <w:noWrap/>
            <w:hideMark/>
          </w:tcPr>
          <w:p w14:paraId="65E13A55" w14:textId="77777777" w:rsidR="00F13B9B" w:rsidRDefault="00F13B9B" w:rsidP="00BA3526">
            <w:pPr>
              <w:jc w:val="right"/>
              <w:rPr>
                <w:rFonts w:ascii="Arial" w:hAnsi="Arial" w:cs="Arial"/>
                <w:sz w:val="20"/>
                <w:szCs w:val="20"/>
              </w:rPr>
            </w:pPr>
            <w:r>
              <w:rPr>
                <w:rFonts w:ascii="Arial" w:hAnsi="Arial" w:cs="Arial"/>
                <w:sz w:val="20"/>
                <w:szCs w:val="20"/>
              </w:rPr>
              <w:t> </w:t>
            </w:r>
          </w:p>
        </w:tc>
        <w:tc>
          <w:tcPr>
            <w:tcW w:w="672" w:type="dxa"/>
            <w:tcBorders>
              <w:top w:val="nil"/>
              <w:left w:val="nil"/>
              <w:bottom w:val="single" w:sz="4" w:space="0" w:color="auto"/>
              <w:right w:val="single" w:sz="4" w:space="0" w:color="auto"/>
            </w:tcBorders>
            <w:shd w:val="clear" w:color="auto" w:fill="FFFFFF" w:themeFill="background1"/>
            <w:noWrap/>
            <w:hideMark/>
          </w:tcPr>
          <w:p w14:paraId="0C87B6A8"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698" w:type="dxa"/>
            <w:tcBorders>
              <w:top w:val="nil"/>
              <w:left w:val="nil"/>
              <w:bottom w:val="single" w:sz="4" w:space="0" w:color="auto"/>
              <w:right w:val="single" w:sz="4" w:space="0" w:color="auto"/>
            </w:tcBorders>
            <w:shd w:val="clear" w:color="auto" w:fill="FFFFFF" w:themeFill="background1"/>
            <w:noWrap/>
            <w:hideMark/>
          </w:tcPr>
          <w:p w14:paraId="4D771476"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FFFFFF" w:themeFill="background1"/>
            <w:noWrap/>
            <w:hideMark/>
          </w:tcPr>
          <w:p w14:paraId="6C58CD0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65" w:type="dxa"/>
            <w:tcBorders>
              <w:top w:val="nil"/>
              <w:left w:val="nil"/>
              <w:bottom w:val="single" w:sz="4" w:space="0" w:color="auto"/>
              <w:right w:val="single" w:sz="4" w:space="0" w:color="auto"/>
            </w:tcBorders>
            <w:shd w:val="clear" w:color="auto" w:fill="FFFFFF" w:themeFill="background1"/>
            <w:noWrap/>
            <w:hideMark/>
          </w:tcPr>
          <w:p w14:paraId="25BD8CE9"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92" w:type="dxa"/>
            <w:tcBorders>
              <w:top w:val="nil"/>
              <w:left w:val="nil"/>
              <w:bottom w:val="single" w:sz="4" w:space="0" w:color="auto"/>
              <w:right w:val="single" w:sz="4" w:space="0" w:color="auto"/>
            </w:tcBorders>
            <w:shd w:val="clear" w:color="auto" w:fill="FFFFFF" w:themeFill="background1"/>
            <w:noWrap/>
            <w:hideMark/>
          </w:tcPr>
          <w:p w14:paraId="73D38FB2"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163CA3B1"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774" w:type="dxa"/>
            <w:tcBorders>
              <w:top w:val="nil"/>
              <w:left w:val="nil"/>
              <w:bottom w:val="single" w:sz="4" w:space="0" w:color="auto"/>
              <w:right w:val="single" w:sz="4" w:space="0" w:color="auto"/>
            </w:tcBorders>
            <w:shd w:val="clear" w:color="auto" w:fill="FFFFFF" w:themeFill="background1"/>
            <w:noWrap/>
            <w:hideMark/>
          </w:tcPr>
          <w:p w14:paraId="2F6072E0" w14:textId="77777777" w:rsidR="00F13B9B" w:rsidRDefault="00F13B9B" w:rsidP="00BA3526">
            <w:pPr>
              <w:jc w:val="center"/>
              <w:rPr>
                <w:rFonts w:ascii="Arial" w:hAnsi="Arial" w:cs="Arial"/>
                <w:sz w:val="20"/>
                <w:szCs w:val="20"/>
              </w:rPr>
            </w:pPr>
            <w:r>
              <w:rPr>
                <w:rFonts w:ascii="Arial" w:hAnsi="Arial" w:cs="Arial"/>
                <w:sz w:val="20"/>
                <w:szCs w:val="20"/>
              </w:rPr>
              <w:t> </w:t>
            </w:r>
          </w:p>
        </w:tc>
        <w:tc>
          <w:tcPr>
            <w:tcW w:w="937" w:type="dxa"/>
            <w:tcBorders>
              <w:top w:val="nil"/>
              <w:left w:val="double" w:sz="6" w:space="0" w:color="auto"/>
              <w:bottom w:val="single" w:sz="4" w:space="0" w:color="auto"/>
              <w:right w:val="double" w:sz="6" w:space="0" w:color="auto"/>
            </w:tcBorders>
            <w:shd w:val="clear" w:color="auto" w:fill="CCFFCC"/>
            <w:noWrap/>
            <w:hideMark/>
          </w:tcPr>
          <w:p w14:paraId="2223D059" w14:textId="77777777" w:rsidR="00F13B9B" w:rsidRDefault="00F13B9B" w:rsidP="00BA3526">
            <w:pPr>
              <w:rPr>
                <w:rFonts w:ascii="Arial" w:hAnsi="Arial" w:cs="Arial"/>
                <w:sz w:val="20"/>
                <w:szCs w:val="20"/>
              </w:rPr>
            </w:pPr>
            <w:r>
              <w:rPr>
                <w:rFonts w:ascii="Arial" w:hAnsi="Arial" w:cs="Arial"/>
                <w:sz w:val="20"/>
                <w:szCs w:val="20"/>
              </w:rPr>
              <w:t> </w:t>
            </w:r>
          </w:p>
        </w:tc>
      </w:tr>
      <w:tr w:rsidR="00F13B9B" w14:paraId="57E09E14" w14:textId="77777777" w:rsidTr="00BA3526">
        <w:trPr>
          <w:trHeight w:val="500"/>
        </w:trPr>
        <w:tc>
          <w:tcPr>
            <w:tcW w:w="3367" w:type="dxa"/>
            <w:tcBorders>
              <w:top w:val="double" w:sz="6" w:space="0" w:color="auto"/>
              <w:left w:val="double" w:sz="6" w:space="0" w:color="auto"/>
              <w:bottom w:val="double" w:sz="6" w:space="0" w:color="auto"/>
              <w:right w:val="single" w:sz="4" w:space="0" w:color="auto"/>
            </w:tcBorders>
            <w:shd w:val="clear" w:color="auto" w:fill="C0C0C0"/>
            <w:noWrap/>
            <w:hideMark/>
          </w:tcPr>
          <w:p w14:paraId="3F88AD2A" w14:textId="77777777" w:rsidR="00F13B9B" w:rsidRDefault="00F13B9B" w:rsidP="00BA3526">
            <w:pPr>
              <w:jc w:val="right"/>
              <w:rPr>
                <w:rFonts w:ascii="Arial" w:hAnsi="Arial" w:cs="Arial"/>
                <w:b/>
                <w:bCs/>
                <w:sz w:val="20"/>
                <w:szCs w:val="20"/>
              </w:rPr>
            </w:pPr>
            <w:r>
              <w:rPr>
                <w:rFonts w:ascii="Arial" w:hAnsi="Arial" w:cs="Arial"/>
                <w:b/>
                <w:bCs/>
                <w:sz w:val="20"/>
                <w:szCs w:val="20"/>
              </w:rPr>
              <w:t>TOTAL</w:t>
            </w:r>
          </w:p>
        </w:tc>
        <w:tc>
          <w:tcPr>
            <w:tcW w:w="672" w:type="dxa"/>
            <w:tcBorders>
              <w:top w:val="double" w:sz="6" w:space="0" w:color="auto"/>
              <w:left w:val="nil"/>
              <w:bottom w:val="double" w:sz="6" w:space="0" w:color="auto"/>
              <w:right w:val="single" w:sz="4" w:space="0" w:color="auto"/>
            </w:tcBorders>
            <w:shd w:val="clear" w:color="auto" w:fill="FFFF99"/>
            <w:noWrap/>
            <w:hideMark/>
          </w:tcPr>
          <w:p w14:paraId="7968007E" w14:textId="77777777" w:rsidR="00F13B9B" w:rsidRDefault="00F13B9B" w:rsidP="00BA3526">
            <w:pPr>
              <w:rPr>
                <w:rFonts w:ascii="Arial" w:hAnsi="Arial" w:cs="Arial"/>
                <w:sz w:val="20"/>
                <w:szCs w:val="20"/>
              </w:rPr>
            </w:pPr>
            <w:r>
              <w:rPr>
                <w:rFonts w:ascii="Arial" w:hAnsi="Arial" w:cs="Arial"/>
                <w:sz w:val="20"/>
                <w:szCs w:val="20"/>
              </w:rPr>
              <w:t> </w:t>
            </w:r>
          </w:p>
        </w:tc>
        <w:tc>
          <w:tcPr>
            <w:tcW w:w="698" w:type="dxa"/>
            <w:tcBorders>
              <w:top w:val="double" w:sz="6" w:space="0" w:color="auto"/>
              <w:left w:val="nil"/>
              <w:bottom w:val="double" w:sz="6" w:space="0" w:color="auto"/>
              <w:right w:val="single" w:sz="4" w:space="0" w:color="auto"/>
            </w:tcBorders>
            <w:shd w:val="clear" w:color="auto" w:fill="FFFF99"/>
            <w:noWrap/>
            <w:hideMark/>
          </w:tcPr>
          <w:p w14:paraId="25E7D29E" w14:textId="77777777" w:rsidR="00F13B9B" w:rsidRDefault="00F13B9B" w:rsidP="00BA3526">
            <w:pPr>
              <w:rPr>
                <w:rFonts w:ascii="Arial" w:hAnsi="Arial" w:cs="Arial"/>
                <w:sz w:val="20"/>
                <w:szCs w:val="20"/>
              </w:rPr>
            </w:pPr>
            <w:r>
              <w:rPr>
                <w:rFonts w:ascii="Arial" w:hAnsi="Arial" w:cs="Arial"/>
                <w:sz w:val="20"/>
                <w:szCs w:val="20"/>
              </w:rPr>
              <w:t> </w:t>
            </w:r>
          </w:p>
        </w:tc>
        <w:tc>
          <w:tcPr>
            <w:tcW w:w="741" w:type="dxa"/>
            <w:tcBorders>
              <w:top w:val="double" w:sz="6" w:space="0" w:color="auto"/>
              <w:left w:val="nil"/>
              <w:bottom w:val="double" w:sz="6" w:space="0" w:color="auto"/>
              <w:right w:val="single" w:sz="4" w:space="0" w:color="auto"/>
            </w:tcBorders>
            <w:shd w:val="clear" w:color="auto" w:fill="FFFF99"/>
            <w:noWrap/>
            <w:hideMark/>
          </w:tcPr>
          <w:p w14:paraId="4987C027" w14:textId="77777777" w:rsidR="00F13B9B" w:rsidRDefault="00F13B9B" w:rsidP="00BA3526">
            <w:pPr>
              <w:rPr>
                <w:rFonts w:ascii="Arial" w:hAnsi="Arial" w:cs="Arial"/>
                <w:sz w:val="20"/>
                <w:szCs w:val="20"/>
              </w:rPr>
            </w:pPr>
            <w:r>
              <w:rPr>
                <w:rFonts w:ascii="Arial" w:hAnsi="Arial" w:cs="Arial"/>
                <w:sz w:val="20"/>
                <w:szCs w:val="20"/>
              </w:rPr>
              <w:t> </w:t>
            </w:r>
          </w:p>
        </w:tc>
        <w:tc>
          <w:tcPr>
            <w:tcW w:w="965" w:type="dxa"/>
            <w:tcBorders>
              <w:top w:val="double" w:sz="6" w:space="0" w:color="auto"/>
              <w:left w:val="nil"/>
              <w:bottom w:val="double" w:sz="6" w:space="0" w:color="auto"/>
              <w:right w:val="single" w:sz="4" w:space="0" w:color="auto"/>
            </w:tcBorders>
            <w:shd w:val="clear" w:color="auto" w:fill="FFFF99"/>
            <w:noWrap/>
            <w:hideMark/>
          </w:tcPr>
          <w:p w14:paraId="77E38051" w14:textId="77777777" w:rsidR="00F13B9B" w:rsidRDefault="00F13B9B" w:rsidP="00BA3526">
            <w:pPr>
              <w:rPr>
                <w:rFonts w:ascii="Arial" w:hAnsi="Arial" w:cs="Arial"/>
                <w:sz w:val="20"/>
                <w:szCs w:val="20"/>
              </w:rPr>
            </w:pPr>
            <w:r>
              <w:rPr>
                <w:rFonts w:ascii="Arial" w:hAnsi="Arial" w:cs="Arial"/>
                <w:sz w:val="20"/>
                <w:szCs w:val="20"/>
              </w:rPr>
              <w:t> </w:t>
            </w:r>
          </w:p>
        </w:tc>
        <w:tc>
          <w:tcPr>
            <w:tcW w:w="792" w:type="dxa"/>
            <w:tcBorders>
              <w:top w:val="double" w:sz="6" w:space="0" w:color="auto"/>
              <w:left w:val="nil"/>
              <w:bottom w:val="double" w:sz="6" w:space="0" w:color="auto"/>
              <w:right w:val="single" w:sz="4" w:space="0" w:color="auto"/>
            </w:tcBorders>
            <w:shd w:val="clear" w:color="auto" w:fill="FFFF99"/>
            <w:noWrap/>
            <w:hideMark/>
          </w:tcPr>
          <w:p w14:paraId="6DBE8FB2"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double" w:sz="6" w:space="0" w:color="auto"/>
              <w:left w:val="nil"/>
              <w:bottom w:val="double" w:sz="6" w:space="0" w:color="auto"/>
              <w:right w:val="single" w:sz="4" w:space="0" w:color="auto"/>
            </w:tcBorders>
            <w:shd w:val="clear" w:color="auto" w:fill="FFFF99"/>
            <w:noWrap/>
            <w:hideMark/>
          </w:tcPr>
          <w:p w14:paraId="429B8BA3" w14:textId="77777777" w:rsidR="00F13B9B" w:rsidRDefault="00F13B9B" w:rsidP="00BA3526">
            <w:pPr>
              <w:rPr>
                <w:rFonts w:ascii="Arial" w:hAnsi="Arial" w:cs="Arial"/>
                <w:sz w:val="20"/>
                <w:szCs w:val="20"/>
              </w:rPr>
            </w:pPr>
            <w:r>
              <w:rPr>
                <w:rFonts w:ascii="Arial" w:hAnsi="Arial" w:cs="Arial"/>
                <w:sz w:val="20"/>
                <w:szCs w:val="20"/>
              </w:rPr>
              <w:t> </w:t>
            </w:r>
          </w:p>
        </w:tc>
        <w:tc>
          <w:tcPr>
            <w:tcW w:w="774" w:type="dxa"/>
            <w:tcBorders>
              <w:top w:val="double" w:sz="6" w:space="0" w:color="auto"/>
              <w:left w:val="nil"/>
              <w:bottom w:val="double" w:sz="6" w:space="0" w:color="auto"/>
              <w:right w:val="single" w:sz="4" w:space="0" w:color="auto"/>
            </w:tcBorders>
            <w:shd w:val="clear" w:color="auto" w:fill="FFFF99"/>
            <w:noWrap/>
            <w:hideMark/>
          </w:tcPr>
          <w:p w14:paraId="6448BC50" w14:textId="77777777" w:rsidR="00F13B9B" w:rsidRDefault="00F13B9B" w:rsidP="00BA3526">
            <w:pPr>
              <w:rPr>
                <w:rFonts w:ascii="Arial" w:hAnsi="Arial" w:cs="Arial"/>
                <w:sz w:val="20"/>
                <w:szCs w:val="20"/>
              </w:rPr>
            </w:pPr>
            <w:r>
              <w:rPr>
                <w:rFonts w:ascii="Arial" w:hAnsi="Arial" w:cs="Arial"/>
                <w:sz w:val="20"/>
                <w:szCs w:val="20"/>
              </w:rPr>
              <w:t> </w:t>
            </w:r>
          </w:p>
        </w:tc>
        <w:tc>
          <w:tcPr>
            <w:tcW w:w="937" w:type="dxa"/>
            <w:tcBorders>
              <w:top w:val="double" w:sz="6" w:space="0" w:color="auto"/>
              <w:left w:val="double" w:sz="6" w:space="0" w:color="auto"/>
              <w:bottom w:val="double" w:sz="6" w:space="0" w:color="auto"/>
              <w:right w:val="double" w:sz="6" w:space="0" w:color="auto"/>
            </w:tcBorders>
            <w:shd w:val="clear" w:color="auto" w:fill="C0C0C0"/>
            <w:noWrap/>
            <w:hideMark/>
          </w:tcPr>
          <w:p w14:paraId="556D2992" w14:textId="77777777" w:rsidR="00F13B9B" w:rsidRDefault="00F13B9B" w:rsidP="00BA3526">
            <w:pPr>
              <w:rPr>
                <w:rFonts w:ascii="Arial" w:hAnsi="Arial" w:cs="Arial"/>
                <w:b/>
                <w:bCs/>
                <w:sz w:val="20"/>
                <w:szCs w:val="20"/>
              </w:rPr>
            </w:pPr>
            <w:r>
              <w:rPr>
                <w:rFonts w:ascii="Arial" w:hAnsi="Arial" w:cs="Arial"/>
                <w:b/>
                <w:bCs/>
                <w:sz w:val="20"/>
                <w:szCs w:val="20"/>
              </w:rPr>
              <w:t> </w:t>
            </w:r>
          </w:p>
        </w:tc>
      </w:tr>
    </w:tbl>
    <w:p w14:paraId="5C4203AC" w14:textId="77777777" w:rsidR="00F13B9B" w:rsidRDefault="00F13B9B" w:rsidP="00F13B9B">
      <w:pPr>
        <w:pStyle w:val="APAReference"/>
        <w:ind w:left="0" w:firstLine="0"/>
        <w:jc w:val="center"/>
      </w:pPr>
    </w:p>
    <w:p w14:paraId="57887A62" w14:textId="584F9EB3" w:rsidR="00B63769" w:rsidRDefault="00B63769"/>
    <w:p w14:paraId="50AE77F6" w14:textId="6EE1848F" w:rsidR="00B63769" w:rsidRDefault="00B63769"/>
    <w:p w14:paraId="335733D6" w14:textId="77777777" w:rsidR="00B03AF3" w:rsidRDefault="00B03AF3" w:rsidP="006842AB">
      <w:pPr>
        <w:pStyle w:val="APAReference"/>
        <w:ind w:left="0" w:firstLine="0"/>
      </w:pPr>
      <w:bookmarkStart w:id="22" w:name="_Hlk6171504"/>
    </w:p>
    <w:p w14:paraId="0188254E" w14:textId="614F5CFE" w:rsidR="00F13B9B" w:rsidRDefault="00B03AF3" w:rsidP="00F13B9B">
      <w:pPr>
        <w:pStyle w:val="APAReference"/>
        <w:ind w:left="0" w:firstLine="0"/>
        <w:jc w:val="center"/>
      </w:pPr>
      <w:r>
        <w:lastRenderedPageBreak/>
        <w:t>Appendix J</w:t>
      </w:r>
    </w:p>
    <w:bookmarkEnd w:id="22"/>
    <w:p w14:paraId="3E45BDB8" w14:textId="117E74F3" w:rsidR="005314F8" w:rsidRDefault="00610AD2" w:rsidP="00610AD2">
      <w:pPr>
        <w:pStyle w:val="APAReference"/>
        <w:ind w:left="0" w:firstLine="0"/>
        <w:jc w:val="center"/>
      </w:pPr>
      <w:r>
        <w:t xml:space="preserve">Quality Improvement/Program Evaluation Self-Certification Tool </w:t>
      </w:r>
    </w:p>
    <w:p w14:paraId="550C79E6" w14:textId="0FAEED5C" w:rsidR="00610AD2" w:rsidRDefault="00610AD2" w:rsidP="00F13B9B">
      <w:pPr>
        <w:rPr>
          <w:szCs w:val="20"/>
        </w:rPr>
      </w:pPr>
      <w:r w:rsidRPr="00610AD2">
        <w:rPr>
          <w:noProof/>
          <w:szCs w:val="20"/>
        </w:rPr>
        <w:drawing>
          <wp:inline distT="0" distB="0" distL="0" distR="0" wp14:anchorId="144889F3" wp14:editId="0962C0C5">
            <wp:extent cx="5943600" cy="7477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477760"/>
                    </a:xfrm>
                    <a:prstGeom prst="rect">
                      <a:avLst/>
                    </a:prstGeom>
                    <a:noFill/>
                    <a:ln>
                      <a:noFill/>
                    </a:ln>
                  </pic:spPr>
                </pic:pic>
              </a:graphicData>
            </a:graphic>
          </wp:inline>
        </w:drawing>
      </w:r>
    </w:p>
    <w:p w14:paraId="44D49885" w14:textId="0C17780E" w:rsidR="00610AD2" w:rsidRDefault="00610AD2">
      <w:pPr>
        <w:rPr>
          <w:szCs w:val="20"/>
        </w:rPr>
      </w:pPr>
      <w:r>
        <w:rPr>
          <w:szCs w:val="20"/>
        </w:rPr>
        <w:br w:type="page"/>
      </w:r>
      <w:r w:rsidRPr="00610AD2">
        <w:rPr>
          <w:noProof/>
          <w:szCs w:val="20"/>
        </w:rPr>
        <w:lastRenderedPageBreak/>
        <w:drawing>
          <wp:inline distT="0" distB="0" distL="0" distR="0" wp14:anchorId="25C72E96" wp14:editId="0EB11B57">
            <wp:extent cx="5943600" cy="697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972935"/>
                    </a:xfrm>
                    <a:prstGeom prst="rect">
                      <a:avLst/>
                    </a:prstGeom>
                    <a:noFill/>
                    <a:ln>
                      <a:noFill/>
                    </a:ln>
                  </pic:spPr>
                </pic:pic>
              </a:graphicData>
            </a:graphic>
          </wp:inline>
        </w:drawing>
      </w:r>
    </w:p>
    <w:p w14:paraId="449127C1" w14:textId="3B7294C6" w:rsidR="00610AD2" w:rsidRDefault="00610AD2">
      <w:pPr>
        <w:rPr>
          <w:szCs w:val="20"/>
        </w:rPr>
      </w:pPr>
      <w:r>
        <w:rPr>
          <w:szCs w:val="20"/>
        </w:rPr>
        <w:br w:type="page"/>
      </w:r>
    </w:p>
    <w:p w14:paraId="35C2444D" w14:textId="57BADC1A" w:rsidR="00610AD2" w:rsidRDefault="00610AD2" w:rsidP="00F13B9B">
      <w:pPr>
        <w:rPr>
          <w:szCs w:val="20"/>
        </w:rPr>
      </w:pPr>
      <w:r w:rsidRPr="00610AD2">
        <w:rPr>
          <w:noProof/>
          <w:szCs w:val="20"/>
        </w:rPr>
        <w:lastRenderedPageBreak/>
        <w:drawing>
          <wp:inline distT="0" distB="0" distL="0" distR="0" wp14:anchorId="5EE361AB" wp14:editId="34B94612">
            <wp:extent cx="5895975" cy="761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75" cy="7610475"/>
                    </a:xfrm>
                    <a:prstGeom prst="rect">
                      <a:avLst/>
                    </a:prstGeom>
                    <a:noFill/>
                    <a:ln>
                      <a:noFill/>
                    </a:ln>
                  </pic:spPr>
                </pic:pic>
              </a:graphicData>
            </a:graphic>
          </wp:inline>
        </w:drawing>
      </w:r>
    </w:p>
    <w:p w14:paraId="369AB613" w14:textId="77777777" w:rsidR="00610AD2" w:rsidRDefault="00610AD2">
      <w:pPr>
        <w:rPr>
          <w:szCs w:val="20"/>
        </w:rPr>
      </w:pPr>
      <w:r>
        <w:rPr>
          <w:szCs w:val="20"/>
        </w:rPr>
        <w:br w:type="page"/>
      </w:r>
    </w:p>
    <w:p w14:paraId="7A7E3B6E" w14:textId="4EF54734" w:rsidR="005314F8" w:rsidRDefault="00610AD2" w:rsidP="00F13B9B">
      <w:pPr>
        <w:rPr>
          <w:szCs w:val="20"/>
        </w:rPr>
      </w:pPr>
      <w:r w:rsidRPr="00610AD2">
        <w:rPr>
          <w:noProof/>
          <w:szCs w:val="20"/>
        </w:rPr>
        <w:lastRenderedPageBreak/>
        <w:drawing>
          <wp:inline distT="0" distB="0" distL="0" distR="0" wp14:anchorId="1DCD0653" wp14:editId="386B41EA">
            <wp:extent cx="5943600" cy="2630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inline>
        </w:drawing>
      </w:r>
    </w:p>
    <w:p w14:paraId="2B7DA008" w14:textId="77777777" w:rsidR="006842AB" w:rsidRDefault="006842AB" w:rsidP="006842AB">
      <w:pPr>
        <w:rPr>
          <w:szCs w:val="20"/>
        </w:rPr>
      </w:pPr>
    </w:p>
    <w:p w14:paraId="0D712B40" w14:textId="77777777" w:rsidR="006842AB" w:rsidRDefault="006842AB" w:rsidP="006842AB">
      <w:pPr>
        <w:rPr>
          <w:szCs w:val="20"/>
        </w:rPr>
      </w:pPr>
    </w:p>
    <w:p w14:paraId="4994EFA5" w14:textId="77777777" w:rsidR="006842AB" w:rsidRDefault="006842AB" w:rsidP="006842AB">
      <w:pPr>
        <w:rPr>
          <w:szCs w:val="20"/>
        </w:rPr>
      </w:pPr>
    </w:p>
    <w:p w14:paraId="71BA6C06" w14:textId="77777777" w:rsidR="006842AB" w:rsidRDefault="006842AB" w:rsidP="006842AB">
      <w:pPr>
        <w:rPr>
          <w:szCs w:val="20"/>
        </w:rPr>
      </w:pPr>
    </w:p>
    <w:p w14:paraId="7D89DC40" w14:textId="77777777" w:rsidR="006842AB" w:rsidRDefault="006842AB">
      <w:pPr>
        <w:rPr>
          <w:szCs w:val="20"/>
        </w:rPr>
      </w:pPr>
      <w:r>
        <w:rPr>
          <w:szCs w:val="20"/>
        </w:rPr>
        <w:br w:type="page"/>
      </w:r>
    </w:p>
    <w:p w14:paraId="7ABCD802" w14:textId="17CF0F47" w:rsidR="00940227" w:rsidRDefault="00B03AF3" w:rsidP="006842AB">
      <w:pPr>
        <w:spacing w:line="480" w:lineRule="auto"/>
        <w:jc w:val="center"/>
        <w:rPr>
          <w:szCs w:val="20"/>
        </w:rPr>
      </w:pPr>
      <w:r>
        <w:rPr>
          <w:szCs w:val="20"/>
        </w:rPr>
        <w:lastRenderedPageBreak/>
        <w:t>Appendix K</w:t>
      </w:r>
    </w:p>
    <w:p w14:paraId="38F83D74" w14:textId="5D8A6DD0" w:rsidR="00037B43" w:rsidRDefault="00037B43" w:rsidP="006842AB">
      <w:pPr>
        <w:spacing w:line="480" w:lineRule="auto"/>
        <w:jc w:val="center"/>
        <w:rPr>
          <w:szCs w:val="20"/>
        </w:rPr>
      </w:pPr>
      <w:r w:rsidRPr="00D91D72">
        <w:t xml:space="preserve">Provider Protocol Compliance </w:t>
      </w:r>
    </w:p>
    <w:p w14:paraId="5AFACFF0" w14:textId="77777777" w:rsidR="00940227" w:rsidRDefault="00940227" w:rsidP="00940227">
      <w:pPr>
        <w:jc w:val="center"/>
        <w:rPr>
          <w:szCs w:val="20"/>
        </w:rPr>
      </w:pPr>
    </w:p>
    <w:p w14:paraId="56B5AE10" w14:textId="12E373A2" w:rsidR="00940227" w:rsidRDefault="00940227" w:rsidP="00940227">
      <w:pPr>
        <w:jc w:val="center"/>
        <w:rPr>
          <w:szCs w:val="20"/>
        </w:rPr>
      </w:pPr>
    </w:p>
    <w:p w14:paraId="3AD7BCD5" w14:textId="21C71148" w:rsidR="00940227" w:rsidRDefault="00940227" w:rsidP="00940227">
      <w:pPr>
        <w:jc w:val="center"/>
        <w:rPr>
          <w:szCs w:val="20"/>
        </w:rPr>
      </w:pPr>
      <w:r>
        <w:rPr>
          <w:noProof/>
          <w:szCs w:val="20"/>
        </w:rPr>
        <w:drawing>
          <wp:inline distT="0" distB="0" distL="0" distR="0" wp14:anchorId="0DC6D614" wp14:editId="0DEBBD9A">
            <wp:extent cx="4584700" cy="275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ekly Vitamin D Lab Ordering Compliance.jpg"/>
                    <pic:cNvPicPr/>
                  </pic:nvPicPr>
                  <pic:blipFill>
                    <a:blip r:embed="rId55"/>
                    <a:stretch>
                      <a:fillRect/>
                    </a:stretch>
                  </pic:blipFill>
                  <pic:spPr>
                    <a:xfrm>
                      <a:off x="0" y="0"/>
                      <a:ext cx="4584700" cy="2755900"/>
                    </a:xfrm>
                    <a:prstGeom prst="rect">
                      <a:avLst/>
                    </a:prstGeom>
                  </pic:spPr>
                </pic:pic>
              </a:graphicData>
            </a:graphic>
          </wp:inline>
        </w:drawing>
      </w:r>
    </w:p>
    <w:p w14:paraId="6CEEC202" w14:textId="77777777" w:rsidR="00940227" w:rsidRDefault="00940227" w:rsidP="00940227">
      <w:pPr>
        <w:jc w:val="center"/>
        <w:rPr>
          <w:szCs w:val="20"/>
        </w:rPr>
      </w:pPr>
    </w:p>
    <w:p w14:paraId="413B5CEF" w14:textId="04C60AB2" w:rsidR="00940227" w:rsidRDefault="00940227" w:rsidP="00940227">
      <w:pPr>
        <w:jc w:val="center"/>
        <w:rPr>
          <w:szCs w:val="20"/>
        </w:rPr>
      </w:pPr>
    </w:p>
    <w:p w14:paraId="3C94F46E" w14:textId="478099E9" w:rsidR="00940227" w:rsidRDefault="00940227" w:rsidP="00940227">
      <w:pPr>
        <w:jc w:val="center"/>
        <w:rPr>
          <w:szCs w:val="20"/>
        </w:rPr>
      </w:pPr>
    </w:p>
    <w:p w14:paraId="2B9D52E4" w14:textId="5FADAD33" w:rsidR="00940227" w:rsidRDefault="00940227" w:rsidP="00940227">
      <w:pPr>
        <w:jc w:val="center"/>
        <w:rPr>
          <w:szCs w:val="20"/>
        </w:rPr>
      </w:pPr>
      <w:r>
        <w:rPr>
          <w:noProof/>
          <w:szCs w:val="20"/>
        </w:rPr>
        <w:drawing>
          <wp:inline distT="0" distB="0" distL="0" distR="0" wp14:anchorId="36DFDD09" wp14:editId="49125758">
            <wp:extent cx="4584700" cy="275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tamin D Supplement Rx Compliance.jpg"/>
                    <pic:cNvPicPr/>
                  </pic:nvPicPr>
                  <pic:blipFill>
                    <a:blip r:embed="rId56"/>
                    <a:stretch>
                      <a:fillRect/>
                    </a:stretch>
                  </pic:blipFill>
                  <pic:spPr>
                    <a:xfrm>
                      <a:off x="0" y="0"/>
                      <a:ext cx="4584700" cy="2755900"/>
                    </a:xfrm>
                    <a:prstGeom prst="rect">
                      <a:avLst/>
                    </a:prstGeom>
                  </pic:spPr>
                </pic:pic>
              </a:graphicData>
            </a:graphic>
          </wp:inline>
        </w:drawing>
      </w:r>
    </w:p>
    <w:p w14:paraId="24DA5C63" w14:textId="3694D22A" w:rsidR="00940227" w:rsidRDefault="00940227" w:rsidP="00940227">
      <w:pPr>
        <w:jc w:val="center"/>
        <w:rPr>
          <w:szCs w:val="20"/>
        </w:rPr>
      </w:pPr>
    </w:p>
    <w:p w14:paraId="064F61C3" w14:textId="2E663AC6" w:rsidR="00940227" w:rsidRDefault="00940227" w:rsidP="00940227">
      <w:pPr>
        <w:jc w:val="center"/>
        <w:rPr>
          <w:szCs w:val="20"/>
        </w:rPr>
      </w:pPr>
    </w:p>
    <w:p w14:paraId="22E99BF7" w14:textId="27BF4B7C" w:rsidR="00940227" w:rsidRDefault="00940227" w:rsidP="00940227">
      <w:pPr>
        <w:jc w:val="center"/>
        <w:rPr>
          <w:szCs w:val="20"/>
        </w:rPr>
      </w:pPr>
    </w:p>
    <w:p w14:paraId="2E7E16A1" w14:textId="35D3C18A" w:rsidR="00940227" w:rsidRDefault="00940227" w:rsidP="00940227">
      <w:pPr>
        <w:jc w:val="center"/>
        <w:rPr>
          <w:szCs w:val="20"/>
        </w:rPr>
      </w:pPr>
    </w:p>
    <w:p w14:paraId="17B49B02" w14:textId="06AB6755" w:rsidR="00940227" w:rsidRDefault="00940227" w:rsidP="00940227">
      <w:pPr>
        <w:jc w:val="center"/>
        <w:rPr>
          <w:szCs w:val="20"/>
        </w:rPr>
      </w:pPr>
    </w:p>
    <w:p w14:paraId="17DBBB39" w14:textId="5D688245" w:rsidR="00940227" w:rsidRPr="00F13B9B" w:rsidRDefault="00940227" w:rsidP="00C951E5">
      <w:pPr>
        <w:rPr>
          <w:szCs w:val="20"/>
        </w:rPr>
      </w:pPr>
    </w:p>
    <w:sectPr w:rsidR="00940227" w:rsidRPr="00F13B9B" w:rsidSect="0014356D">
      <w:headerReference w:type="even" r:id="rId57"/>
      <w:headerReference w:type="default" r:id="rId58"/>
      <w:footerReference w:type="default" r:id="rId5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F810E" w14:textId="77777777" w:rsidR="00BA4D0A" w:rsidRDefault="00BA4D0A">
      <w:r>
        <w:separator/>
      </w:r>
    </w:p>
  </w:endnote>
  <w:endnote w:type="continuationSeparator" w:id="0">
    <w:p w14:paraId="18655B14" w14:textId="77777777" w:rsidR="00BA4D0A" w:rsidRDefault="00BA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ewsGothicB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00BA4D0A" w14:paraId="32E9BBE5" w14:textId="77777777" w:rsidTr="6AB64178">
      <w:tc>
        <w:tcPr>
          <w:tcW w:w="3120" w:type="dxa"/>
        </w:tcPr>
        <w:p w14:paraId="248BEDB3" w14:textId="471855DF" w:rsidR="00BA4D0A" w:rsidRDefault="00BA4D0A" w:rsidP="6AB64178">
          <w:pPr>
            <w:pStyle w:val="Header"/>
            <w:ind w:left="-115"/>
          </w:pPr>
        </w:p>
      </w:tc>
      <w:tc>
        <w:tcPr>
          <w:tcW w:w="3120" w:type="dxa"/>
        </w:tcPr>
        <w:p w14:paraId="0199557B" w14:textId="26E19B9F" w:rsidR="00BA4D0A" w:rsidRDefault="00BA4D0A" w:rsidP="6AB64178">
          <w:pPr>
            <w:pStyle w:val="Header"/>
            <w:jc w:val="center"/>
          </w:pPr>
        </w:p>
      </w:tc>
      <w:tc>
        <w:tcPr>
          <w:tcW w:w="3120" w:type="dxa"/>
        </w:tcPr>
        <w:p w14:paraId="498B249C" w14:textId="01FEFBF9" w:rsidR="00BA4D0A" w:rsidRDefault="00BA4D0A" w:rsidP="6AB64178">
          <w:pPr>
            <w:pStyle w:val="Header"/>
            <w:ind w:right="-115"/>
            <w:jc w:val="right"/>
          </w:pPr>
        </w:p>
      </w:tc>
    </w:tr>
  </w:tbl>
  <w:p w14:paraId="4A1611A3" w14:textId="5A2D7D1D" w:rsidR="00BA4D0A" w:rsidRDefault="00BA4D0A" w:rsidP="6AB64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EFB2F" w14:textId="77777777" w:rsidR="00BA4D0A" w:rsidRDefault="00BA4D0A">
      <w:r>
        <w:separator/>
      </w:r>
    </w:p>
  </w:footnote>
  <w:footnote w:type="continuationSeparator" w:id="0">
    <w:p w14:paraId="6E4A92BB" w14:textId="77777777" w:rsidR="00BA4D0A" w:rsidRDefault="00BA4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95601738"/>
      <w:docPartObj>
        <w:docPartGallery w:val="Page Numbers (Top of Page)"/>
        <w:docPartUnique/>
      </w:docPartObj>
    </w:sdtPr>
    <w:sdtContent>
      <w:p w14:paraId="465E5136" w14:textId="5D662B2B" w:rsidR="00BA4D0A" w:rsidRDefault="00BA4D0A" w:rsidP="009334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71D752" w14:textId="77777777" w:rsidR="00BA4D0A" w:rsidRDefault="00BA4D0A" w:rsidP="00204E7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37097541"/>
      <w:docPartObj>
        <w:docPartGallery w:val="Page Numbers (Top of Page)"/>
        <w:docPartUnique/>
      </w:docPartObj>
    </w:sdtPr>
    <w:sdtContent>
      <w:p w14:paraId="4A3DA8A1" w14:textId="57F763AC" w:rsidR="00BA4D0A" w:rsidRDefault="00BA4D0A" w:rsidP="009334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411B6">
          <w:rPr>
            <w:rStyle w:val="PageNumber"/>
            <w:noProof/>
          </w:rPr>
          <w:t>21</w:t>
        </w:r>
        <w:r>
          <w:rPr>
            <w:rStyle w:val="PageNumber"/>
          </w:rPr>
          <w:fldChar w:fldCharType="end"/>
        </w:r>
      </w:p>
    </w:sdtContent>
  </w:sdt>
  <w:p w14:paraId="773BBFE5" w14:textId="77777777" w:rsidR="00BA4D0A" w:rsidRDefault="00BA4D0A" w:rsidP="00204E7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02F0"/>
    <w:multiLevelType w:val="multilevel"/>
    <w:tmpl w:val="CDBE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B1E90"/>
    <w:multiLevelType w:val="hybridMultilevel"/>
    <w:tmpl w:val="7FDC9136"/>
    <w:lvl w:ilvl="0" w:tplc="5A7474F2">
      <w:start w:val="1"/>
      <w:numFmt w:val="bullet"/>
      <w:lvlText w:val=""/>
      <w:lvlJc w:val="left"/>
      <w:pPr>
        <w:ind w:left="720" w:hanging="360"/>
      </w:pPr>
      <w:rPr>
        <w:rFonts w:ascii="Symbol" w:hAnsi="Symbol" w:hint="default"/>
      </w:rPr>
    </w:lvl>
    <w:lvl w:ilvl="1" w:tplc="022CBD5A">
      <w:start w:val="1"/>
      <w:numFmt w:val="bullet"/>
      <w:lvlText w:val="o"/>
      <w:lvlJc w:val="left"/>
      <w:pPr>
        <w:ind w:left="1440" w:hanging="360"/>
      </w:pPr>
      <w:rPr>
        <w:rFonts w:ascii="Courier New" w:hAnsi="Courier New" w:hint="default"/>
      </w:rPr>
    </w:lvl>
    <w:lvl w:ilvl="2" w:tplc="A1305E92">
      <w:start w:val="1"/>
      <w:numFmt w:val="bullet"/>
      <w:lvlText w:val=""/>
      <w:lvlJc w:val="left"/>
      <w:pPr>
        <w:ind w:left="2160" w:hanging="360"/>
      </w:pPr>
      <w:rPr>
        <w:rFonts w:ascii="Wingdings" w:hAnsi="Wingdings" w:hint="default"/>
      </w:rPr>
    </w:lvl>
    <w:lvl w:ilvl="3" w:tplc="933831BE">
      <w:start w:val="1"/>
      <w:numFmt w:val="bullet"/>
      <w:lvlText w:val=""/>
      <w:lvlJc w:val="left"/>
      <w:pPr>
        <w:ind w:left="2880" w:hanging="360"/>
      </w:pPr>
      <w:rPr>
        <w:rFonts w:ascii="Symbol" w:hAnsi="Symbol" w:hint="default"/>
      </w:rPr>
    </w:lvl>
    <w:lvl w:ilvl="4" w:tplc="D330725C">
      <w:start w:val="1"/>
      <w:numFmt w:val="bullet"/>
      <w:lvlText w:val="o"/>
      <w:lvlJc w:val="left"/>
      <w:pPr>
        <w:ind w:left="3600" w:hanging="360"/>
      </w:pPr>
      <w:rPr>
        <w:rFonts w:ascii="Courier New" w:hAnsi="Courier New" w:hint="default"/>
      </w:rPr>
    </w:lvl>
    <w:lvl w:ilvl="5" w:tplc="C974E340">
      <w:start w:val="1"/>
      <w:numFmt w:val="bullet"/>
      <w:lvlText w:val=""/>
      <w:lvlJc w:val="left"/>
      <w:pPr>
        <w:ind w:left="4320" w:hanging="360"/>
      </w:pPr>
      <w:rPr>
        <w:rFonts w:ascii="Wingdings" w:hAnsi="Wingdings" w:hint="default"/>
      </w:rPr>
    </w:lvl>
    <w:lvl w:ilvl="6" w:tplc="C4300292">
      <w:start w:val="1"/>
      <w:numFmt w:val="bullet"/>
      <w:lvlText w:val=""/>
      <w:lvlJc w:val="left"/>
      <w:pPr>
        <w:ind w:left="5040" w:hanging="360"/>
      </w:pPr>
      <w:rPr>
        <w:rFonts w:ascii="Symbol" w:hAnsi="Symbol" w:hint="default"/>
      </w:rPr>
    </w:lvl>
    <w:lvl w:ilvl="7" w:tplc="0782863E">
      <w:start w:val="1"/>
      <w:numFmt w:val="bullet"/>
      <w:lvlText w:val="o"/>
      <w:lvlJc w:val="left"/>
      <w:pPr>
        <w:ind w:left="5760" w:hanging="360"/>
      </w:pPr>
      <w:rPr>
        <w:rFonts w:ascii="Courier New" w:hAnsi="Courier New" w:hint="default"/>
      </w:rPr>
    </w:lvl>
    <w:lvl w:ilvl="8" w:tplc="9800D928">
      <w:start w:val="1"/>
      <w:numFmt w:val="bullet"/>
      <w:lvlText w:val=""/>
      <w:lvlJc w:val="left"/>
      <w:pPr>
        <w:ind w:left="6480" w:hanging="360"/>
      </w:pPr>
      <w:rPr>
        <w:rFonts w:ascii="Wingdings" w:hAnsi="Wingdings" w:hint="default"/>
      </w:rPr>
    </w:lvl>
  </w:abstractNum>
  <w:abstractNum w:abstractNumId="2">
    <w:nsid w:val="06644E58"/>
    <w:multiLevelType w:val="hybridMultilevel"/>
    <w:tmpl w:val="90AC9DE0"/>
    <w:lvl w:ilvl="0" w:tplc="28082D62">
      <w:start w:val="1"/>
      <w:numFmt w:val="bullet"/>
      <w:lvlText w:val=""/>
      <w:lvlJc w:val="left"/>
      <w:pPr>
        <w:ind w:left="720" w:hanging="360"/>
      </w:pPr>
      <w:rPr>
        <w:rFonts w:ascii="Symbol" w:hAnsi="Symbol" w:hint="default"/>
      </w:rPr>
    </w:lvl>
    <w:lvl w:ilvl="1" w:tplc="53D0B0A4">
      <w:start w:val="1"/>
      <w:numFmt w:val="bullet"/>
      <w:lvlText w:val="o"/>
      <w:lvlJc w:val="left"/>
      <w:pPr>
        <w:ind w:left="1440" w:hanging="360"/>
      </w:pPr>
      <w:rPr>
        <w:rFonts w:ascii="Courier New" w:hAnsi="Courier New" w:hint="default"/>
      </w:rPr>
    </w:lvl>
    <w:lvl w:ilvl="2" w:tplc="0C1601D8">
      <w:start w:val="1"/>
      <w:numFmt w:val="bullet"/>
      <w:lvlText w:val=""/>
      <w:lvlJc w:val="left"/>
      <w:pPr>
        <w:ind w:left="2160" w:hanging="360"/>
      </w:pPr>
      <w:rPr>
        <w:rFonts w:ascii="Wingdings" w:hAnsi="Wingdings" w:hint="default"/>
      </w:rPr>
    </w:lvl>
    <w:lvl w:ilvl="3" w:tplc="2BE08E7E">
      <w:start w:val="1"/>
      <w:numFmt w:val="bullet"/>
      <w:lvlText w:val=""/>
      <w:lvlJc w:val="left"/>
      <w:pPr>
        <w:ind w:left="2880" w:hanging="360"/>
      </w:pPr>
      <w:rPr>
        <w:rFonts w:ascii="Symbol" w:hAnsi="Symbol" w:hint="default"/>
      </w:rPr>
    </w:lvl>
    <w:lvl w:ilvl="4" w:tplc="030065A2">
      <w:start w:val="1"/>
      <w:numFmt w:val="bullet"/>
      <w:lvlText w:val="o"/>
      <w:lvlJc w:val="left"/>
      <w:pPr>
        <w:ind w:left="3600" w:hanging="360"/>
      </w:pPr>
      <w:rPr>
        <w:rFonts w:ascii="Courier New" w:hAnsi="Courier New" w:hint="default"/>
      </w:rPr>
    </w:lvl>
    <w:lvl w:ilvl="5" w:tplc="885E1A2C">
      <w:start w:val="1"/>
      <w:numFmt w:val="bullet"/>
      <w:lvlText w:val=""/>
      <w:lvlJc w:val="left"/>
      <w:pPr>
        <w:ind w:left="4320" w:hanging="360"/>
      </w:pPr>
      <w:rPr>
        <w:rFonts w:ascii="Wingdings" w:hAnsi="Wingdings" w:hint="default"/>
      </w:rPr>
    </w:lvl>
    <w:lvl w:ilvl="6" w:tplc="86C00034">
      <w:start w:val="1"/>
      <w:numFmt w:val="bullet"/>
      <w:lvlText w:val=""/>
      <w:lvlJc w:val="left"/>
      <w:pPr>
        <w:ind w:left="5040" w:hanging="360"/>
      </w:pPr>
      <w:rPr>
        <w:rFonts w:ascii="Symbol" w:hAnsi="Symbol" w:hint="default"/>
      </w:rPr>
    </w:lvl>
    <w:lvl w:ilvl="7" w:tplc="47642BB0">
      <w:start w:val="1"/>
      <w:numFmt w:val="bullet"/>
      <w:lvlText w:val="o"/>
      <w:lvlJc w:val="left"/>
      <w:pPr>
        <w:ind w:left="5760" w:hanging="360"/>
      </w:pPr>
      <w:rPr>
        <w:rFonts w:ascii="Courier New" w:hAnsi="Courier New" w:hint="default"/>
      </w:rPr>
    </w:lvl>
    <w:lvl w:ilvl="8" w:tplc="487C0F06">
      <w:start w:val="1"/>
      <w:numFmt w:val="bullet"/>
      <w:lvlText w:val=""/>
      <w:lvlJc w:val="left"/>
      <w:pPr>
        <w:ind w:left="6480" w:hanging="360"/>
      </w:pPr>
      <w:rPr>
        <w:rFonts w:ascii="Wingdings" w:hAnsi="Wingdings" w:hint="default"/>
      </w:rPr>
    </w:lvl>
  </w:abstractNum>
  <w:abstractNum w:abstractNumId="3">
    <w:nsid w:val="07B259B3"/>
    <w:multiLevelType w:val="hybridMultilevel"/>
    <w:tmpl w:val="030427B8"/>
    <w:lvl w:ilvl="0" w:tplc="1D5A8AC4">
      <w:start w:val="1"/>
      <w:numFmt w:val="bullet"/>
      <w:lvlText w:val=""/>
      <w:lvlJc w:val="left"/>
      <w:pPr>
        <w:ind w:left="720" w:hanging="360"/>
      </w:pPr>
      <w:rPr>
        <w:rFonts w:ascii="Symbol" w:hAnsi="Symbol" w:hint="default"/>
      </w:rPr>
    </w:lvl>
    <w:lvl w:ilvl="1" w:tplc="0C2AF2E4">
      <w:start w:val="1"/>
      <w:numFmt w:val="bullet"/>
      <w:lvlText w:val="o"/>
      <w:lvlJc w:val="left"/>
      <w:pPr>
        <w:ind w:left="1440" w:hanging="360"/>
      </w:pPr>
      <w:rPr>
        <w:rFonts w:ascii="Courier New" w:hAnsi="Courier New" w:hint="default"/>
      </w:rPr>
    </w:lvl>
    <w:lvl w:ilvl="2" w:tplc="A572A4BA">
      <w:start w:val="1"/>
      <w:numFmt w:val="bullet"/>
      <w:lvlText w:val=""/>
      <w:lvlJc w:val="left"/>
      <w:pPr>
        <w:ind w:left="2160" w:hanging="360"/>
      </w:pPr>
      <w:rPr>
        <w:rFonts w:ascii="Wingdings" w:hAnsi="Wingdings" w:hint="default"/>
      </w:rPr>
    </w:lvl>
    <w:lvl w:ilvl="3" w:tplc="274290BA">
      <w:start w:val="1"/>
      <w:numFmt w:val="bullet"/>
      <w:lvlText w:val=""/>
      <w:lvlJc w:val="left"/>
      <w:pPr>
        <w:ind w:left="2880" w:hanging="360"/>
      </w:pPr>
      <w:rPr>
        <w:rFonts w:ascii="Symbol" w:hAnsi="Symbol" w:hint="default"/>
      </w:rPr>
    </w:lvl>
    <w:lvl w:ilvl="4" w:tplc="D1F082FA">
      <w:start w:val="1"/>
      <w:numFmt w:val="bullet"/>
      <w:lvlText w:val="o"/>
      <w:lvlJc w:val="left"/>
      <w:pPr>
        <w:ind w:left="3600" w:hanging="360"/>
      </w:pPr>
      <w:rPr>
        <w:rFonts w:ascii="Courier New" w:hAnsi="Courier New" w:hint="default"/>
      </w:rPr>
    </w:lvl>
    <w:lvl w:ilvl="5" w:tplc="36B045C6">
      <w:start w:val="1"/>
      <w:numFmt w:val="bullet"/>
      <w:lvlText w:val=""/>
      <w:lvlJc w:val="left"/>
      <w:pPr>
        <w:ind w:left="4320" w:hanging="360"/>
      </w:pPr>
      <w:rPr>
        <w:rFonts w:ascii="Wingdings" w:hAnsi="Wingdings" w:hint="default"/>
      </w:rPr>
    </w:lvl>
    <w:lvl w:ilvl="6" w:tplc="4D4CE502">
      <w:start w:val="1"/>
      <w:numFmt w:val="bullet"/>
      <w:lvlText w:val=""/>
      <w:lvlJc w:val="left"/>
      <w:pPr>
        <w:ind w:left="5040" w:hanging="360"/>
      </w:pPr>
      <w:rPr>
        <w:rFonts w:ascii="Symbol" w:hAnsi="Symbol" w:hint="default"/>
      </w:rPr>
    </w:lvl>
    <w:lvl w:ilvl="7" w:tplc="390E15EC">
      <w:start w:val="1"/>
      <w:numFmt w:val="bullet"/>
      <w:lvlText w:val="o"/>
      <w:lvlJc w:val="left"/>
      <w:pPr>
        <w:ind w:left="5760" w:hanging="360"/>
      </w:pPr>
      <w:rPr>
        <w:rFonts w:ascii="Courier New" w:hAnsi="Courier New" w:hint="default"/>
      </w:rPr>
    </w:lvl>
    <w:lvl w:ilvl="8" w:tplc="69D23FAC">
      <w:start w:val="1"/>
      <w:numFmt w:val="bullet"/>
      <w:lvlText w:val=""/>
      <w:lvlJc w:val="left"/>
      <w:pPr>
        <w:ind w:left="6480" w:hanging="360"/>
      </w:pPr>
      <w:rPr>
        <w:rFonts w:ascii="Wingdings" w:hAnsi="Wingdings" w:hint="default"/>
      </w:rPr>
    </w:lvl>
  </w:abstractNum>
  <w:abstractNum w:abstractNumId="4">
    <w:nsid w:val="08DC06BC"/>
    <w:multiLevelType w:val="hybridMultilevel"/>
    <w:tmpl w:val="052CA290"/>
    <w:lvl w:ilvl="0" w:tplc="DED4EC5C">
      <w:start w:val="1"/>
      <w:numFmt w:val="decimal"/>
      <w:lvlText w:val="%1."/>
      <w:lvlJc w:val="left"/>
      <w:pPr>
        <w:ind w:left="720" w:hanging="360"/>
      </w:pPr>
    </w:lvl>
    <w:lvl w:ilvl="1" w:tplc="114C0018">
      <w:start w:val="1"/>
      <w:numFmt w:val="lowerLetter"/>
      <w:lvlText w:val="%2."/>
      <w:lvlJc w:val="left"/>
      <w:pPr>
        <w:ind w:left="1440" w:hanging="360"/>
      </w:pPr>
    </w:lvl>
    <w:lvl w:ilvl="2" w:tplc="FE5A7426">
      <w:start w:val="1"/>
      <w:numFmt w:val="lowerRoman"/>
      <w:lvlText w:val="%3."/>
      <w:lvlJc w:val="right"/>
      <w:pPr>
        <w:ind w:left="2160" w:hanging="180"/>
      </w:pPr>
    </w:lvl>
    <w:lvl w:ilvl="3" w:tplc="59322AD8">
      <w:start w:val="1"/>
      <w:numFmt w:val="decimal"/>
      <w:lvlText w:val="%4."/>
      <w:lvlJc w:val="left"/>
      <w:pPr>
        <w:ind w:left="2880" w:hanging="360"/>
      </w:pPr>
    </w:lvl>
    <w:lvl w:ilvl="4" w:tplc="03820D4C">
      <w:start w:val="1"/>
      <w:numFmt w:val="lowerLetter"/>
      <w:lvlText w:val="%5."/>
      <w:lvlJc w:val="left"/>
      <w:pPr>
        <w:ind w:left="3600" w:hanging="360"/>
      </w:pPr>
    </w:lvl>
    <w:lvl w:ilvl="5" w:tplc="96B2CA00">
      <w:start w:val="1"/>
      <w:numFmt w:val="lowerRoman"/>
      <w:lvlText w:val="%6."/>
      <w:lvlJc w:val="right"/>
      <w:pPr>
        <w:ind w:left="4320" w:hanging="180"/>
      </w:pPr>
    </w:lvl>
    <w:lvl w:ilvl="6" w:tplc="F6001922">
      <w:start w:val="1"/>
      <w:numFmt w:val="decimal"/>
      <w:lvlText w:val="%7."/>
      <w:lvlJc w:val="left"/>
      <w:pPr>
        <w:ind w:left="5040" w:hanging="360"/>
      </w:pPr>
    </w:lvl>
    <w:lvl w:ilvl="7" w:tplc="9D90248E">
      <w:start w:val="1"/>
      <w:numFmt w:val="lowerLetter"/>
      <w:lvlText w:val="%8."/>
      <w:lvlJc w:val="left"/>
      <w:pPr>
        <w:ind w:left="5760" w:hanging="360"/>
      </w:pPr>
    </w:lvl>
    <w:lvl w:ilvl="8" w:tplc="AB568306">
      <w:start w:val="1"/>
      <w:numFmt w:val="lowerRoman"/>
      <w:lvlText w:val="%9."/>
      <w:lvlJc w:val="right"/>
      <w:pPr>
        <w:ind w:left="6480" w:hanging="180"/>
      </w:pPr>
    </w:lvl>
  </w:abstractNum>
  <w:abstractNum w:abstractNumId="5">
    <w:nsid w:val="08F70ECE"/>
    <w:multiLevelType w:val="hybridMultilevel"/>
    <w:tmpl w:val="9EAEE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4A71CF"/>
    <w:multiLevelType w:val="multilevel"/>
    <w:tmpl w:val="BE2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A62FC"/>
    <w:multiLevelType w:val="hybridMultilevel"/>
    <w:tmpl w:val="7A5C9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A05F8"/>
    <w:multiLevelType w:val="hybridMultilevel"/>
    <w:tmpl w:val="6FAC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56076"/>
    <w:multiLevelType w:val="hybridMultilevel"/>
    <w:tmpl w:val="C3C618B6"/>
    <w:lvl w:ilvl="0" w:tplc="793A22D0">
      <w:start w:val="1"/>
      <w:numFmt w:val="decimal"/>
      <w:lvlText w:val="%1."/>
      <w:lvlJc w:val="left"/>
      <w:pPr>
        <w:ind w:left="720" w:hanging="360"/>
      </w:pPr>
    </w:lvl>
    <w:lvl w:ilvl="1" w:tplc="E6665FC4">
      <w:start w:val="1"/>
      <w:numFmt w:val="lowerLetter"/>
      <w:lvlText w:val="%2."/>
      <w:lvlJc w:val="left"/>
      <w:pPr>
        <w:ind w:left="1440" w:hanging="360"/>
      </w:pPr>
    </w:lvl>
    <w:lvl w:ilvl="2" w:tplc="4346385A">
      <w:start w:val="1"/>
      <w:numFmt w:val="lowerRoman"/>
      <w:lvlText w:val="%3."/>
      <w:lvlJc w:val="right"/>
      <w:pPr>
        <w:ind w:left="2160" w:hanging="180"/>
      </w:pPr>
    </w:lvl>
    <w:lvl w:ilvl="3" w:tplc="5FC8F400">
      <w:start w:val="1"/>
      <w:numFmt w:val="decimal"/>
      <w:lvlText w:val="%4."/>
      <w:lvlJc w:val="left"/>
      <w:pPr>
        <w:ind w:left="2880" w:hanging="360"/>
      </w:pPr>
    </w:lvl>
    <w:lvl w:ilvl="4" w:tplc="267A9D62">
      <w:start w:val="1"/>
      <w:numFmt w:val="lowerLetter"/>
      <w:lvlText w:val="%5."/>
      <w:lvlJc w:val="left"/>
      <w:pPr>
        <w:ind w:left="3600" w:hanging="360"/>
      </w:pPr>
    </w:lvl>
    <w:lvl w:ilvl="5" w:tplc="5ED47594">
      <w:start w:val="1"/>
      <w:numFmt w:val="lowerRoman"/>
      <w:lvlText w:val="%6."/>
      <w:lvlJc w:val="right"/>
      <w:pPr>
        <w:ind w:left="4320" w:hanging="180"/>
      </w:pPr>
    </w:lvl>
    <w:lvl w:ilvl="6" w:tplc="4CAA88A8">
      <w:start w:val="1"/>
      <w:numFmt w:val="decimal"/>
      <w:lvlText w:val="%7."/>
      <w:lvlJc w:val="left"/>
      <w:pPr>
        <w:ind w:left="5040" w:hanging="360"/>
      </w:pPr>
    </w:lvl>
    <w:lvl w:ilvl="7" w:tplc="F50C4E36">
      <w:start w:val="1"/>
      <w:numFmt w:val="lowerLetter"/>
      <w:lvlText w:val="%8."/>
      <w:lvlJc w:val="left"/>
      <w:pPr>
        <w:ind w:left="5760" w:hanging="360"/>
      </w:pPr>
    </w:lvl>
    <w:lvl w:ilvl="8" w:tplc="D116BD4A">
      <w:start w:val="1"/>
      <w:numFmt w:val="lowerRoman"/>
      <w:lvlText w:val="%9."/>
      <w:lvlJc w:val="right"/>
      <w:pPr>
        <w:ind w:left="6480" w:hanging="180"/>
      </w:pPr>
    </w:lvl>
  </w:abstractNum>
  <w:abstractNum w:abstractNumId="10">
    <w:nsid w:val="0D2200EE"/>
    <w:multiLevelType w:val="hybridMultilevel"/>
    <w:tmpl w:val="A69C4594"/>
    <w:lvl w:ilvl="0" w:tplc="970E86AC">
      <w:start w:val="1"/>
      <w:numFmt w:val="decimal"/>
      <w:lvlText w:val="%1."/>
      <w:lvlJc w:val="left"/>
      <w:pPr>
        <w:ind w:left="720" w:hanging="360"/>
      </w:pPr>
    </w:lvl>
    <w:lvl w:ilvl="1" w:tplc="E06C2A8A">
      <w:start w:val="1"/>
      <w:numFmt w:val="lowerLetter"/>
      <w:lvlText w:val="%2."/>
      <w:lvlJc w:val="left"/>
      <w:pPr>
        <w:ind w:left="1440" w:hanging="360"/>
      </w:pPr>
    </w:lvl>
    <w:lvl w:ilvl="2" w:tplc="43322B5A">
      <w:start w:val="1"/>
      <w:numFmt w:val="lowerRoman"/>
      <w:lvlText w:val="%3."/>
      <w:lvlJc w:val="right"/>
      <w:pPr>
        <w:ind w:left="2160" w:hanging="180"/>
      </w:pPr>
    </w:lvl>
    <w:lvl w:ilvl="3" w:tplc="A8345FC8">
      <w:start w:val="1"/>
      <w:numFmt w:val="decimal"/>
      <w:lvlText w:val="%4."/>
      <w:lvlJc w:val="left"/>
      <w:pPr>
        <w:ind w:left="2880" w:hanging="360"/>
      </w:pPr>
    </w:lvl>
    <w:lvl w:ilvl="4" w:tplc="D09CAA18">
      <w:start w:val="1"/>
      <w:numFmt w:val="lowerLetter"/>
      <w:lvlText w:val="%5."/>
      <w:lvlJc w:val="left"/>
      <w:pPr>
        <w:ind w:left="3600" w:hanging="360"/>
      </w:pPr>
    </w:lvl>
    <w:lvl w:ilvl="5" w:tplc="C6C2BE4C">
      <w:start w:val="1"/>
      <w:numFmt w:val="lowerRoman"/>
      <w:lvlText w:val="%6."/>
      <w:lvlJc w:val="right"/>
      <w:pPr>
        <w:ind w:left="4320" w:hanging="180"/>
      </w:pPr>
    </w:lvl>
    <w:lvl w:ilvl="6" w:tplc="EF589592">
      <w:start w:val="1"/>
      <w:numFmt w:val="decimal"/>
      <w:lvlText w:val="%7."/>
      <w:lvlJc w:val="left"/>
      <w:pPr>
        <w:ind w:left="5040" w:hanging="360"/>
      </w:pPr>
    </w:lvl>
    <w:lvl w:ilvl="7" w:tplc="81EA8766">
      <w:start w:val="1"/>
      <w:numFmt w:val="lowerLetter"/>
      <w:lvlText w:val="%8."/>
      <w:lvlJc w:val="left"/>
      <w:pPr>
        <w:ind w:left="5760" w:hanging="360"/>
      </w:pPr>
    </w:lvl>
    <w:lvl w:ilvl="8" w:tplc="C7F21F08">
      <w:start w:val="1"/>
      <w:numFmt w:val="lowerRoman"/>
      <w:lvlText w:val="%9."/>
      <w:lvlJc w:val="right"/>
      <w:pPr>
        <w:ind w:left="6480" w:hanging="180"/>
      </w:pPr>
    </w:lvl>
  </w:abstractNum>
  <w:abstractNum w:abstractNumId="11">
    <w:nsid w:val="0E0871EA"/>
    <w:multiLevelType w:val="hybridMultilevel"/>
    <w:tmpl w:val="DA74498C"/>
    <w:lvl w:ilvl="0" w:tplc="E2988B92">
      <w:start w:val="1"/>
      <w:numFmt w:val="decimal"/>
      <w:lvlText w:val="%1."/>
      <w:lvlJc w:val="left"/>
      <w:pPr>
        <w:ind w:left="720" w:hanging="360"/>
      </w:pPr>
    </w:lvl>
    <w:lvl w:ilvl="1" w:tplc="DA243874">
      <w:start w:val="1"/>
      <w:numFmt w:val="lowerLetter"/>
      <w:lvlText w:val="%2."/>
      <w:lvlJc w:val="left"/>
      <w:pPr>
        <w:ind w:left="1440" w:hanging="360"/>
      </w:pPr>
    </w:lvl>
    <w:lvl w:ilvl="2" w:tplc="476C6118">
      <w:start w:val="1"/>
      <w:numFmt w:val="lowerRoman"/>
      <w:lvlText w:val="%3."/>
      <w:lvlJc w:val="right"/>
      <w:pPr>
        <w:ind w:left="2160" w:hanging="180"/>
      </w:pPr>
    </w:lvl>
    <w:lvl w:ilvl="3" w:tplc="3C7A809E">
      <w:start w:val="1"/>
      <w:numFmt w:val="decimal"/>
      <w:lvlText w:val="%4."/>
      <w:lvlJc w:val="left"/>
      <w:pPr>
        <w:ind w:left="2880" w:hanging="360"/>
      </w:pPr>
    </w:lvl>
    <w:lvl w:ilvl="4" w:tplc="BB52D14A">
      <w:start w:val="1"/>
      <w:numFmt w:val="lowerLetter"/>
      <w:lvlText w:val="%5."/>
      <w:lvlJc w:val="left"/>
      <w:pPr>
        <w:ind w:left="3600" w:hanging="360"/>
      </w:pPr>
    </w:lvl>
    <w:lvl w:ilvl="5" w:tplc="ABFA066C">
      <w:start w:val="1"/>
      <w:numFmt w:val="lowerRoman"/>
      <w:lvlText w:val="%6."/>
      <w:lvlJc w:val="right"/>
      <w:pPr>
        <w:ind w:left="4320" w:hanging="180"/>
      </w:pPr>
    </w:lvl>
    <w:lvl w:ilvl="6" w:tplc="971C7522">
      <w:start w:val="1"/>
      <w:numFmt w:val="decimal"/>
      <w:lvlText w:val="%7."/>
      <w:lvlJc w:val="left"/>
      <w:pPr>
        <w:ind w:left="5040" w:hanging="360"/>
      </w:pPr>
    </w:lvl>
    <w:lvl w:ilvl="7" w:tplc="35E84C54">
      <w:start w:val="1"/>
      <w:numFmt w:val="lowerLetter"/>
      <w:lvlText w:val="%8."/>
      <w:lvlJc w:val="left"/>
      <w:pPr>
        <w:ind w:left="5760" w:hanging="360"/>
      </w:pPr>
    </w:lvl>
    <w:lvl w:ilvl="8" w:tplc="879C0046">
      <w:start w:val="1"/>
      <w:numFmt w:val="lowerRoman"/>
      <w:lvlText w:val="%9."/>
      <w:lvlJc w:val="right"/>
      <w:pPr>
        <w:ind w:left="6480" w:hanging="180"/>
      </w:pPr>
    </w:lvl>
  </w:abstractNum>
  <w:abstractNum w:abstractNumId="12">
    <w:nsid w:val="10D01CCF"/>
    <w:multiLevelType w:val="hybridMultilevel"/>
    <w:tmpl w:val="B31EF280"/>
    <w:lvl w:ilvl="0" w:tplc="A86A6780">
      <w:start w:val="1"/>
      <w:numFmt w:val="bullet"/>
      <w:lvlText w:val=""/>
      <w:lvlJc w:val="left"/>
      <w:pPr>
        <w:ind w:left="720" w:hanging="360"/>
      </w:pPr>
      <w:rPr>
        <w:rFonts w:ascii="Symbol" w:hAnsi="Symbol" w:hint="default"/>
      </w:rPr>
    </w:lvl>
    <w:lvl w:ilvl="1" w:tplc="1A7EC326">
      <w:start w:val="1"/>
      <w:numFmt w:val="bullet"/>
      <w:lvlText w:val="o"/>
      <w:lvlJc w:val="left"/>
      <w:pPr>
        <w:ind w:left="1440" w:hanging="360"/>
      </w:pPr>
      <w:rPr>
        <w:rFonts w:ascii="Courier New" w:hAnsi="Courier New" w:hint="default"/>
      </w:rPr>
    </w:lvl>
    <w:lvl w:ilvl="2" w:tplc="1018D97C">
      <w:start w:val="1"/>
      <w:numFmt w:val="bullet"/>
      <w:lvlText w:val=""/>
      <w:lvlJc w:val="left"/>
      <w:pPr>
        <w:ind w:left="2160" w:hanging="360"/>
      </w:pPr>
      <w:rPr>
        <w:rFonts w:ascii="Wingdings" w:hAnsi="Wingdings" w:hint="default"/>
      </w:rPr>
    </w:lvl>
    <w:lvl w:ilvl="3" w:tplc="1CCC0BFE">
      <w:start w:val="1"/>
      <w:numFmt w:val="bullet"/>
      <w:lvlText w:val=""/>
      <w:lvlJc w:val="left"/>
      <w:pPr>
        <w:ind w:left="2880" w:hanging="360"/>
      </w:pPr>
      <w:rPr>
        <w:rFonts w:ascii="Symbol" w:hAnsi="Symbol" w:hint="default"/>
      </w:rPr>
    </w:lvl>
    <w:lvl w:ilvl="4" w:tplc="67C2D300">
      <w:start w:val="1"/>
      <w:numFmt w:val="bullet"/>
      <w:lvlText w:val="o"/>
      <w:lvlJc w:val="left"/>
      <w:pPr>
        <w:ind w:left="3600" w:hanging="360"/>
      </w:pPr>
      <w:rPr>
        <w:rFonts w:ascii="Courier New" w:hAnsi="Courier New" w:hint="default"/>
      </w:rPr>
    </w:lvl>
    <w:lvl w:ilvl="5" w:tplc="241C943A">
      <w:start w:val="1"/>
      <w:numFmt w:val="bullet"/>
      <w:lvlText w:val=""/>
      <w:lvlJc w:val="left"/>
      <w:pPr>
        <w:ind w:left="4320" w:hanging="360"/>
      </w:pPr>
      <w:rPr>
        <w:rFonts w:ascii="Wingdings" w:hAnsi="Wingdings" w:hint="default"/>
      </w:rPr>
    </w:lvl>
    <w:lvl w:ilvl="6" w:tplc="14DA3EE8">
      <w:start w:val="1"/>
      <w:numFmt w:val="bullet"/>
      <w:lvlText w:val=""/>
      <w:lvlJc w:val="left"/>
      <w:pPr>
        <w:ind w:left="5040" w:hanging="360"/>
      </w:pPr>
      <w:rPr>
        <w:rFonts w:ascii="Symbol" w:hAnsi="Symbol" w:hint="default"/>
      </w:rPr>
    </w:lvl>
    <w:lvl w:ilvl="7" w:tplc="D688D12E">
      <w:start w:val="1"/>
      <w:numFmt w:val="bullet"/>
      <w:lvlText w:val="o"/>
      <w:lvlJc w:val="left"/>
      <w:pPr>
        <w:ind w:left="5760" w:hanging="360"/>
      </w:pPr>
      <w:rPr>
        <w:rFonts w:ascii="Courier New" w:hAnsi="Courier New" w:hint="default"/>
      </w:rPr>
    </w:lvl>
    <w:lvl w:ilvl="8" w:tplc="86CEFC82">
      <w:start w:val="1"/>
      <w:numFmt w:val="bullet"/>
      <w:lvlText w:val=""/>
      <w:lvlJc w:val="left"/>
      <w:pPr>
        <w:ind w:left="6480" w:hanging="360"/>
      </w:pPr>
      <w:rPr>
        <w:rFonts w:ascii="Wingdings" w:hAnsi="Wingdings" w:hint="default"/>
      </w:rPr>
    </w:lvl>
  </w:abstractNum>
  <w:abstractNum w:abstractNumId="13">
    <w:nsid w:val="16F86AD7"/>
    <w:multiLevelType w:val="hybridMultilevel"/>
    <w:tmpl w:val="0E26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0D2C84"/>
    <w:multiLevelType w:val="hybridMultilevel"/>
    <w:tmpl w:val="16CE3E46"/>
    <w:lvl w:ilvl="0" w:tplc="8DEE5C2A">
      <w:start w:val="1"/>
      <w:numFmt w:val="bullet"/>
      <w:lvlText w:val=""/>
      <w:lvlJc w:val="left"/>
      <w:pPr>
        <w:ind w:left="720" w:hanging="360"/>
      </w:pPr>
      <w:rPr>
        <w:rFonts w:ascii="Symbol" w:hAnsi="Symbol" w:hint="default"/>
      </w:rPr>
    </w:lvl>
    <w:lvl w:ilvl="1" w:tplc="3ED84DF2">
      <w:start w:val="1"/>
      <w:numFmt w:val="bullet"/>
      <w:lvlText w:val=""/>
      <w:lvlJc w:val="left"/>
      <w:pPr>
        <w:ind w:left="1440" w:hanging="360"/>
      </w:pPr>
      <w:rPr>
        <w:rFonts w:ascii="Symbol" w:hAnsi="Symbol" w:hint="default"/>
      </w:rPr>
    </w:lvl>
    <w:lvl w:ilvl="2" w:tplc="BBF67B6C">
      <w:start w:val="1"/>
      <w:numFmt w:val="bullet"/>
      <w:lvlText w:val=""/>
      <w:lvlJc w:val="left"/>
      <w:pPr>
        <w:ind w:left="2160" w:hanging="360"/>
      </w:pPr>
      <w:rPr>
        <w:rFonts w:ascii="Wingdings" w:hAnsi="Wingdings" w:hint="default"/>
      </w:rPr>
    </w:lvl>
    <w:lvl w:ilvl="3" w:tplc="461893D0">
      <w:start w:val="1"/>
      <w:numFmt w:val="bullet"/>
      <w:lvlText w:val=""/>
      <w:lvlJc w:val="left"/>
      <w:pPr>
        <w:ind w:left="2880" w:hanging="360"/>
      </w:pPr>
      <w:rPr>
        <w:rFonts w:ascii="Symbol" w:hAnsi="Symbol" w:hint="default"/>
      </w:rPr>
    </w:lvl>
    <w:lvl w:ilvl="4" w:tplc="0EFE7526">
      <w:start w:val="1"/>
      <w:numFmt w:val="bullet"/>
      <w:lvlText w:val="o"/>
      <w:lvlJc w:val="left"/>
      <w:pPr>
        <w:ind w:left="3600" w:hanging="360"/>
      </w:pPr>
      <w:rPr>
        <w:rFonts w:ascii="Courier New" w:hAnsi="Courier New" w:hint="default"/>
      </w:rPr>
    </w:lvl>
    <w:lvl w:ilvl="5" w:tplc="90DA5E06">
      <w:start w:val="1"/>
      <w:numFmt w:val="bullet"/>
      <w:lvlText w:val=""/>
      <w:lvlJc w:val="left"/>
      <w:pPr>
        <w:ind w:left="4320" w:hanging="360"/>
      </w:pPr>
      <w:rPr>
        <w:rFonts w:ascii="Wingdings" w:hAnsi="Wingdings" w:hint="default"/>
      </w:rPr>
    </w:lvl>
    <w:lvl w:ilvl="6" w:tplc="9FB0A106">
      <w:start w:val="1"/>
      <w:numFmt w:val="bullet"/>
      <w:lvlText w:val=""/>
      <w:lvlJc w:val="left"/>
      <w:pPr>
        <w:ind w:left="5040" w:hanging="360"/>
      </w:pPr>
      <w:rPr>
        <w:rFonts w:ascii="Symbol" w:hAnsi="Symbol" w:hint="default"/>
      </w:rPr>
    </w:lvl>
    <w:lvl w:ilvl="7" w:tplc="024441D0">
      <w:start w:val="1"/>
      <w:numFmt w:val="bullet"/>
      <w:lvlText w:val="o"/>
      <w:lvlJc w:val="left"/>
      <w:pPr>
        <w:ind w:left="5760" w:hanging="360"/>
      </w:pPr>
      <w:rPr>
        <w:rFonts w:ascii="Courier New" w:hAnsi="Courier New" w:hint="default"/>
      </w:rPr>
    </w:lvl>
    <w:lvl w:ilvl="8" w:tplc="50C4D9E8">
      <w:start w:val="1"/>
      <w:numFmt w:val="bullet"/>
      <w:lvlText w:val=""/>
      <w:lvlJc w:val="left"/>
      <w:pPr>
        <w:ind w:left="6480" w:hanging="360"/>
      </w:pPr>
      <w:rPr>
        <w:rFonts w:ascii="Wingdings" w:hAnsi="Wingdings" w:hint="default"/>
      </w:rPr>
    </w:lvl>
  </w:abstractNum>
  <w:abstractNum w:abstractNumId="15">
    <w:nsid w:val="1BBD49D9"/>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D14910"/>
    <w:multiLevelType w:val="hybridMultilevel"/>
    <w:tmpl w:val="53D8DAB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1F61729C"/>
    <w:multiLevelType w:val="hybridMultilevel"/>
    <w:tmpl w:val="46EE6D4A"/>
    <w:lvl w:ilvl="0" w:tplc="3008079E">
      <w:start w:val="1"/>
      <w:numFmt w:val="decimal"/>
      <w:lvlText w:val="%1."/>
      <w:lvlJc w:val="left"/>
      <w:pPr>
        <w:ind w:left="720" w:hanging="360"/>
      </w:pPr>
    </w:lvl>
    <w:lvl w:ilvl="1" w:tplc="7E48FD78">
      <w:start w:val="1"/>
      <w:numFmt w:val="lowerLetter"/>
      <w:lvlText w:val="%2."/>
      <w:lvlJc w:val="left"/>
      <w:pPr>
        <w:ind w:left="1440" w:hanging="360"/>
      </w:pPr>
    </w:lvl>
    <w:lvl w:ilvl="2" w:tplc="7974F682">
      <w:start w:val="1"/>
      <w:numFmt w:val="lowerRoman"/>
      <w:lvlText w:val="%3."/>
      <w:lvlJc w:val="right"/>
      <w:pPr>
        <w:ind w:left="2160" w:hanging="180"/>
      </w:pPr>
    </w:lvl>
    <w:lvl w:ilvl="3" w:tplc="975A0042">
      <w:start w:val="1"/>
      <w:numFmt w:val="decimal"/>
      <w:lvlText w:val="%4."/>
      <w:lvlJc w:val="left"/>
      <w:pPr>
        <w:ind w:left="2880" w:hanging="360"/>
      </w:pPr>
    </w:lvl>
    <w:lvl w:ilvl="4" w:tplc="35A0B902">
      <w:start w:val="1"/>
      <w:numFmt w:val="lowerLetter"/>
      <w:lvlText w:val="%5."/>
      <w:lvlJc w:val="left"/>
      <w:pPr>
        <w:ind w:left="3600" w:hanging="360"/>
      </w:pPr>
    </w:lvl>
    <w:lvl w:ilvl="5" w:tplc="18C463D0">
      <w:start w:val="1"/>
      <w:numFmt w:val="lowerRoman"/>
      <w:lvlText w:val="%6."/>
      <w:lvlJc w:val="right"/>
      <w:pPr>
        <w:ind w:left="4320" w:hanging="180"/>
      </w:pPr>
    </w:lvl>
    <w:lvl w:ilvl="6" w:tplc="987449DC">
      <w:start w:val="1"/>
      <w:numFmt w:val="decimal"/>
      <w:lvlText w:val="%7."/>
      <w:lvlJc w:val="left"/>
      <w:pPr>
        <w:ind w:left="5040" w:hanging="360"/>
      </w:pPr>
    </w:lvl>
    <w:lvl w:ilvl="7" w:tplc="EC924626">
      <w:start w:val="1"/>
      <w:numFmt w:val="lowerLetter"/>
      <w:lvlText w:val="%8."/>
      <w:lvlJc w:val="left"/>
      <w:pPr>
        <w:ind w:left="5760" w:hanging="360"/>
      </w:pPr>
    </w:lvl>
    <w:lvl w:ilvl="8" w:tplc="8D129456">
      <w:start w:val="1"/>
      <w:numFmt w:val="lowerRoman"/>
      <w:lvlText w:val="%9."/>
      <w:lvlJc w:val="right"/>
      <w:pPr>
        <w:ind w:left="6480" w:hanging="180"/>
      </w:pPr>
    </w:lvl>
  </w:abstractNum>
  <w:abstractNum w:abstractNumId="18">
    <w:nsid w:val="20785306"/>
    <w:multiLevelType w:val="hybridMultilevel"/>
    <w:tmpl w:val="FC026B7E"/>
    <w:lvl w:ilvl="0" w:tplc="84C84F62">
      <w:start w:val="1"/>
      <w:numFmt w:val="bullet"/>
      <w:lvlText w:val=""/>
      <w:lvlJc w:val="left"/>
      <w:pPr>
        <w:ind w:left="720" w:hanging="360"/>
      </w:pPr>
      <w:rPr>
        <w:rFonts w:ascii="Symbol" w:hAnsi="Symbol" w:hint="default"/>
      </w:rPr>
    </w:lvl>
    <w:lvl w:ilvl="1" w:tplc="D9ECACC2">
      <w:start w:val="1"/>
      <w:numFmt w:val="bullet"/>
      <w:lvlText w:val="o"/>
      <w:lvlJc w:val="left"/>
      <w:pPr>
        <w:ind w:left="1440" w:hanging="360"/>
      </w:pPr>
      <w:rPr>
        <w:rFonts w:ascii="Courier New" w:hAnsi="Courier New" w:hint="default"/>
      </w:rPr>
    </w:lvl>
    <w:lvl w:ilvl="2" w:tplc="22A0DC38">
      <w:start w:val="1"/>
      <w:numFmt w:val="bullet"/>
      <w:lvlText w:val=""/>
      <w:lvlJc w:val="left"/>
      <w:pPr>
        <w:ind w:left="2160" w:hanging="360"/>
      </w:pPr>
      <w:rPr>
        <w:rFonts w:ascii="Wingdings" w:hAnsi="Wingdings" w:hint="default"/>
      </w:rPr>
    </w:lvl>
    <w:lvl w:ilvl="3" w:tplc="0BAE6884">
      <w:start w:val="1"/>
      <w:numFmt w:val="bullet"/>
      <w:lvlText w:val=""/>
      <w:lvlJc w:val="left"/>
      <w:pPr>
        <w:ind w:left="2880" w:hanging="360"/>
      </w:pPr>
      <w:rPr>
        <w:rFonts w:ascii="Symbol" w:hAnsi="Symbol" w:hint="default"/>
      </w:rPr>
    </w:lvl>
    <w:lvl w:ilvl="4" w:tplc="13E24C78">
      <w:start w:val="1"/>
      <w:numFmt w:val="bullet"/>
      <w:lvlText w:val="o"/>
      <w:lvlJc w:val="left"/>
      <w:pPr>
        <w:ind w:left="3600" w:hanging="360"/>
      </w:pPr>
      <w:rPr>
        <w:rFonts w:ascii="Courier New" w:hAnsi="Courier New" w:hint="default"/>
      </w:rPr>
    </w:lvl>
    <w:lvl w:ilvl="5" w:tplc="0AA266F6">
      <w:start w:val="1"/>
      <w:numFmt w:val="bullet"/>
      <w:lvlText w:val=""/>
      <w:lvlJc w:val="left"/>
      <w:pPr>
        <w:ind w:left="4320" w:hanging="360"/>
      </w:pPr>
      <w:rPr>
        <w:rFonts w:ascii="Wingdings" w:hAnsi="Wingdings" w:hint="default"/>
      </w:rPr>
    </w:lvl>
    <w:lvl w:ilvl="6" w:tplc="8960ACBA">
      <w:start w:val="1"/>
      <w:numFmt w:val="bullet"/>
      <w:lvlText w:val=""/>
      <w:lvlJc w:val="left"/>
      <w:pPr>
        <w:ind w:left="5040" w:hanging="360"/>
      </w:pPr>
      <w:rPr>
        <w:rFonts w:ascii="Symbol" w:hAnsi="Symbol" w:hint="default"/>
      </w:rPr>
    </w:lvl>
    <w:lvl w:ilvl="7" w:tplc="DCBEDF7E">
      <w:start w:val="1"/>
      <w:numFmt w:val="bullet"/>
      <w:lvlText w:val="o"/>
      <w:lvlJc w:val="left"/>
      <w:pPr>
        <w:ind w:left="5760" w:hanging="360"/>
      </w:pPr>
      <w:rPr>
        <w:rFonts w:ascii="Courier New" w:hAnsi="Courier New" w:hint="default"/>
      </w:rPr>
    </w:lvl>
    <w:lvl w:ilvl="8" w:tplc="967234CA">
      <w:start w:val="1"/>
      <w:numFmt w:val="bullet"/>
      <w:lvlText w:val=""/>
      <w:lvlJc w:val="left"/>
      <w:pPr>
        <w:ind w:left="6480" w:hanging="360"/>
      </w:pPr>
      <w:rPr>
        <w:rFonts w:ascii="Wingdings" w:hAnsi="Wingdings" w:hint="default"/>
      </w:rPr>
    </w:lvl>
  </w:abstractNum>
  <w:abstractNum w:abstractNumId="19">
    <w:nsid w:val="20E52CCA"/>
    <w:multiLevelType w:val="hybridMultilevel"/>
    <w:tmpl w:val="E51049A0"/>
    <w:lvl w:ilvl="0" w:tplc="D9CE5B3E">
      <w:start w:val="1"/>
      <w:numFmt w:val="bullet"/>
      <w:lvlText w:val=""/>
      <w:lvlJc w:val="left"/>
      <w:pPr>
        <w:tabs>
          <w:tab w:val="num" w:pos="720"/>
        </w:tabs>
        <w:ind w:left="720" w:hanging="360"/>
      </w:pPr>
      <w:rPr>
        <w:rFonts w:ascii="Wingdings 2" w:hAnsi="Wingdings 2" w:hint="default"/>
      </w:rPr>
    </w:lvl>
    <w:lvl w:ilvl="1" w:tplc="EBFA6FAA" w:tentative="1">
      <w:start w:val="1"/>
      <w:numFmt w:val="bullet"/>
      <w:lvlText w:val=""/>
      <w:lvlJc w:val="left"/>
      <w:pPr>
        <w:tabs>
          <w:tab w:val="num" w:pos="1440"/>
        </w:tabs>
        <w:ind w:left="1440" w:hanging="360"/>
      </w:pPr>
      <w:rPr>
        <w:rFonts w:ascii="Wingdings 2" w:hAnsi="Wingdings 2" w:hint="default"/>
      </w:rPr>
    </w:lvl>
    <w:lvl w:ilvl="2" w:tplc="6C9AD8B4">
      <w:start w:val="1"/>
      <w:numFmt w:val="bullet"/>
      <w:lvlText w:val=""/>
      <w:lvlJc w:val="left"/>
      <w:pPr>
        <w:tabs>
          <w:tab w:val="num" w:pos="2160"/>
        </w:tabs>
        <w:ind w:left="2160" w:hanging="360"/>
      </w:pPr>
      <w:rPr>
        <w:rFonts w:ascii="Wingdings 2" w:hAnsi="Wingdings 2" w:hint="default"/>
      </w:rPr>
    </w:lvl>
    <w:lvl w:ilvl="3" w:tplc="ED0EBFD4" w:tentative="1">
      <w:start w:val="1"/>
      <w:numFmt w:val="bullet"/>
      <w:lvlText w:val=""/>
      <w:lvlJc w:val="left"/>
      <w:pPr>
        <w:tabs>
          <w:tab w:val="num" w:pos="2880"/>
        </w:tabs>
        <w:ind w:left="2880" w:hanging="360"/>
      </w:pPr>
      <w:rPr>
        <w:rFonts w:ascii="Wingdings 2" w:hAnsi="Wingdings 2" w:hint="default"/>
      </w:rPr>
    </w:lvl>
    <w:lvl w:ilvl="4" w:tplc="DB1A110C" w:tentative="1">
      <w:start w:val="1"/>
      <w:numFmt w:val="bullet"/>
      <w:lvlText w:val=""/>
      <w:lvlJc w:val="left"/>
      <w:pPr>
        <w:tabs>
          <w:tab w:val="num" w:pos="3600"/>
        </w:tabs>
        <w:ind w:left="3600" w:hanging="360"/>
      </w:pPr>
      <w:rPr>
        <w:rFonts w:ascii="Wingdings 2" w:hAnsi="Wingdings 2" w:hint="default"/>
      </w:rPr>
    </w:lvl>
    <w:lvl w:ilvl="5" w:tplc="35E85130" w:tentative="1">
      <w:start w:val="1"/>
      <w:numFmt w:val="bullet"/>
      <w:lvlText w:val=""/>
      <w:lvlJc w:val="left"/>
      <w:pPr>
        <w:tabs>
          <w:tab w:val="num" w:pos="4320"/>
        </w:tabs>
        <w:ind w:left="4320" w:hanging="360"/>
      </w:pPr>
      <w:rPr>
        <w:rFonts w:ascii="Wingdings 2" w:hAnsi="Wingdings 2" w:hint="default"/>
      </w:rPr>
    </w:lvl>
    <w:lvl w:ilvl="6" w:tplc="2EC49494" w:tentative="1">
      <w:start w:val="1"/>
      <w:numFmt w:val="bullet"/>
      <w:lvlText w:val=""/>
      <w:lvlJc w:val="left"/>
      <w:pPr>
        <w:tabs>
          <w:tab w:val="num" w:pos="5040"/>
        </w:tabs>
        <w:ind w:left="5040" w:hanging="360"/>
      </w:pPr>
      <w:rPr>
        <w:rFonts w:ascii="Wingdings 2" w:hAnsi="Wingdings 2" w:hint="default"/>
      </w:rPr>
    </w:lvl>
    <w:lvl w:ilvl="7" w:tplc="838286F2" w:tentative="1">
      <w:start w:val="1"/>
      <w:numFmt w:val="bullet"/>
      <w:lvlText w:val=""/>
      <w:lvlJc w:val="left"/>
      <w:pPr>
        <w:tabs>
          <w:tab w:val="num" w:pos="5760"/>
        </w:tabs>
        <w:ind w:left="5760" w:hanging="360"/>
      </w:pPr>
      <w:rPr>
        <w:rFonts w:ascii="Wingdings 2" w:hAnsi="Wingdings 2" w:hint="default"/>
      </w:rPr>
    </w:lvl>
    <w:lvl w:ilvl="8" w:tplc="63CA9BF6" w:tentative="1">
      <w:start w:val="1"/>
      <w:numFmt w:val="bullet"/>
      <w:lvlText w:val=""/>
      <w:lvlJc w:val="left"/>
      <w:pPr>
        <w:tabs>
          <w:tab w:val="num" w:pos="6480"/>
        </w:tabs>
        <w:ind w:left="6480" w:hanging="360"/>
      </w:pPr>
      <w:rPr>
        <w:rFonts w:ascii="Wingdings 2" w:hAnsi="Wingdings 2" w:hint="default"/>
      </w:rPr>
    </w:lvl>
  </w:abstractNum>
  <w:abstractNum w:abstractNumId="20">
    <w:nsid w:val="2210663F"/>
    <w:multiLevelType w:val="hybridMultilevel"/>
    <w:tmpl w:val="7722C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6A67294"/>
    <w:multiLevelType w:val="hybridMultilevel"/>
    <w:tmpl w:val="B2AE3C46"/>
    <w:lvl w:ilvl="0" w:tplc="98F2FC7C">
      <w:start w:val="1"/>
      <w:numFmt w:val="decimal"/>
      <w:lvlText w:val="%1."/>
      <w:lvlJc w:val="left"/>
      <w:pPr>
        <w:ind w:left="720" w:hanging="360"/>
      </w:pPr>
    </w:lvl>
    <w:lvl w:ilvl="1" w:tplc="E8E2EDBC">
      <w:start w:val="1"/>
      <w:numFmt w:val="lowerLetter"/>
      <w:lvlText w:val="%2."/>
      <w:lvlJc w:val="left"/>
      <w:pPr>
        <w:ind w:left="1440" w:hanging="360"/>
      </w:pPr>
    </w:lvl>
    <w:lvl w:ilvl="2" w:tplc="C7E8BC62">
      <w:start w:val="1"/>
      <w:numFmt w:val="lowerRoman"/>
      <w:lvlText w:val="%3."/>
      <w:lvlJc w:val="right"/>
      <w:pPr>
        <w:ind w:left="2160" w:hanging="180"/>
      </w:pPr>
    </w:lvl>
    <w:lvl w:ilvl="3" w:tplc="92AA3260">
      <w:start w:val="1"/>
      <w:numFmt w:val="decimal"/>
      <w:lvlText w:val="%4."/>
      <w:lvlJc w:val="left"/>
      <w:pPr>
        <w:ind w:left="2880" w:hanging="360"/>
      </w:pPr>
    </w:lvl>
    <w:lvl w:ilvl="4" w:tplc="F8963810">
      <w:start w:val="1"/>
      <w:numFmt w:val="lowerLetter"/>
      <w:lvlText w:val="%5."/>
      <w:lvlJc w:val="left"/>
      <w:pPr>
        <w:ind w:left="3600" w:hanging="360"/>
      </w:pPr>
    </w:lvl>
    <w:lvl w:ilvl="5" w:tplc="500095EA">
      <w:start w:val="1"/>
      <w:numFmt w:val="lowerRoman"/>
      <w:lvlText w:val="%6."/>
      <w:lvlJc w:val="right"/>
      <w:pPr>
        <w:ind w:left="4320" w:hanging="180"/>
      </w:pPr>
    </w:lvl>
    <w:lvl w:ilvl="6" w:tplc="B5A29BFC">
      <w:start w:val="1"/>
      <w:numFmt w:val="decimal"/>
      <w:lvlText w:val="%7."/>
      <w:lvlJc w:val="left"/>
      <w:pPr>
        <w:ind w:left="5040" w:hanging="360"/>
      </w:pPr>
    </w:lvl>
    <w:lvl w:ilvl="7" w:tplc="7E0AD856">
      <w:start w:val="1"/>
      <w:numFmt w:val="lowerLetter"/>
      <w:lvlText w:val="%8."/>
      <w:lvlJc w:val="left"/>
      <w:pPr>
        <w:ind w:left="5760" w:hanging="360"/>
      </w:pPr>
    </w:lvl>
    <w:lvl w:ilvl="8" w:tplc="E404FC32">
      <w:start w:val="1"/>
      <w:numFmt w:val="lowerRoman"/>
      <w:lvlText w:val="%9."/>
      <w:lvlJc w:val="right"/>
      <w:pPr>
        <w:ind w:left="6480" w:hanging="180"/>
      </w:pPr>
    </w:lvl>
  </w:abstractNum>
  <w:abstractNum w:abstractNumId="22">
    <w:nsid w:val="286204BD"/>
    <w:multiLevelType w:val="hybridMultilevel"/>
    <w:tmpl w:val="C9904D0C"/>
    <w:lvl w:ilvl="0" w:tplc="54047B10">
      <w:start w:val="1"/>
      <w:numFmt w:val="bullet"/>
      <w:lvlText w:val=""/>
      <w:lvlJc w:val="left"/>
      <w:pPr>
        <w:ind w:left="720" w:hanging="360"/>
      </w:pPr>
      <w:rPr>
        <w:rFonts w:ascii="Symbol" w:hAnsi="Symbol" w:hint="default"/>
      </w:rPr>
    </w:lvl>
    <w:lvl w:ilvl="1" w:tplc="AFF4C1CE">
      <w:start w:val="1"/>
      <w:numFmt w:val="bullet"/>
      <w:lvlText w:val="o"/>
      <w:lvlJc w:val="left"/>
      <w:pPr>
        <w:ind w:left="1440" w:hanging="360"/>
      </w:pPr>
      <w:rPr>
        <w:rFonts w:ascii="Courier New" w:hAnsi="Courier New" w:hint="default"/>
      </w:rPr>
    </w:lvl>
    <w:lvl w:ilvl="2" w:tplc="A30C813E">
      <w:start w:val="1"/>
      <w:numFmt w:val="bullet"/>
      <w:lvlText w:val=""/>
      <w:lvlJc w:val="left"/>
      <w:pPr>
        <w:ind w:left="2160" w:hanging="360"/>
      </w:pPr>
      <w:rPr>
        <w:rFonts w:ascii="Wingdings" w:hAnsi="Wingdings" w:hint="default"/>
      </w:rPr>
    </w:lvl>
    <w:lvl w:ilvl="3" w:tplc="C06C6444">
      <w:start w:val="1"/>
      <w:numFmt w:val="bullet"/>
      <w:lvlText w:val=""/>
      <w:lvlJc w:val="left"/>
      <w:pPr>
        <w:ind w:left="2880" w:hanging="360"/>
      </w:pPr>
      <w:rPr>
        <w:rFonts w:ascii="Symbol" w:hAnsi="Symbol" w:hint="default"/>
      </w:rPr>
    </w:lvl>
    <w:lvl w:ilvl="4" w:tplc="1B8040AC">
      <w:start w:val="1"/>
      <w:numFmt w:val="bullet"/>
      <w:lvlText w:val="o"/>
      <w:lvlJc w:val="left"/>
      <w:pPr>
        <w:ind w:left="3600" w:hanging="360"/>
      </w:pPr>
      <w:rPr>
        <w:rFonts w:ascii="Courier New" w:hAnsi="Courier New" w:hint="default"/>
      </w:rPr>
    </w:lvl>
    <w:lvl w:ilvl="5" w:tplc="5D2CCA12">
      <w:start w:val="1"/>
      <w:numFmt w:val="bullet"/>
      <w:lvlText w:val=""/>
      <w:lvlJc w:val="left"/>
      <w:pPr>
        <w:ind w:left="4320" w:hanging="360"/>
      </w:pPr>
      <w:rPr>
        <w:rFonts w:ascii="Wingdings" w:hAnsi="Wingdings" w:hint="default"/>
      </w:rPr>
    </w:lvl>
    <w:lvl w:ilvl="6" w:tplc="8B0856C6">
      <w:start w:val="1"/>
      <w:numFmt w:val="bullet"/>
      <w:lvlText w:val=""/>
      <w:lvlJc w:val="left"/>
      <w:pPr>
        <w:ind w:left="5040" w:hanging="360"/>
      </w:pPr>
      <w:rPr>
        <w:rFonts w:ascii="Symbol" w:hAnsi="Symbol" w:hint="default"/>
      </w:rPr>
    </w:lvl>
    <w:lvl w:ilvl="7" w:tplc="5716708A">
      <w:start w:val="1"/>
      <w:numFmt w:val="bullet"/>
      <w:lvlText w:val="o"/>
      <w:lvlJc w:val="left"/>
      <w:pPr>
        <w:ind w:left="5760" w:hanging="360"/>
      </w:pPr>
      <w:rPr>
        <w:rFonts w:ascii="Courier New" w:hAnsi="Courier New" w:hint="default"/>
      </w:rPr>
    </w:lvl>
    <w:lvl w:ilvl="8" w:tplc="C5D66052">
      <w:start w:val="1"/>
      <w:numFmt w:val="bullet"/>
      <w:lvlText w:val=""/>
      <w:lvlJc w:val="left"/>
      <w:pPr>
        <w:ind w:left="6480" w:hanging="360"/>
      </w:pPr>
      <w:rPr>
        <w:rFonts w:ascii="Wingdings" w:hAnsi="Wingdings" w:hint="default"/>
      </w:rPr>
    </w:lvl>
  </w:abstractNum>
  <w:abstractNum w:abstractNumId="23">
    <w:nsid w:val="2ACF094A"/>
    <w:multiLevelType w:val="hybridMultilevel"/>
    <w:tmpl w:val="23A4BE82"/>
    <w:lvl w:ilvl="0" w:tplc="F6524ABC">
      <w:start w:val="1"/>
      <w:numFmt w:val="decimal"/>
      <w:lvlText w:val="%1."/>
      <w:lvlJc w:val="left"/>
      <w:pPr>
        <w:ind w:left="720" w:hanging="360"/>
      </w:pPr>
    </w:lvl>
    <w:lvl w:ilvl="1" w:tplc="84C4DD90">
      <w:start w:val="1"/>
      <w:numFmt w:val="lowerLetter"/>
      <w:lvlText w:val="%2."/>
      <w:lvlJc w:val="left"/>
      <w:pPr>
        <w:ind w:left="1440" w:hanging="360"/>
      </w:pPr>
    </w:lvl>
    <w:lvl w:ilvl="2" w:tplc="72B05ECA">
      <w:start w:val="1"/>
      <w:numFmt w:val="lowerRoman"/>
      <w:lvlText w:val="%3."/>
      <w:lvlJc w:val="right"/>
      <w:pPr>
        <w:ind w:left="2160" w:hanging="180"/>
      </w:pPr>
    </w:lvl>
    <w:lvl w:ilvl="3" w:tplc="D89EE1DA">
      <w:start w:val="1"/>
      <w:numFmt w:val="decimal"/>
      <w:lvlText w:val="%4."/>
      <w:lvlJc w:val="left"/>
      <w:pPr>
        <w:ind w:left="2880" w:hanging="360"/>
      </w:pPr>
    </w:lvl>
    <w:lvl w:ilvl="4" w:tplc="F3F246E0">
      <w:start w:val="1"/>
      <w:numFmt w:val="lowerLetter"/>
      <w:lvlText w:val="%5."/>
      <w:lvlJc w:val="left"/>
      <w:pPr>
        <w:ind w:left="3600" w:hanging="360"/>
      </w:pPr>
    </w:lvl>
    <w:lvl w:ilvl="5" w:tplc="835CC8F2">
      <w:start w:val="1"/>
      <w:numFmt w:val="lowerRoman"/>
      <w:lvlText w:val="%6."/>
      <w:lvlJc w:val="right"/>
      <w:pPr>
        <w:ind w:left="4320" w:hanging="180"/>
      </w:pPr>
    </w:lvl>
    <w:lvl w:ilvl="6" w:tplc="977ACE28">
      <w:start w:val="1"/>
      <w:numFmt w:val="decimal"/>
      <w:lvlText w:val="%7."/>
      <w:lvlJc w:val="left"/>
      <w:pPr>
        <w:ind w:left="5040" w:hanging="360"/>
      </w:pPr>
    </w:lvl>
    <w:lvl w:ilvl="7" w:tplc="4F76EDB0">
      <w:start w:val="1"/>
      <w:numFmt w:val="lowerLetter"/>
      <w:lvlText w:val="%8."/>
      <w:lvlJc w:val="left"/>
      <w:pPr>
        <w:ind w:left="5760" w:hanging="360"/>
      </w:pPr>
    </w:lvl>
    <w:lvl w:ilvl="8" w:tplc="2ED4EA14">
      <w:start w:val="1"/>
      <w:numFmt w:val="lowerRoman"/>
      <w:lvlText w:val="%9."/>
      <w:lvlJc w:val="right"/>
      <w:pPr>
        <w:ind w:left="6480" w:hanging="180"/>
      </w:pPr>
    </w:lvl>
  </w:abstractNum>
  <w:abstractNum w:abstractNumId="24">
    <w:nsid w:val="2AE67507"/>
    <w:multiLevelType w:val="hybridMultilevel"/>
    <w:tmpl w:val="C7E88338"/>
    <w:lvl w:ilvl="0" w:tplc="6AC47C9A">
      <w:start w:val="1"/>
      <w:numFmt w:val="decimal"/>
      <w:lvlText w:val="%1."/>
      <w:lvlJc w:val="left"/>
      <w:pPr>
        <w:ind w:left="720" w:hanging="360"/>
      </w:pPr>
    </w:lvl>
    <w:lvl w:ilvl="1" w:tplc="82A6B84A">
      <w:start w:val="1"/>
      <w:numFmt w:val="lowerLetter"/>
      <w:lvlText w:val="%2."/>
      <w:lvlJc w:val="left"/>
      <w:pPr>
        <w:ind w:left="1440" w:hanging="360"/>
      </w:pPr>
    </w:lvl>
    <w:lvl w:ilvl="2" w:tplc="808E36B4">
      <w:start w:val="1"/>
      <w:numFmt w:val="lowerRoman"/>
      <w:lvlText w:val="%3."/>
      <w:lvlJc w:val="right"/>
      <w:pPr>
        <w:ind w:left="2160" w:hanging="180"/>
      </w:pPr>
    </w:lvl>
    <w:lvl w:ilvl="3" w:tplc="E5964206">
      <w:start w:val="1"/>
      <w:numFmt w:val="decimal"/>
      <w:lvlText w:val="%4."/>
      <w:lvlJc w:val="left"/>
      <w:pPr>
        <w:ind w:left="2880" w:hanging="360"/>
      </w:pPr>
    </w:lvl>
    <w:lvl w:ilvl="4" w:tplc="443C2A94">
      <w:start w:val="1"/>
      <w:numFmt w:val="lowerLetter"/>
      <w:lvlText w:val="%5."/>
      <w:lvlJc w:val="left"/>
      <w:pPr>
        <w:ind w:left="3600" w:hanging="360"/>
      </w:pPr>
    </w:lvl>
    <w:lvl w:ilvl="5" w:tplc="D0B2F1AC">
      <w:start w:val="1"/>
      <w:numFmt w:val="lowerRoman"/>
      <w:lvlText w:val="%6."/>
      <w:lvlJc w:val="right"/>
      <w:pPr>
        <w:ind w:left="4320" w:hanging="180"/>
      </w:pPr>
    </w:lvl>
    <w:lvl w:ilvl="6" w:tplc="F146A720">
      <w:start w:val="1"/>
      <w:numFmt w:val="decimal"/>
      <w:lvlText w:val="%7."/>
      <w:lvlJc w:val="left"/>
      <w:pPr>
        <w:ind w:left="5040" w:hanging="360"/>
      </w:pPr>
    </w:lvl>
    <w:lvl w:ilvl="7" w:tplc="0498A092">
      <w:start w:val="1"/>
      <w:numFmt w:val="lowerLetter"/>
      <w:lvlText w:val="%8."/>
      <w:lvlJc w:val="left"/>
      <w:pPr>
        <w:ind w:left="5760" w:hanging="360"/>
      </w:pPr>
    </w:lvl>
    <w:lvl w:ilvl="8" w:tplc="AC8E4876">
      <w:start w:val="1"/>
      <w:numFmt w:val="lowerRoman"/>
      <w:lvlText w:val="%9."/>
      <w:lvlJc w:val="right"/>
      <w:pPr>
        <w:ind w:left="6480" w:hanging="180"/>
      </w:pPr>
    </w:lvl>
  </w:abstractNum>
  <w:abstractNum w:abstractNumId="25">
    <w:nsid w:val="3B0E363A"/>
    <w:multiLevelType w:val="hybridMultilevel"/>
    <w:tmpl w:val="2610B36A"/>
    <w:lvl w:ilvl="0" w:tplc="619E60DC">
      <w:start w:val="1"/>
      <w:numFmt w:val="decimal"/>
      <w:lvlText w:val="%1."/>
      <w:lvlJc w:val="left"/>
      <w:pPr>
        <w:ind w:left="720" w:hanging="360"/>
      </w:pPr>
    </w:lvl>
    <w:lvl w:ilvl="1" w:tplc="6C6C0A0A">
      <w:start w:val="1"/>
      <w:numFmt w:val="lowerLetter"/>
      <w:lvlText w:val="%2."/>
      <w:lvlJc w:val="left"/>
      <w:pPr>
        <w:ind w:left="1440" w:hanging="360"/>
      </w:pPr>
    </w:lvl>
    <w:lvl w:ilvl="2" w:tplc="95927618">
      <w:start w:val="1"/>
      <w:numFmt w:val="lowerRoman"/>
      <w:lvlText w:val="%3."/>
      <w:lvlJc w:val="right"/>
      <w:pPr>
        <w:ind w:left="2160" w:hanging="180"/>
      </w:pPr>
    </w:lvl>
    <w:lvl w:ilvl="3" w:tplc="D0947D3A">
      <w:start w:val="1"/>
      <w:numFmt w:val="decimal"/>
      <w:lvlText w:val="%4."/>
      <w:lvlJc w:val="left"/>
      <w:pPr>
        <w:ind w:left="2880" w:hanging="360"/>
      </w:pPr>
    </w:lvl>
    <w:lvl w:ilvl="4" w:tplc="949E1A74">
      <w:start w:val="1"/>
      <w:numFmt w:val="lowerLetter"/>
      <w:lvlText w:val="%5."/>
      <w:lvlJc w:val="left"/>
      <w:pPr>
        <w:ind w:left="3600" w:hanging="360"/>
      </w:pPr>
    </w:lvl>
    <w:lvl w:ilvl="5" w:tplc="36E2FA32">
      <w:start w:val="1"/>
      <w:numFmt w:val="lowerRoman"/>
      <w:lvlText w:val="%6."/>
      <w:lvlJc w:val="right"/>
      <w:pPr>
        <w:ind w:left="4320" w:hanging="180"/>
      </w:pPr>
    </w:lvl>
    <w:lvl w:ilvl="6" w:tplc="F2205FEC">
      <w:start w:val="1"/>
      <w:numFmt w:val="decimal"/>
      <w:lvlText w:val="%7."/>
      <w:lvlJc w:val="left"/>
      <w:pPr>
        <w:ind w:left="5040" w:hanging="360"/>
      </w:pPr>
    </w:lvl>
    <w:lvl w:ilvl="7" w:tplc="3620FA50">
      <w:start w:val="1"/>
      <w:numFmt w:val="lowerLetter"/>
      <w:lvlText w:val="%8."/>
      <w:lvlJc w:val="left"/>
      <w:pPr>
        <w:ind w:left="5760" w:hanging="360"/>
      </w:pPr>
    </w:lvl>
    <w:lvl w:ilvl="8" w:tplc="75747CAC">
      <w:start w:val="1"/>
      <w:numFmt w:val="lowerRoman"/>
      <w:lvlText w:val="%9."/>
      <w:lvlJc w:val="right"/>
      <w:pPr>
        <w:ind w:left="6480" w:hanging="180"/>
      </w:pPr>
    </w:lvl>
  </w:abstractNum>
  <w:abstractNum w:abstractNumId="26">
    <w:nsid w:val="3DE00E44"/>
    <w:multiLevelType w:val="hybridMultilevel"/>
    <w:tmpl w:val="022E0DFA"/>
    <w:lvl w:ilvl="0" w:tplc="8D9E5EA2">
      <w:start w:val="1"/>
      <w:numFmt w:val="bullet"/>
      <w:lvlText w:val=""/>
      <w:lvlJc w:val="left"/>
      <w:pPr>
        <w:ind w:left="720" w:hanging="360"/>
      </w:pPr>
      <w:rPr>
        <w:rFonts w:ascii="Symbol" w:hAnsi="Symbol" w:hint="default"/>
      </w:rPr>
    </w:lvl>
    <w:lvl w:ilvl="1" w:tplc="03D66DDA">
      <w:start w:val="1"/>
      <w:numFmt w:val="bullet"/>
      <w:lvlText w:val="o"/>
      <w:lvlJc w:val="left"/>
      <w:pPr>
        <w:ind w:left="1440" w:hanging="360"/>
      </w:pPr>
      <w:rPr>
        <w:rFonts w:ascii="Courier New" w:hAnsi="Courier New" w:hint="default"/>
      </w:rPr>
    </w:lvl>
    <w:lvl w:ilvl="2" w:tplc="E0800BB2">
      <w:start w:val="1"/>
      <w:numFmt w:val="bullet"/>
      <w:lvlText w:val=""/>
      <w:lvlJc w:val="left"/>
      <w:pPr>
        <w:ind w:left="2160" w:hanging="360"/>
      </w:pPr>
      <w:rPr>
        <w:rFonts w:ascii="Wingdings" w:hAnsi="Wingdings" w:hint="default"/>
      </w:rPr>
    </w:lvl>
    <w:lvl w:ilvl="3" w:tplc="08B6A1F8">
      <w:start w:val="1"/>
      <w:numFmt w:val="bullet"/>
      <w:lvlText w:val=""/>
      <w:lvlJc w:val="left"/>
      <w:pPr>
        <w:ind w:left="2880" w:hanging="360"/>
      </w:pPr>
      <w:rPr>
        <w:rFonts w:ascii="Symbol" w:hAnsi="Symbol" w:hint="default"/>
      </w:rPr>
    </w:lvl>
    <w:lvl w:ilvl="4" w:tplc="0E121B22">
      <w:start w:val="1"/>
      <w:numFmt w:val="bullet"/>
      <w:lvlText w:val="o"/>
      <w:lvlJc w:val="left"/>
      <w:pPr>
        <w:ind w:left="3600" w:hanging="360"/>
      </w:pPr>
      <w:rPr>
        <w:rFonts w:ascii="Courier New" w:hAnsi="Courier New" w:hint="default"/>
      </w:rPr>
    </w:lvl>
    <w:lvl w:ilvl="5" w:tplc="3BC458C4">
      <w:start w:val="1"/>
      <w:numFmt w:val="bullet"/>
      <w:lvlText w:val=""/>
      <w:lvlJc w:val="left"/>
      <w:pPr>
        <w:ind w:left="4320" w:hanging="360"/>
      </w:pPr>
      <w:rPr>
        <w:rFonts w:ascii="Wingdings" w:hAnsi="Wingdings" w:hint="default"/>
      </w:rPr>
    </w:lvl>
    <w:lvl w:ilvl="6" w:tplc="CE96D5E8">
      <w:start w:val="1"/>
      <w:numFmt w:val="bullet"/>
      <w:lvlText w:val=""/>
      <w:lvlJc w:val="left"/>
      <w:pPr>
        <w:ind w:left="5040" w:hanging="360"/>
      </w:pPr>
      <w:rPr>
        <w:rFonts w:ascii="Symbol" w:hAnsi="Symbol" w:hint="default"/>
      </w:rPr>
    </w:lvl>
    <w:lvl w:ilvl="7" w:tplc="B4804960">
      <w:start w:val="1"/>
      <w:numFmt w:val="bullet"/>
      <w:lvlText w:val="o"/>
      <w:lvlJc w:val="left"/>
      <w:pPr>
        <w:ind w:left="5760" w:hanging="360"/>
      </w:pPr>
      <w:rPr>
        <w:rFonts w:ascii="Courier New" w:hAnsi="Courier New" w:hint="default"/>
      </w:rPr>
    </w:lvl>
    <w:lvl w:ilvl="8" w:tplc="5A68B17A">
      <w:start w:val="1"/>
      <w:numFmt w:val="bullet"/>
      <w:lvlText w:val=""/>
      <w:lvlJc w:val="left"/>
      <w:pPr>
        <w:ind w:left="6480" w:hanging="360"/>
      </w:pPr>
      <w:rPr>
        <w:rFonts w:ascii="Wingdings" w:hAnsi="Wingdings" w:hint="default"/>
      </w:rPr>
    </w:lvl>
  </w:abstractNum>
  <w:abstractNum w:abstractNumId="27">
    <w:nsid w:val="3E656C79"/>
    <w:multiLevelType w:val="hybridMultilevel"/>
    <w:tmpl w:val="3AA89D72"/>
    <w:lvl w:ilvl="0" w:tplc="C9AAF56C">
      <w:start w:val="1"/>
      <w:numFmt w:val="decimal"/>
      <w:lvlText w:val="%1."/>
      <w:lvlJc w:val="left"/>
      <w:pPr>
        <w:ind w:left="720" w:hanging="360"/>
      </w:pPr>
    </w:lvl>
    <w:lvl w:ilvl="1" w:tplc="D84EB87A">
      <w:start w:val="1"/>
      <w:numFmt w:val="lowerLetter"/>
      <w:lvlText w:val="%2."/>
      <w:lvlJc w:val="left"/>
      <w:pPr>
        <w:ind w:left="1440" w:hanging="360"/>
      </w:pPr>
    </w:lvl>
    <w:lvl w:ilvl="2" w:tplc="AE14BB8C">
      <w:start w:val="1"/>
      <w:numFmt w:val="lowerRoman"/>
      <w:lvlText w:val="%3."/>
      <w:lvlJc w:val="right"/>
      <w:pPr>
        <w:ind w:left="2160" w:hanging="180"/>
      </w:pPr>
    </w:lvl>
    <w:lvl w:ilvl="3" w:tplc="778A88EE">
      <w:start w:val="1"/>
      <w:numFmt w:val="decimal"/>
      <w:lvlText w:val="%4."/>
      <w:lvlJc w:val="left"/>
      <w:pPr>
        <w:ind w:left="2880" w:hanging="360"/>
      </w:pPr>
    </w:lvl>
    <w:lvl w:ilvl="4" w:tplc="74E03838">
      <w:start w:val="1"/>
      <w:numFmt w:val="lowerLetter"/>
      <w:lvlText w:val="%5."/>
      <w:lvlJc w:val="left"/>
      <w:pPr>
        <w:ind w:left="3600" w:hanging="360"/>
      </w:pPr>
    </w:lvl>
    <w:lvl w:ilvl="5" w:tplc="1BF4B0C0">
      <w:start w:val="1"/>
      <w:numFmt w:val="lowerRoman"/>
      <w:lvlText w:val="%6."/>
      <w:lvlJc w:val="right"/>
      <w:pPr>
        <w:ind w:left="4320" w:hanging="180"/>
      </w:pPr>
    </w:lvl>
    <w:lvl w:ilvl="6" w:tplc="3BCC7E10">
      <w:start w:val="1"/>
      <w:numFmt w:val="decimal"/>
      <w:lvlText w:val="%7."/>
      <w:lvlJc w:val="left"/>
      <w:pPr>
        <w:ind w:left="5040" w:hanging="360"/>
      </w:pPr>
    </w:lvl>
    <w:lvl w:ilvl="7" w:tplc="A7A2A412">
      <w:start w:val="1"/>
      <w:numFmt w:val="lowerLetter"/>
      <w:lvlText w:val="%8."/>
      <w:lvlJc w:val="left"/>
      <w:pPr>
        <w:ind w:left="5760" w:hanging="360"/>
      </w:pPr>
    </w:lvl>
    <w:lvl w:ilvl="8" w:tplc="B922BC2C">
      <w:start w:val="1"/>
      <w:numFmt w:val="lowerRoman"/>
      <w:lvlText w:val="%9."/>
      <w:lvlJc w:val="right"/>
      <w:pPr>
        <w:ind w:left="6480" w:hanging="180"/>
      </w:pPr>
    </w:lvl>
  </w:abstractNum>
  <w:abstractNum w:abstractNumId="28">
    <w:nsid w:val="412274B0"/>
    <w:multiLevelType w:val="hybridMultilevel"/>
    <w:tmpl w:val="C3529788"/>
    <w:lvl w:ilvl="0" w:tplc="E548AF80">
      <w:start w:val="1"/>
      <w:numFmt w:val="decimal"/>
      <w:lvlText w:val="%1."/>
      <w:lvlJc w:val="left"/>
      <w:pPr>
        <w:ind w:left="720" w:hanging="360"/>
      </w:pPr>
    </w:lvl>
    <w:lvl w:ilvl="1" w:tplc="5B625560">
      <w:start w:val="1"/>
      <w:numFmt w:val="lowerLetter"/>
      <w:lvlText w:val="%2."/>
      <w:lvlJc w:val="left"/>
      <w:pPr>
        <w:ind w:left="1440" w:hanging="360"/>
      </w:pPr>
    </w:lvl>
    <w:lvl w:ilvl="2" w:tplc="B5808056">
      <w:start w:val="1"/>
      <w:numFmt w:val="lowerRoman"/>
      <w:lvlText w:val="%3."/>
      <w:lvlJc w:val="right"/>
      <w:pPr>
        <w:ind w:left="2160" w:hanging="180"/>
      </w:pPr>
    </w:lvl>
    <w:lvl w:ilvl="3" w:tplc="D010B5CA">
      <w:start w:val="1"/>
      <w:numFmt w:val="decimal"/>
      <w:lvlText w:val="%4."/>
      <w:lvlJc w:val="left"/>
      <w:pPr>
        <w:ind w:left="2880" w:hanging="360"/>
      </w:pPr>
    </w:lvl>
    <w:lvl w:ilvl="4" w:tplc="80C4424C">
      <w:start w:val="1"/>
      <w:numFmt w:val="lowerLetter"/>
      <w:lvlText w:val="%5."/>
      <w:lvlJc w:val="left"/>
      <w:pPr>
        <w:ind w:left="3600" w:hanging="360"/>
      </w:pPr>
    </w:lvl>
    <w:lvl w:ilvl="5" w:tplc="B2841E06">
      <w:start w:val="1"/>
      <w:numFmt w:val="lowerRoman"/>
      <w:lvlText w:val="%6."/>
      <w:lvlJc w:val="right"/>
      <w:pPr>
        <w:ind w:left="4320" w:hanging="180"/>
      </w:pPr>
    </w:lvl>
    <w:lvl w:ilvl="6" w:tplc="576643E0">
      <w:start w:val="1"/>
      <w:numFmt w:val="decimal"/>
      <w:lvlText w:val="%7."/>
      <w:lvlJc w:val="left"/>
      <w:pPr>
        <w:ind w:left="5040" w:hanging="360"/>
      </w:pPr>
    </w:lvl>
    <w:lvl w:ilvl="7" w:tplc="4168C01C">
      <w:start w:val="1"/>
      <w:numFmt w:val="lowerLetter"/>
      <w:lvlText w:val="%8."/>
      <w:lvlJc w:val="left"/>
      <w:pPr>
        <w:ind w:left="5760" w:hanging="360"/>
      </w:pPr>
    </w:lvl>
    <w:lvl w:ilvl="8" w:tplc="731C8118">
      <w:start w:val="1"/>
      <w:numFmt w:val="lowerRoman"/>
      <w:lvlText w:val="%9."/>
      <w:lvlJc w:val="right"/>
      <w:pPr>
        <w:ind w:left="6480" w:hanging="180"/>
      </w:pPr>
    </w:lvl>
  </w:abstractNum>
  <w:abstractNum w:abstractNumId="29">
    <w:nsid w:val="44DB5A2C"/>
    <w:multiLevelType w:val="hybridMultilevel"/>
    <w:tmpl w:val="2A1CFB9E"/>
    <w:lvl w:ilvl="0" w:tplc="689CBDB4">
      <w:start w:val="1"/>
      <w:numFmt w:val="bullet"/>
      <w:lvlText w:val=""/>
      <w:lvlJc w:val="left"/>
      <w:pPr>
        <w:ind w:left="720" w:hanging="360"/>
      </w:pPr>
      <w:rPr>
        <w:rFonts w:ascii="Symbol" w:hAnsi="Symbol" w:hint="default"/>
      </w:rPr>
    </w:lvl>
    <w:lvl w:ilvl="1" w:tplc="3CC6FDA4">
      <w:start w:val="1"/>
      <w:numFmt w:val="bullet"/>
      <w:lvlText w:val="o"/>
      <w:lvlJc w:val="left"/>
      <w:pPr>
        <w:ind w:left="1440" w:hanging="360"/>
      </w:pPr>
      <w:rPr>
        <w:rFonts w:ascii="Courier New" w:hAnsi="Courier New" w:hint="default"/>
      </w:rPr>
    </w:lvl>
    <w:lvl w:ilvl="2" w:tplc="3E629808">
      <w:start w:val="1"/>
      <w:numFmt w:val="bullet"/>
      <w:lvlText w:val=""/>
      <w:lvlJc w:val="left"/>
      <w:pPr>
        <w:ind w:left="2160" w:hanging="360"/>
      </w:pPr>
      <w:rPr>
        <w:rFonts w:ascii="Wingdings" w:hAnsi="Wingdings" w:hint="default"/>
      </w:rPr>
    </w:lvl>
    <w:lvl w:ilvl="3" w:tplc="ED2E8856">
      <w:start w:val="1"/>
      <w:numFmt w:val="bullet"/>
      <w:lvlText w:val=""/>
      <w:lvlJc w:val="left"/>
      <w:pPr>
        <w:ind w:left="2880" w:hanging="360"/>
      </w:pPr>
      <w:rPr>
        <w:rFonts w:ascii="Symbol" w:hAnsi="Symbol" w:hint="default"/>
      </w:rPr>
    </w:lvl>
    <w:lvl w:ilvl="4" w:tplc="EB5EF2F4">
      <w:start w:val="1"/>
      <w:numFmt w:val="bullet"/>
      <w:lvlText w:val="o"/>
      <w:lvlJc w:val="left"/>
      <w:pPr>
        <w:ind w:left="3600" w:hanging="360"/>
      </w:pPr>
      <w:rPr>
        <w:rFonts w:ascii="Courier New" w:hAnsi="Courier New" w:hint="default"/>
      </w:rPr>
    </w:lvl>
    <w:lvl w:ilvl="5" w:tplc="11F8BC6C">
      <w:start w:val="1"/>
      <w:numFmt w:val="bullet"/>
      <w:lvlText w:val=""/>
      <w:lvlJc w:val="left"/>
      <w:pPr>
        <w:ind w:left="4320" w:hanging="360"/>
      </w:pPr>
      <w:rPr>
        <w:rFonts w:ascii="Wingdings" w:hAnsi="Wingdings" w:hint="default"/>
      </w:rPr>
    </w:lvl>
    <w:lvl w:ilvl="6" w:tplc="010C6D1E">
      <w:start w:val="1"/>
      <w:numFmt w:val="bullet"/>
      <w:lvlText w:val=""/>
      <w:lvlJc w:val="left"/>
      <w:pPr>
        <w:ind w:left="5040" w:hanging="360"/>
      </w:pPr>
      <w:rPr>
        <w:rFonts w:ascii="Symbol" w:hAnsi="Symbol" w:hint="default"/>
      </w:rPr>
    </w:lvl>
    <w:lvl w:ilvl="7" w:tplc="7C0EBDEA">
      <w:start w:val="1"/>
      <w:numFmt w:val="bullet"/>
      <w:lvlText w:val="o"/>
      <w:lvlJc w:val="left"/>
      <w:pPr>
        <w:ind w:left="5760" w:hanging="360"/>
      </w:pPr>
      <w:rPr>
        <w:rFonts w:ascii="Courier New" w:hAnsi="Courier New" w:hint="default"/>
      </w:rPr>
    </w:lvl>
    <w:lvl w:ilvl="8" w:tplc="4224CDEC">
      <w:start w:val="1"/>
      <w:numFmt w:val="bullet"/>
      <w:lvlText w:val=""/>
      <w:lvlJc w:val="left"/>
      <w:pPr>
        <w:ind w:left="6480" w:hanging="360"/>
      </w:pPr>
      <w:rPr>
        <w:rFonts w:ascii="Wingdings" w:hAnsi="Wingdings" w:hint="default"/>
      </w:rPr>
    </w:lvl>
  </w:abstractNum>
  <w:abstractNum w:abstractNumId="30">
    <w:nsid w:val="4E735039"/>
    <w:multiLevelType w:val="hybridMultilevel"/>
    <w:tmpl w:val="E2C6570E"/>
    <w:lvl w:ilvl="0" w:tplc="06B48F5E">
      <w:start w:val="1"/>
      <w:numFmt w:val="bullet"/>
      <w:lvlText w:val=""/>
      <w:lvlJc w:val="left"/>
      <w:pPr>
        <w:ind w:left="720" w:hanging="360"/>
      </w:pPr>
      <w:rPr>
        <w:rFonts w:ascii="Symbol" w:hAnsi="Symbol" w:hint="default"/>
      </w:rPr>
    </w:lvl>
    <w:lvl w:ilvl="1" w:tplc="A76C54A2">
      <w:start w:val="1"/>
      <w:numFmt w:val="bullet"/>
      <w:lvlText w:val="o"/>
      <w:lvlJc w:val="left"/>
      <w:pPr>
        <w:ind w:left="1440" w:hanging="360"/>
      </w:pPr>
      <w:rPr>
        <w:rFonts w:ascii="Courier New" w:hAnsi="Courier New" w:hint="default"/>
      </w:rPr>
    </w:lvl>
    <w:lvl w:ilvl="2" w:tplc="598CD9DE">
      <w:start w:val="1"/>
      <w:numFmt w:val="bullet"/>
      <w:lvlText w:val=""/>
      <w:lvlJc w:val="left"/>
      <w:pPr>
        <w:ind w:left="2160" w:hanging="360"/>
      </w:pPr>
      <w:rPr>
        <w:rFonts w:ascii="Wingdings" w:hAnsi="Wingdings" w:hint="default"/>
      </w:rPr>
    </w:lvl>
    <w:lvl w:ilvl="3" w:tplc="AAEA68CC">
      <w:start w:val="1"/>
      <w:numFmt w:val="bullet"/>
      <w:lvlText w:val=""/>
      <w:lvlJc w:val="left"/>
      <w:pPr>
        <w:ind w:left="2880" w:hanging="360"/>
      </w:pPr>
      <w:rPr>
        <w:rFonts w:ascii="Symbol" w:hAnsi="Symbol" w:hint="default"/>
      </w:rPr>
    </w:lvl>
    <w:lvl w:ilvl="4" w:tplc="CF34B6CC">
      <w:start w:val="1"/>
      <w:numFmt w:val="bullet"/>
      <w:lvlText w:val="o"/>
      <w:lvlJc w:val="left"/>
      <w:pPr>
        <w:ind w:left="3600" w:hanging="360"/>
      </w:pPr>
      <w:rPr>
        <w:rFonts w:ascii="Courier New" w:hAnsi="Courier New" w:hint="default"/>
      </w:rPr>
    </w:lvl>
    <w:lvl w:ilvl="5" w:tplc="3A38DD08">
      <w:start w:val="1"/>
      <w:numFmt w:val="bullet"/>
      <w:lvlText w:val=""/>
      <w:lvlJc w:val="left"/>
      <w:pPr>
        <w:ind w:left="4320" w:hanging="360"/>
      </w:pPr>
      <w:rPr>
        <w:rFonts w:ascii="Wingdings" w:hAnsi="Wingdings" w:hint="default"/>
      </w:rPr>
    </w:lvl>
    <w:lvl w:ilvl="6" w:tplc="399446C2">
      <w:start w:val="1"/>
      <w:numFmt w:val="bullet"/>
      <w:lvlText w:val=""/>
      <w:lvlJc w:val="left"/>
      <w:pPr>
        <w:ind w:left="5040" w:hanging="360"/>
      </w:pPr>
      <w:rPr>
        <w:rFonts w:ascii="Symbol" w:hAnsi="Symbol" w:hint="default"/>
      </w:rPr>
    </w:lvl>
    <w:lvl w:ilvl="7" w:tplc="040239EA">
      <w:start w:val="1"/>
      <w:numFmt w:val="bullet"/>
      <w:lvlText w:val="o"/>
      <w:lvlJc w:val="left"/>
      <w:pPr>
        <w:ind w:left="5760" w:hanging="360"/>
      </w:pPr>
      <w:rPr>
        <w:rFonts w:ascii="Courier New" w:hAnsi="Courier New" w:hint="default"/>
      </w:rPr>
    </w:lvl>
    <w:lvl w:ilvl="8" w:tplc="4050CFBC">
      <w:start w:val="1"/>
      <w:numFmt w:val="bullet"/>
      <w:lvlText w:val=""/>
      <w:lvlJc w:val="left"/>
      <w:pPr>
        <w:ind w:left="6480" w:hanging="360"/>
      </w:pPr>
      <w:rPr>
        <w:rFonts w:ascii="Wingdings" w:hAnsi="Wingdings" w:hint="default"/>
      </w:rPr>
    </w:lvl>
  </w:abstractNum>
  <w:abstractNum w:abstractNumId="31">
    <w:nsid w:val="4F24610D"/>
    <w:multiLevelType w:val="hybridMultilevel"/>
    <w:tmpl w:val="179862C8"/>
    <w:lvl w:ilvl="0" w:tplc="2F2270F6">
      <w:start w:val="1"/>
      <w:numFmt w:val="bullet"/>
      <w:lvlText w:val=""/>
      <w:lvlJc w:val="left"/>
      <w:pPr>
        <w:ind w:left="720" w:hanging="360"/>
      </w:pPr>
      <w:rPr>
        <w:rFonts w:ascii="Symbol" w:hAnsi="Symbol" w:hint="default"/>
      </w:rPr>
    </w:lvl>
    <w:lvl w:ilvl="1" w:tplc="E5B4D2F2">
      <w:start w:val="1"/>
      <w:numFmt w:val="bullet"/>
      <w:lvlText w:val="o"/>
      <w:lvlJc w:val="left"/>
      <w:pPr>
        <w:ind w:left="1440" w:hanging="360"/>
      </w:pPr>
      <w:rPr>
        <w:rFonts w:ascii="Courier New" w:hAnsi="Courier New" w:hint="default"/>
      </w:rPr>
    </w:lvl>
    <w:lvl w:ilvl="2" w:tplc="18886CB2">
      <w:start w:val="1"/>
      <w:numFmt w:val="bullet"/>
      <w:lvlText w:val=""/>
      <w:lvlJc w:val="left"/>
      <w:pPr>
        <w:ind w:left="2160" w:hanging="360"/>
      </w:pPr>
      <w:rPr>
        <w:rFonts w:ascii="Wingdings" w:hAnsi="Wingdings" w:hint="default"/>
      </w:rPr>
    </w:lvl>
    <w:lvl w:ilvl="3" w:tplc="762275A2">
      <w:start w:val="1"/>
      <w:numFmt w:val="bullet"/>
      <w:lvlText w:val=""/>
      <w:lvlJc w:val="left"/>
      <w:pPr>
        <w:ind w:left="2880" w:hanging="360"/>
      </w:pPr>
      <w:rPr>
        <w:rFonts w:ascii="Symbol" w:hAnsi="Symbol" w:hint="default"/>
      </w:rPr>
    </w:lvl>
    <w:lvl w:ilvl="4" w:tplc="43D6ECE8">
      <w:start w:val="1"/>
      <w:numFmt w:val="bullet"/>
      <w:lvlText w:val="o"/>
      <w:lvlJc w:val="left"/>
      <w:pPr>
        <w:ind w:left="3600" w:hanging="360"/>
      </w:pPr>
      <w:rPr>
        <w:rFonts w:ascii="Courier New" w:hAnsi="Courier New" w:hint="default"/>
      </w:rPr>
    </w:lvl>
    <w:lvl w:ilvl="5" w:tplc="1C507626">
      <w:start w:val="1"/>
      <w:numFmt w:val="bullet"/>
      <w:lvlText w:val=""/>
      <w:lvlJc w:val="left"/>
      <w:pPr>
        <w:ind w:left="4320" w:hanging="360"/>
      </w:pPr>
      <w:rPr>
        <w:rFonts w:ascii="Wingdings" w:hAnsi="Wingdings" w:hint="default"/>
      </w:rPr>
    </w:lvl>
    <w:lvl w:ilvl="6" w:tplc="28800110">
      <w:start w:val="1"/>
      <w:numFmt w:val="bullet"/>
      <w:lvlText w:val=""/>
      <w:lvlJc w:val="left"/>
      <w:pPr>
        <w:ind w:left="5040" w:hanging="360"/>
      </w:pPr>
      <w:rPr>
        <w:rFonts w:ascii="Symbol" w:hAnsi="Symbol" w:hint="default"/>
      </w:rPr>
    </w:lvl>
    <w:lvl w:ilvl="7" w:tplc="1CB6EF3C">
      <w:start w:val="1"/>
      <w:numFmt w:val="bullet"/>
      <w:lvlText w:val="o"/>
      <w:lvlJc w:val="left"/>
      <w:pPr>
        <w:ind w:left="5760" w:hanging="360"/>
      </w:pPr>
      <w:rPr>
        <w:rFonts w:ascii="Courier New" w:hAnsi="Courier New" w:hint="default"/>
      </w:rPr>
    </w:lvl>
    <w:lvl w:ilvl="8" w:tplc="83EC680A">
      <w:start w:val="1"/>
      <w:numFmt w:val="bullet"/>
      <w:lvlText w:val=""/>
      <w:lvlJc w:val="left"/>
      <w:pPr>
        <w:ind w:left="6480" w:hanging="360"/>
      </w:pPr>
      <w:rPr>
        <w:rFonts w:ascii="Wingdings" w:hAnsi="Wingdings" w:hint="default"/>
      </w:rPr>
    </w:lvl>
  </w:abstractNum>
  <w:abstractNum w:abstractNumId="32">
    <w:nsid w:val="5069036D"/>
    <w:multiLevelType w:val="hybridMultilevel"/>
    <w:tmpl w:val="514A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637DDC"/>
    <w:multiLevelType w:val="hybridMultilevel"/>
    <w:tmpl w:val="43B84CF6"/>
    <w:lvl w:ilvl="0" w:tplc="FFC01B46">
      <w:start w:val="1"/>
      <w:numFmt w:val="bullet"/>
      <w:lvlText w:val=""/>
      <w:lvlJc w:val="left"/>
      <w:pPr>
        <w:ind w:left="720" w:hanging="360"/>
      </w:pPr>
      <w:rPr>
        <w:rFonts w:ascii="Symbol" w:hAnsi="Symbol" w:hint="default"/>
      </w:rPr>
    </w:lvl>
    <w:lvl w:ilvl="1" w:tplc="8B0CCBE2">
      <w:start w:val="1"/>
      <w:numFmt w:val="bullet"/>
      <w:lvlText w:val="o"/>
      <w:lvlJc w:val="left"/>
      <w:pPr>
        <w:ind w:left="1440" w:hanging="360"/>
      </w:pPr>
      <w:rPr>
        <w:rFonts w:ascii="Courier New" w:hAnsi="Courier New" w:hint="default"/>
      </w:rPr>
    </w:lvl>
    <w:lvl w:ilvl="2" w:tplc="14B48188">
      <w:start w:val="1"/>
      <w:numFmt w:val="bullet"/>
      <w:lvlText w:val=""/>
      <w:lvlJc w:val="left"/>
      <w:pPr>
        <w:ind w:left="2160" w:hanging="360"/>
      </w:pPr>
      <w:rPr>
        <w:rFonts w:ascii="Wingdings" w:hAnsi="Wingdings" w:hint="default"/>
      </w:rPr>
    </w:lvl>
    <w:lvl w:ilvl="3" w:tplc="9EE060F6">
      <w:start w:val="1"/>
      <w:numFmt w:val="bullet"/>
      <w:lvlText w:val=""/>
      <w:lvlJc w:val="left"/>
      <w:pPr>
        <w:ind w:left="2880" w:hanging="360"/>
      </w:pPr>
      <w:rPr>
        <w:rFonts w:ascii="Symbol" w:hAnsi="Symbol" w:hint="default"/>
      </w:rPr>
    </w:lvl>
    <w:lvl w:ilvl="4" w:tplc="4A504CCA">
      <w:start w:val="1"/>
      <w:numFmt w:val="bullet"/>
      <w:lvlText w:val="o"/>
      <w:lvlJc w:val="left"/>
      <w:pPr>
        <w:ind w:left="3600" w:hanging="360"/>
      </w:pPr>
      <w:rPr>
        <w:rFonts w:ascii="Courier New" w:hAnsi="Courier New" w:hint="default"/>
      </w:rPr>
    </w:lvl>
    <w:lvl w:ilvl="5" w:tplc="4D00516A">
      <w:start w:val="1"/>
      <w:numFmt w:val="bullet"/>
      <w:lvlText w:val=""/>
      <w:lvlJc w:val="left"/>
      <w:pPr>
        <w:ind w:left="4320" w:hanging="360"/>
      </w:pPr>
      <w:rPr>
        <w:rFonts w:ascii="Wingdings" w:hAnsi="Wingdings" w:hint="default"/>
      </w:rPr>
    </w:lvl>
    <w:lvl w:ilvl="6" w:tplc="D416DE64">
      <w:start w:val="1"/>
      <w:numFmt w:val="bullet"/>
      <w:lvlText w:val=""/>
      <w:lvlJc w:val="left"/>
      <w:pPr>
        <w:ind w:left="5040" w:hanging="360"/>
      </w:pPr>
      <w:rPr>
        <w:rFonts w:ascii="Symbol" w:hAnsi="Symbol" w:hint="default"/>
      </w:rPr>
    </w:lvl>
    <w:lvl w:ilvl="7" w:tplc="256CEDDE">
      <w:start w:val="1"/>
      <w:numFmt w:val="bullet"/>
      <w:lvlText w:val="o"/>
      <w:lvlJc w:val="left"/>
      <w:pPr>
        <w:ind w:left="5760" w:hanging="360"/>
      </w:pPr>
      <w:rPr>
        <w:rFonts w:ascii="Courier New" w:hAnsi="Courier New" w:hint="default"/>
      </w:rPr>
    </w:lvl>
    <w:lvl w:ilvl="8" w:tplc="EBF6CD08">
      <w:start w:val="1"/>
      <w:numFmt w:val="bullet"/>
      <w:lvlText w:val=""/>
      <w:lvlJc w:val="left"/>
      <w:pPr>
        <w:ind w:left="6480" w:hanging="360"/>
      </w:pPr>
      <w:rPr>
        <w:rFonts w:ascii="Wingdings" w:hAnsi="Wingdings" w:hint="default"/>
      </w:rPr>
    </w:lvl>
  </w:abstractNum>
  <w:abstractNum w:abstractNumId="34">
    <w:nsid w:val="5C654798"/>
    <w:multiLevelType w:val="hybridMultilevel"/>
    <w:tmpl w:val="26667748"/>
    <w:lvl w:ilvl="0" w:tplc="5F48A150">
      <w:start w:val="1"/>
      <w:numFmt w:val="decimal"/>
      <w:lvlText w:val="%1)"/>
      <w:lvlJc w:val="left"/>
      <w:pPr>
        <w:ind w:left="1080" w:hanging="360"/>
      </w:pPr>
      <w:rPr>
        <w:rFonts w:ascii="Verdana" w:hAnsi="Verdana" w:hint="default"/>
        <w:color w:val="000000"/>
        <w:sz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94531"/>
    <w:multiLevelType w:val="hybridMultilevel"/>
    <w:tmpl w:val="7222F1EA"/>
    <w:lvl w:ilvl="0" w:tplc="3102A27C">
      <w:start w:val="1"/>
      <w:numFmt w:val="decimal"/>
      <w:lvlText w:val="%1."/>
      <w:lvlJc w:val="left"/>
      <w:pPr>
        <w:ind w:left="720" w:hanging="360"/>
      </w:pPr>
    </w:lvl>
    <w:lvl w:ilvl="1" w:tplc="E3E8CB2E">
      <w:start w:val="1"/>
      <w:numFmt w:val="lowerLetter"/>
      <w:lvlText w:val="%2."/>
      <w:lvlJc w:val="left"/>
      <w:pPr>
        <w:ind w:left="1440" w:hanging="360"/>
      </w:pPr>
    </w:lvl>
    <w:lvl w:ilvl="2" w:tplc="3D58B808">
      <w:start w:val="1"/>
      <w:numFmt w:val="lowerRoman"/>
      <w:lvlText w:val="%3."/>
      <w:lvlJc w:val="right"/>
      <w:pPr>
        <w:ind w:left="2160" w:hanging="180"/>
      </w:pPr>
    </w:lvl>
    <w:lvl w:ilvl="3" w:tplc="7B641D58">
      <w:start w:val="1"/>
      <w:numFmt w:val="decimal"/>
      <w:lvlText w:val="%4."/>
      <w:lvlJc w:val="left"/>
      <w:pPr>
        <w:ind w:left="2880" w:hanging="360"/>
      </w:pPr>
    </w:lvl>
    <w:lvl w:ilvl="4" w:tplc="3444994A">
      <w:start w:val="1"/>
      <w:numFmt w:val="lowerLetter"/>
      <w:lvlText w:val="%5."/>
      <w:lvlJc w:val="left"/>
      <w:pPr>
        <w:ind w:left="3600" w:hanging="360"/>
      </w:pPr>
    </w:lvl>
    <w:lvl w:ilvl="5" w:tplc="51BC25B4">
      <w:start w:val="1"/>
      <w:numFmt w:val="lowerRoman"/>
      <w:lvlText w:val="%6."/>
      <w:lvlJc w:val="right"/>
      <w:pPr>
        <w:ind w:left="4320" w:hanging="180"/>
      </w:pPr>
    </w:lvl>
    <w:lvl w:ilvl="6" w:tplc="C97A0956">
      <w:start w:val="1"/>
      <w:numFmt w:val="decimal"/>
      <w:lvlText w:val="%7."/>
      <w:lvlJc w:val="left"/>
      <w:pPr>
        <w:ind w:left="5040" w:hanging="360"/>
      </w:pPr>
    </w:lvl>
    <w:lvl w:ilvl="7" w:tplc="73BEAD6A">
      <w:start w:val="1"/>
      <w:numFmt w:val="lowerLetter"/>
      <w:lvlText w:val="%8."/>
      <w:lvlJc w:val="left"/>
      <w:pPr>
        <w:ind w:left="5760" w:hanging="360"/>
      </w:pPr>
    </w:lvl>
    <w:lvl w:ilvl="8" w:tplc="34308E60">
      <w:start w:val="1"/>
      <w:numFmt w:val="lowerRoman"/>
      <w:lvlText w:val="%9."/>
      <w:lvlJc w:val="right"/>
      <w:pPr>
        <w:ind w:left="6480" w:hanging="180"/>
      </w:pPr>
    </w:lvl>
  </w:abstractNum>
  <w:abstractNum w:abstractNumId="36">
    <w:nsid w:val="5ED31916"/>
    <w:multiLevelType w:val="hybridMultilevel"/>
    <w:tmpl w:val="0C0A1E9C"/>
    <w:lvl w:ilvl="0" w:tplc="85AC92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2DF5C1C"/>
    <w:multiLevelType w:val="hybridMultilevel"/>
    <w:tmpl w:val="CEC8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EA6C44"/>
    <w:multiLevelType w:val="hybridMultilevel"/>
    <w:tmpl w:val="5DC6E548"/>
    <w:lvl w:ilvl="0" w:tplc="A6C2CC2A">
      <w:start w:val="1"/>
      <w:numFmt w:val="bullet"/>
      <w:lvlText w:val=""/>
      <w:lvlJc w:val="left"/>
      <w:pPr>
        <w:ind w:left="720" w:hanging="360"/>
      </w:pPr>
      <w:rPr>
        <w:rFonts w:ascii="Symbol" w:hAnsi="Symbol" w:hint="default"/>
      </w:rPr>
    </w:lvl>
    <w:lvl w:ilvl="1" w:tplc="DBB6603E">
      <w:start w:val="1"/>
      <w:numFmt w:val="bullet"/>
      <w:lvlText w:val="o"/>
      <w:lvlJc w:val="left"/>
      <w:pPr>
        <w:ind w:left="1440" w:hanging="360"/>
      </w:pPr>
      <w:rPr>
        <w:rFonts w:ascii="Courier New" w:hAnsi="Courier New" w:hint="default"/>
      </w:rPr>
    </w:lvl>
    <w:lvl w:ilvl="2" w:tplc="92FE87D8">
      <w:start w:val="1"/>
      <w:numFmt w:val="bullet"/>
      <w:lvlText w:val=""/>
      <w:lvlJc w:val="left"/>
      <w:pPr>
        <w:ind w:left="2160" w:hanging="360"/>
      </w:pPr>
      <w:rPr>
        <w:rFonts w:ascii="Wingdings" w:hAnsi="Wingdings" w:hint="default"/>
      </w:rPr>
    </w:lvl>
    <w:lvl w:ilvl="3" w:tplc="CF603336">
      <w:start w:val="1"/>
      <w:numFmt w:val="bullet"/>
      <w:lvlText w:val=""/>
      <w:lvlJc w:val="left"/>
      <w:pPr>
        <w:ind w:left="2880" w:hanging="360"/>
      </w:pPr>
      <w:rPr>
        <w:rFonts w:ascii="Symbol" w:hAnsi="Symbol" w:hint="default"/>
      </w:rPr>
    </w:lvl>
    <w:lvl w:ilvl="4" w:tplc="F5545032">
      <w:start w:val="1"/>
      <w:numFmt w:val="bullet"/>
      <w:lvlText w:val="o"/>
      <w:lvlJc w:val="left"/>
      <w:pPr>
        <w:ind w:left="3600" w:hanging="360"/>
      </w:pPr>
      <w:rPr>
        <w:rFonts w:ascii="Courier New" w:hAnsi="Courier New" w:hint="default"/>
      </w:rPr>
    </w:lvl>
    <w:lvl w:ilvl="5" w:tplc="F3E64B62">
      <w:start w:val="1"/>
      <w:numFmt w:val="bullet"/>
      <w:lvlText w:val=""/>
      <w:lvlJc w:val="left"/>
      <w:pPr>
        <w:ind w:left="4320" w:hanging="360"/>
      </w:pPr>
      <w:rPr>
        <w:rFonts w:ascii="Wingdings" w:hAnsi="Wingdings" w:hint="default"/>
      </w:rPr>
    </w:lvl>
    <w:lvl w:ilvl="6" w:tplc="86026C52">
      <w:start w:val="1"/>
      <w:numFmt w:val="bullet"/>
      <w:lvlText w:val=""/>
      <w:lvlJc w:val="left"/>
      <w:pPr>
        <w:ind w:left="5040" w:hanging="360"/>
      </w:pPr>
      <w:rPr>
        <w:rFonts w:ascii="Symbol" w:hAnsi="Symbol" w:hint="default"/>
      </w:rPr>
    </w:lvl>
    <w:lvl w:ilvl="7" w:tplc="E2766B94">
      <w:start w:val="1"/>
      <w:numFmt w:val="bullet"/>
      <w:lvlText w:val="o"/>
      <w:lvlJc w:val="left"/>
      <w:pPr>
        <w:ind w:left="5760" w:hanging="360"/>
      </w:pPr>
      <w:rPr>
        <w:rFonts w:ascii="Courier New" w:hAnsi="Courier New" w:hint="default"/>
      </w:rPr>
    </w:lvl>
    <w:lvl w:ilvl="8" w:tplc="9D728766">
      <w:start w:val="1"/>
      <w:numFmt w:val="bullet"/>
      <w:lvlText w:val=""/>
      <w:lvlJc w:val="left"/>
      <w:pPr>
        <w:ind w:left="6480" w:hanging="360"/>
      </w:pPr>
      <w:rPr>
        <w:rFonts w:ascii="Wingdings" w:hAnsi="Wingdings" w:hint="default"/>
      </w:rPr>
    </w:lvl>
  </w:abstractNum>
  <w:abstractNum w:abstractNumId="39">
    <w:nsid w:val="687F235D"/>
    <w:multiLevelType w:val="hybridMultilevel"/>
    <w:tmpl w:val="BEEE3298"/>
    <w:lvl w:ilvl="0" w:tplc="7BEEF50E">
      <w:start w:val="1"/>
      <w:numFmt w:val="decimal"/>
      <w:lvlText w:val="%1."/>
      <w:lvlJc w:val="left"/>
      <w:pPr>
        <w:ind w:left="720" w:hanging="360"/>
      </w:pPr>
    </w:lvl>
    <w:lvl w:ilvl="1" w:tplc="BD88B36A">
      <w:start w:val="1"/>
      <w:numFmt w:val="lowerLetter"/>
      <w:lvlText w:val="%2."/>
      <w:lvlJc w:val="left"/>
      <w:pPr>
        <w:ind w:left="1440" w:hanging="360"/>
      </w:pPr>
    </w:lvl>
    <w:lvl w:ilvl="2" w:tplc="88E6536C">
      <w:start w:val="1"/>
      <w:numFmt w:val="lowerRoman"/>
      <w:lvlText w:val="%3."/>
      <w:lvlJc w:val="right"/>
      <w:pPr>
        <w:ind w:left="2160" w:hanging="180"/>
      </w:pPr>
    </w:lvl>
    <w:lvl w:ilvl="3" w:tplc="E17266D0">
      <w:start w:val="1"/>
      <w:numFmt w:val="decimal"/>
      <w:lvlText w:val="%4."/>
      <w:lvlJc w:val="left"/>
      <w:pPr>
        <w:ind w:left="2880" w:hanging="360"/>
      </w:pPr>
    </w:lvl>
    <w:lvl w:ilvl="4" w:tplc="D908AF7E">
      <w:start w:val="1"/>
      <w:numFmt w:val="lowerLetter"/>
      <w:lvlText w:val="%5."/>
      <w:lvlJc w:val="left"/>
      <w:pPr>
        <w:ind w:left="3600" w:hanging="360"/>
      </w:pPr>
    </w:lvl>
    <w:lvl w:ilvl="5" w:tplc="FC4693DC">
      <w:start w:val="1"/>
      <w:numFmt w:val="lowerRoman"/>
      <w:lvlText w:val="%6."/>
      <w:lvlJc w:val="right"/>
      <w:pPr>
        <w:ind w:left="4320" w:hanging="180"/>
      </w:pPr>
    </w:lvl>
    <w:lvl w:ilvl="6" w:tplc="0D84C15E">
      <w:start w:val="1"/>
      <w:numFmt w:val="decimal"/>
      <w:lvlText w:val="%7."/>
      <w:lvlJc w:val="left"/>
      <w:pPr>
        <w:ind w:left="5040" w:hanging="360"/>
      </w:pPr>
    </w:lvl>
    <w:lvl w:ilvl="7" w:tplc="AAD89F54">
      <w:start w:val="1"/>
      <w:numFmt w:val="lowerLetter"/>
      <w:lvlText w:val="%8."/>
      <w:lvlJc w:val="left"/>
      <w:pPr>
        <w:ind w:left="5760" w:hanging="360"/>
      </w:pPr>
    </w:lvl>
    <w:lvl w:ilvl="8" w:tplc="CAA475C2">
      <w:start w:val="1"/>
      <w:numFmt w:val="lowerRoman"/>
      <w:lvlText w:val="%9."/>
      <w:lvlJc w:val="right"/>
      <w:pPr>
        <w:ind w:left="6480" w:hanging="180"/>
      </w:pPr>
    </w:lvl>
  </w:abstractNum>
  <w:abstractNum w:abstractNumId="40">
    <w:nsid w:val="71854B8D"/>
    <w:multiLevelType w:val="hybridMultilevel"/>
    <w:tmpl w:val="5F2A577A"/>
    <w:lvl w:ilvl="0" w:tplc="4E56B6F0">
      <w:start w:val="1"/>
      <w:numFmt w:val="bullet"/>
      <w:lvlText w:val=""/>
      <w:lvlJc w:val="left"/>
      <w:pPr>
        <w:ind w:left="720" w:hanging="360"/>
      </w:pPr>
      <w:rPr>
        <w:rFonts w:ascii="Symbol" w:hAnsi="Symbol" w:hint="default"/>
      </w:rPr>
    </w:lvl>
    <w:lvl w:ilvl="1" w:tplc="B1C69B4C">
      <w:start w:val="1"/>
      <w:numFmt w:val="bullet"/>
      <w:lvlText w:val="o"/>
      <w:lvlJc w:val="left"/>
      <w:pPr>
        <w:ind w:left="1440" w:hanging="360"/>
      </w:pPr>
      <w:rPr>
        <w:rFonts w:ascii="Courier New" w:hAnsi="Courier New" w:hint="default"/>
      </w:rPr>
    </w:lvl>
    <w:lvl w:ilvl="2" w:tplc="27AE85D2">
      <w:start w:val="1"/>
      <w:numFmt w:val="bullet"/>
      <w:lvlText w:val=""/>
      <w:lvlJc w:val="left"/>
      <w:pPr>
        <w:ind w:left="2160" w:hanging="360"/>
      </w:pPr>
      <w:rPr>
        <w:rFonts w:ascii="Wingdings" w:hAnsi="Wingdings" w:hint="default"/>
      </w:rPr>
    </w:lvl>
    <w:lvl w:ilvl="3" w:tplc="34D67EB2">
      <w:start w:val="1"/>
      <w:numFmt w:val="bullet"/>
      <w:lvlText w:val=""/>
      <w:lvlJc w:val="left"/>
      <w:pPr>
        <w:ind w:left="2880" w:hanging="360"/>
      </w:pPr>
      <w:rPr>
        <w:rFonts w:ascii="Symbol" w:hAnsi="Symbol" w:hint="default"/>
      </w:rPr>
    </w:lvl>
    <w:lvl w:ilvl="4" w:tplc="F2CC09D4">
      <w:start w:val="1"/>
      <w:numFmt w:val="bullet"/>
      <w:lvlText w:val="o"/>
      <w:lvlJc w:val="left"/>
      <w:pPr>
        <w:ind w:left="3600" w:hanging="360"/>
      </w:pPr>
      <w:rPr>
        <w:rFonts w:ascii="Courier New" w:hAnsi="Courier New" w:hint="default"/>
      </w:rPr>
    </w:lvl>
    <w:lvl w:ilvl="5" w:tplc="6EEE0844">
      <w:start w:val="1"/>
      <w:numFmt w:val="bullet"/>
      <w:lvlText w:val=""/>
      <w:lvlJc w:val="left"/>
      <w:pPr>
        <w:ind w:left="4320" w:hanging="360"/>
      </w:pPr>
      <w:rPr>
        <w:rFonts w:ascii="Wingdings" w:hAnsi="Wingdings" w:hint="default"/>
      </w:rPr>
    </w:lvl>
    <w:lvl w:ilvl="6" w:tplc="682E26B0">
      <w:start w:val="1"/>
      <w:numFmt w:val="bullet"/>
      <w:lvlText w:val=""/>
      <w:lvlJc w:val="left"/>
      <w:pPr>
        <w:ind w:left="5040" w:hanging="360"/>
      </w:pPr>
      <w:rPr>
        <w:rFonts w:ascii="Symbol" w:hAnsi="Symbol" w:hint="default"/>
      </w:rPr>
    </w:lvl>
    <w:lvl w:ilvl="7" w:tplc="A1A6EBF8">
      <w:start w:val="1"/>
      <w:numFmt w:val="bullet"/>
      <w:lvlText w:val="o"/>
      <w:lvlJc w:val="left"/>
      <w:pPr>
        <w:ind w:left="5760" w:hanging="360"/>
      </w:pPr>
      <w:rPr>
        <w:rFonts w:ascii="Courier New" w:hAnsi="Courier New" w:hint="default"/>
      </w:rPr>
    </w:lvl>
    <w:lvl w:ilvl="8" w:tplc="529A3D64">
      <w:start w:val="1"/>
      <w:numFmt w:val="bullet"/>
      <w:lvlText w:val=""/>
      <w:lvlJc w:val="left"/>
      <w:pPr>
        <w:ind w:left="6480" w:hanging="360"/>
      </w:pPr>
      <w:rPr>
        <w:rFonts w:ascii="Wingdings" w:hAnsi="Wingdings" w:hint="default"/>
      </w:rPr>
    </w:lvl>
  </w:abstractNum>
  <w:abstractNum w:abstractNumId="41">
    <w:nsid w:val="76086278"/>
    <w:multiLevelType w:val="hybridMultilevel"/>
    <w:tmpl w:val="DE0C0202"/>
    <w:lvl w:ilvl="0" w:tplc="70EEED3A">
      <w:start w:val="1"/>
      <w:numFmt w:val="bullet"/>
      <w:lvlText w:val=""/>
      <w:lvlJc w:val="left"/>
      <w:pPr>
        <w:ind w:left="720" w:hanging="360"/>
      </w:pPr>
      <w:rPr>
        <w:rFonts w:ascii="Symbol" w:hAnsi="Symbol" w:hint="default"/>
      </w:rPr>
    </w:lvl>
    <w:lvl w:ilvl="1" w:tplc="8F48427E">
      <w:start w:val="1"/>
      <w:numFmt w:val="bullet"/>
      <w:lvlText w:val="o"/>
      <w:lvlJc w:val="left"/>
      <w:pPr>
        <w:ind w:left="1440" w:hanging="360"/>
      </w:pPr>
      <w:rPr>
        <w:rFonts w:ascii="Courier New" w:hAnsi="Courier New" w:hint="default"/>
      </w:rPr>
    </w:lvl>
    <w:lvl w:ilvl="2" w:tplc="459020E2">
      <w:start w:val="1"/>
      <w:numFmt w:val="bullet"/>
      <w:lvlText w:val=""/>
      <w:lvlJc w:val="left"/>
      <w:pPr>
        <w:ind w:left="2160" w:hanging="360"/>
      </w:pPr>
      <w:rPr>
        <w:rFonts w:ascii="Wingdings" w:hAnsi="Wingdings" w:hint="default"/>
      </w:rPr>
    </w:lvl>
    <w:lvl w:ilvl="3" w:tplc="002862F4">
      <w:start w:val="1"/>
      <w:numFmt w:val="bullet"/>
      <w:lvlText w:val=""/>
      <w:lvlJc w:val="left"/>
      <w:pPr>
        <w:ind w:left="2880" w:hanging="360"/>
      </w:pPr>
      <w:rPr>
        <w:rFonts w:ascii="Symbol" w:hAnsi="Symbol" w:hint="default"/>
      </w:rPr>
    </w:lvl>
    <w:lvl w:ilvl="4" w:tplc="C5F49D88">
      <w:start w:val="1"/>
      <w:numFmt w:val="bullet"/>
      <w:lvlText w:val="o"/>
      <w:lvlJc w:val="left"/>
      <w:pPr>
        <w:ind w:left="3600" w:hanging="360"/>
      </w:pPr>
      <w:rPr>
        <w:rFonts w:ascii="Courier New" w:hAnsi="Courier New" w:hint="default"/>
      </w:rPr>
    </w:lvl>
    <w:lvl w:ilvl="5" w:tplc="0FE2C3E6">
      <w:start w:val="1"/>
      <w:numFmt w:val="bullet"/>
      <w:lvlText w:val=""/>
      <w:lvlJc w:val="left"/>
      <w:pPr>
        <w:ind w:left="4320" w:hanging="360"/>
      </w:pPr>
      <w:rPr>
        <w:rFonts w:ascii="Wingdings" w:hAnsi="Wingdings" w:hint="default"/>
      </w:rPr>
    </w:lvl>
    <w:lvl w:ilvl="6" w:tplc="D7C075AA">
      <w:start w:val="1"/>
      <w:numFmt w:val="bullet"/>
      <w:lvlText w:val=""/>
      <w:lvlJc w:val="left"/>
      <w:pPr>
        <w:ind w:left="5040" w:hanging="360"/>
      </w:pPr>
      <w:rPr>
        <w:rFonts w:ascii="Symbol" w:hAnsi="Symbol" w:hint="default"/>
      </w:rPr>
    </w:lvl>
    <w:lvl w:ilvl="7" w:tplc="8A848CC4">
      <w:start w:val="1"/>
      <w:numFmt w:val="bullet"/>
      <w:lvlText w:val="o"/>
      <w:lvlJc w:val="left"/>
      <w:pPr>
        <w:ind w:left="5760" w:hanging="360"/>
      </w:pPr>
      <w:rPr>
        <w:rFonts w:ascii="Courier New" w:hAnsi="Courier New" w:hint="default"/>
      </w:rPr>
    </w:lvl>
    <w:lvl w:ilvl="8" w:tplc="A2CA9A82">
      <w:start w:val="1"/>
      <w:numFmt w:val="bullet"/>
      <w:lvlText w:val=""/>
      <w:lvlJc w:val="left"/>
      <w:pPr>
        <w:ind w:left="6480" w:hanging="360"/>
      </w:pPr>
      <w:rPr>
        <w:rFonts w:ascii="Wingdings" w:hAnsi="Wingdings" w:hint="default"/>
      </w:rPr>
    </w:lvl>
  </w:abstractNum>
  <w:abstractNum w:abstractNumId="42">
    <w:nsid w:val="761D0FE3"/>
    <w:multiLevelType w:val="hybridMultilevel"/>
    <w:tmpl w:val="2FD20248"/>
    <w:lvl w:ilvl="0" w:tplc="BE5C7AC6">
      <w:start w:val="1"/>
      <w:numFmt w:val="bullet"/>
      <w:lvlText w:val=""/>
      <w:lvlJc w:val="left"/>
      <w:pPr>
        <w:ind w:left="720" w:hanging="360"/>
      </w:pPr>
      <w:rPr>
        <w:rFonts w:ascii="Symbol" w:hAnsi="Symbol" w:hint="default"/>
      </w:rPr>
    </w:lvl>
    <w:lvl w:ilvl="1" w:tplc="86B4253C">
      <w:start w:val="1"/>
      <w:numFmt w:val="bullet"/>
      <w:lvlText w:val="o"/>
      <w:lvlJc w:val="left"/>
      <w:pPr>
        <w:ind w:left="1440" w:hanging="360"/>
      </w:pPr>
      <w:rPr>
        <w:rFonts w:ascii="Courier New" w:hAnsi="Courier New" w:hint="default"/>
      </w:rPr>
    </w:lvl>
    <w:lvl w:ilvl="2" w:tplc="C2EEB0A6">
      <w:start w:val="1"/>
      <w:numFmt w:val="bullet"/>
      <w:lvlText w:val=""/>
      <w:lvlJc w:val="left"/>
      <w:pPr>
        <w:ind w:left="2160" w:hanging="360"/>
      </w:pPr>
      <w:rPr>
        <w:rFonts w:ascii="Wingdings" w:hAnsi="Wingdings" w:hint="default"/>
      </w:rPr>
    </w:lvl>
    <w:lvl w:ilvl="3" w:tplc="7F40358C">
      <w:start w:val="1"/>
      <w:numFmt w:val="bullet"/>
      <w:lvlText w:val=""/>
      <w:lvlJc w:val="left"/>
      <w:pPr>
        <w:ind w:left="2880" w:hanging="360"/>
      </w:pPr>
      <w:rPr>
        <w:rFonts w:ascii="Symbol" w:hAnsi="Symbol" w:hint="default"/>
      </w:rPr>
    </w:lvl>
    <w:lvl w:ilvl="4" w:tplc="AA667710">
      <w:start w:val="1"/>
      <w:numFmt w:val="bullet"/>
      <w:lvlText w:val="o"/>
      <w:lvlJc w:val="left"/>
      <w:pPr>
        <w:ind w:left="3600" w:hanging="360"/>
      </w:pPr>
      <w:rPr>
        <w:rFonts w:ascii="Courier New" w:hAnsi="Courier New" w:hint="default"/>
      </w:rPr>
    </w:lvl>
    <w:lvl w:ilvl="5" w:tplc="1EA4F34E">
      <w:start w:val="1"/>
      <w:numFmt w:val="bullet"/>
      <w:lvlText w:val=""/>
      <w:lvlJc w:val="left"/>
      <w:pPr>
        <w:ind w:left="4320" w:hanging="360"/>
      </w:pPr>
      <w:rPr>
        <w:rFonts w:ascii="Wingdings" w:hAnsi="Wingdings" w:hint="default"/>
      </w:rPr>
    </w:lvl>
    <w:lvl w:ilvl="6" w:tplc="A872D092">
      <w:start w:val="1"/>
      <w:numFmt w:val="bullet"/>
      <w:lvlText w:val=""/>
      <w:lvlJc w:val="left"/>
      <w:pPr>
        <w:ind w:left="5040" w:hanging="360"/>
      </w:pPr>
      <w:rPr>
        <w:rFonts w:ascii="Symbol" w:hAnsi="Symbol" w:hint="default"/>
      </w:rPr>
    </w:lvl>
    <w:lvl w:ilvl="7" w:tplc="241C92DE">
      <w:start w:val="1"/>
      <w:numFmt w:val="bullet"/>
      <w:lvlText w:val="o"/>
      <w:lvlJc w:val="left"/>
      <w:pPr>
        <w:ind w:left="5760" w:hanging="360"/>
      </w:pPr>
      <w:rPr>
        <w:rFonts w:ascii="Courier New" w:hAnsi="Courier New" w:hint="default"/>
      </w:rPr>
    </w:lvl>
    <w:lvl w:ilvl="8" w:tplc="E174B138">
      <w:start w:val="1"/>
      <w:numFmt w:val="bullet"/>
      <w:lvlText w:val=""/>
      <w:lvlJc w:val="left"/>
      <w:pPr>
        <w:ind w:left="6480" w:hanging="360"/>
      </w:pPr>
      <w:rPr>
        <w:rFonts w:ascii="Wingdings" w:hAnsi="Wingdings" w:hint="default"/>
      </w:rPr>
    </w:lvl>
  </w:abstractNum>
  <w:abstractNum w:abstractNumId="43">
    <w:nsid w:val="77763DFF"/>
    <w:multiLevelType w:val="multilevel"/>
    <w:tmpl w:val="390A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FA7D3A"/>
    <w:multiLevelType w:val="hybridMultilevel"/>
    <w:tmpl w:val="A02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E54091"/>
    <w:multiLevelType w:val="hybridMultilevel"/>
    <w:tmpl w:val="E9CCE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62666F"/>
    <w:multiLevelType w:val="hybridMultilevel"/>
    <w:tmpl w:val="F458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675B8E"/>
    <w:multiLevelType w:val="hybridMultilevel"/>
    <w:tmpl w:val="565A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41"/>
  </w:num>
  <w:num w:numId="5">
    <w:abstractNumId w:val="1"/>
  </w:num>
  <w:num w:numId="6">
    <w:abstractNumId w:val="26"/>
  </w:num>
  <w:num w:numId="7">
    <w:abstractNumId w:val="17"/>
  </w:num>
  <w:num w:numId="8">
    <w:abstractNumId w:val="9"/>
  </w:num>
  <w:num w:numId="9">
    <w:abstractNumId w:val="24"/>
  </w:num>
  <w:num w:numId="10">
    <w:abstractNumId w:val="23"/>
  </w:num>
  <w:num w:numId="11">
    <w:abstractNumId w:val="28"/>
  </w:num>
  <w:num w:numId="12">
    <w:abstractNumId w:val="11"/>
  </w:num>
  <w:num w:numId="13">
    <w:abstractNumId w:val="35"/>
  </w:num>
  <w:num w:numId="14">
    <w:abstractNumId w:val="25"/>
  </w:num>
  <w:num w:numId="15">
    <w:abstractNumId w:val="21"/>
  </w:num>
  <w:num w:numId="16">
    <w:abstractNumId w:val="39"/>
  </w:num>
  <w:num w:numId="17">
    <w:abstractNumId w:val="10"/>
  </w:num>
  <w:num w:numId="18">
    <w:abstractNumId w:val="38"/>
  </w:num>
  <w:num w:numId="19">
    <w:abstractNumId w:val="42"/>
  </w:num>
  <w:num w:numId="20">
    <w:abstractNumId w:val="12"/>
  </w:num>
  <w:num w:numId="21">
    <w:abstractNumId w:val="31"/>
  </w:num>
  <w:num w:numId="22">
    <w:abstractNumId w:val="40"/>
  </w:num>
  <w:num w:numId="23">
    <w:abstractNumId w:val="30"/>
  </w:num>
  <w:num w:numId="24">
    <w:abstractNumId w:val="2"/>
  </w:num>
  <w:num w:numId="25">
    <w:abstractNumId w:val="33"/>
  </w:num>
  <w:num w:numId="26">
    <w:abstractNumId w:val="18"/>
  </w:num>
  <w:num w:numId="27">
    <w:abstractNumId w:val="27"/>
  </w:num>
  <w:num w:numId="28">
    <w:abstractNumId w:val="29"/>
  </w:num>
  <w:num w:numId="29">
    <w:abstractNumId w:val="22"/>
  </w:num>
  <w:num w:numId="30">
    <w:abstractNumId w:val="45"/>
  </w:num>
  <w:num w:numId="31">
    <w:abstractNumId w:val="15"/>
  </w:num>
  <w:num w:numId="32">
    <w:abstractNumId w:val="19"/>
  </w:num>
  <w:num w:numId="33">
    <w:abstractNumId w:val="20"/>
  </w:num>
  <w:num w:numId="34">
    <w:abstractNumId w:val="36"/>
  </w:num>
  <w:num w:numId="35">
    <w:abstractNumId w:val="5"/>
  </w:num>
  <w:num w:numId="36">
    <w:abstractNumId w:val="0"/>
  </w:num>
  <w:num w:numId="37">
    <w:abstractNumId w:val="34"/>
  </w:num>
  <w:num w:numId="38">
    <w:abstractNumId w:val="43"/>
  </w:num>
  <w:num w:numId="39">
    <w:abstractNumId w:val="7"/>
  </w:num>
  <w:num w:numId="40">
    <w:abstractNumId w:val="6"/>
  </w:num>
  <w:num w:numId="41">
    <w:abstractNumId w:val="44"/>
  </w:num>
  <w:num w:numId="42">
    <w:abstractNumId w:val="46"/>
  </w:num>
  <w:num w:numId="43">
    <w:abstractNumId w:val="16"/>
  </w:num>
  <w:num w:numId="44">
    <w:abstractNumId w:val="47"/>
  </w:num>
  <w:num w:numId="45">
    <w:abstractNumId w:val="13"/>
  </w:num>
  <w:num w:numId="46">
    <w:abstractNumId w:val="32"/>
  </w:num>
  <w:num w:numId="47">
    <w:abstractNumId w:val="8"/>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embedSystemFonts/>
  <w:activeWritingStyle w:appName="MSWord" w:lang="en-US" w:vendorID="64" w:dllVersion="6" w:nlCheck="1" w:checkStyle="1"/>
  <w:activeWritingStyle w:appName="MSWord" w:lang="es-ES" w:vendorID="64" w:dllVersion="6" w:nlCheck="1" w:checkStyle="1"/>
  <w:activeWritingStyle w:appName="MSWord" w:lang="pt-BR"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411488656365741I007" w:val="*1,597˜11Bernadette~Mazurek~Melnyk~Ellen~~Fineout-Overholt~˜12032011˜15Evidence -based practice in nursing and healthcare. A guide to best practice˜2201˜1522nd˜21951˜21940˜110Philadelphia, PA˜111Wolters Kluwer/Lippincott, Williams &amp; Wilkins˜1449˜2690˜1196˜1609˜"/>
    <w:docVar w:name="412908190046296I0" w:val="*1,597˜11James~L.~Harris~Linda~~Roussel~Sandra~E.~Walters~Catherine~~Dearman~˜12032011˜15Project planning and management:  A guide for CNLs, DNPs, and nurse executives.˜2200˜152˜21951˜21940˜110Sudbury, MA˜111Jones &amp; Bartlett Learning˜1449˜2690˜1196˜1609˜"/>
    <w:docVar w:name="415174426388889I0" w:val="*1,597˜11Dariush~~Honardoust~˜12032012˜15Essentials of medical aesthetics: Clinical and scientific skin care &amp; rejuvenation˜2200˜152˜21951˜21940˜110Alberta, Canada˜111Xlibris˜1449˜2690˜1196˜1609˜"/>
    <w:docVar w:name="415174720023148I0" w:val="*1,774˜17Peter~M~Prendergast~Melvin~A~Shiffman~˜12032011˜14Botulinum toxins˜15Aesthetic medicine: Art and techniques˜2200˜152˜23361˜23370˜2711˜241˜173˜171103˜172129˜1603˜2338˜21951˜21940˜110Berlin, Germany˜111Springer˜1449˜269˜1196˜1609˜"/>
    <w:docVar w:name="415275548495370I0" w:val="*1,60˜11K~C~Smith~˜12032010˜2330˜1241˜13Ice anesthesia for injection of dermal fillers˜16Dermatologic Surgery˜2681˜18636˜210˜181˜2711˜1163812-814˜21751˜2691˜119610.1111/j.1524-4725.2010.01549.x˜1141˜"/>
    <w:docVar w:name="415319094097222I0" w:val="*1,60˜11Nikki~~Russell~˜12032013˜2330˜1241˜13Exploring the role of the aesthetic nurse in public health and patient education˜16Journal of Aesthetic Nursing˜2681˜1862˜211˜1814˜2711˜1163174-177˜21750˜269˜1196˜1141˜"/>
    <w:docVar w:name="415319356597222I0" w:val="*1,60˜11Alan~~Bleakley~Robert~~Marshall~Rainer~~Bromer~˜12032006˜2330˜1241˜13Toward an aesthetic medicine: Developing a core medical humanities undergraduate curriculim˜16Journal of Medical Humanities˜2681˜18627˜210˜181˜2711˜1163197-213˜21751˜2691˜119610.1007/s10912-006-908-5˜1141˜"/>
    <w:docVar w:name="415319558680556I0" w:val="*1,60˜11Charlotte~D~Barry~Marguerite~J~Purnell~˜12032008˜2330˜1241˜13Uncovering meaning through the aesthetic turn: A pedagogy of caring˜16International Journal For Human Caring˜2681˜18612˜211˜1812˜2711˜116319-23˜21751˜2690˜1196˜1141http://libproxy2.usouthal.edu/login?url=http://search.ebscohost.com/login.aspx?direct=true&amp;db=ccm&amp;AN=2009963950&amp;login.asp&amp;site=ehost-live&amp;scope=site˜"/>
    <w:docVar w:name="415319961689815I0" w:val="*1,60˜11David~J~Goldberg~˜12032009˜2330˜1241˜13Breakthroughs in US dermal fillers for facial soft-tissue augmentation˜16Journal of Cosmetic and Laser Therapy˜2681˜18611˜211˜1814˜2711˜1163240-247˜21751˜2691˜119610.3109/14764170903341731˜1141˜"/>
    <w:docVar w:name="415319987847222I0" w:val="*1,60˜11Marcello~~Simao de Aquino~Alessandra~~Haddad~Lydia~Masako~Ferreira~˜12032013˜2330˜1241˜13Assessment of quality of life in patients who underwent minimally invasive cosmetic procedures˜16Aesthetic Plastic Surgery˜2681˜18637˜211˜1812˜2711˜1163497-503˜21751˜2691˜119610.1007/s00266-012-9992-0˜1141˜"/>
    <w:docVar w:name="415320037268519I0" w:val="*1,60˜11Herve~~Raspaldo~˜12032008˜2330˜1241˜13Volumizing effect of a new hyaluronic acid sub-dermal facial filler: A retrospective analysis based on 102 cases˜16Journal of Cosmetic and Laser Therapy˜2681˜18610˜211˜1814˜2711˜1163134-142˜21751˜2691˜119610.1080/14764170802154607˜1141˜"/>
    <w:docVar w:name="415324079398148I0" w:val="*1,60˜11Marina~~Landau~˜12032006˜2330˜1241˜13Combination of chemical peelings with botulinum toxin injections and dermal fillers˜16Journal of Cosmetic Dermatology˜2681˜1865˜211˜1812˜2711˜1163121-126˜21751˜2690˜1196˜1141http://libproxy2.usouthal.edu/login?url=http://search.ebscohost.com/login.aspx?direct=true&amp;db=mnh&amp;AN=17173585&amp;login.asp&amp;site=ehost-live&amp;scope=site˜"/>
    <w:docVar w:name="415324825231481I0" w:val="*1,60˜11Anthony~P~Sclafani~Steven~~Fagien~˜12032009˜2330˜1241˜13Treatment of injectable soft tissue filler complications˜16Dermatologic Surgery˜2681˜18635˜210˜181˜2711˜11631672-1680˜21751˜2691˜119610.1111/j.1524-4725.2009.01346.x˜1141˜"/>
    <w:docVar w:name="415324928356481I0" w:val="*1,60˜11Joel~C~Cohen~˜12032008˜2330˜1241˜13Understanding, avoiding, and managing dermal filler complications˜16Dermatologic Surgery˜2681˜18634˜210˜181˜2711˜1163S92-S99˜21751˜2691˜119610.1111/j.1524-4725.2008.34249.x˜1141˜"/>
    <w:docVar w:name="415324942129630I0" w:val="*1,60˜11Mariano~~Busso~˜12032008˜2330˜1241˜13Soft tissue augmentation: Nonsurgical approaches to treatment of the mid and lower facial regions˜16Dermatology Nursing˜2681˜18620˜211˜1813˜2711˜1163211-219˜21750˜2690˜1196˜1141http://libproxy2.usouthal.edu/login?url=http://search.ebscohost.com/login.aspx?direct=true&amp;db=hch&amp;AN=32926598&amp;login.asp&amp;site=ehost-live&amp;scope=site˜"/>
    <w:docVar w:name="415367107523148I0" w:val="*1,335˜1205Aesthetics˜1234Aesthetics˜12032013˜21830˜17˜151Merriam-Webster’s online dictionary˜21970˜2196˜1450˜271˜2337˜24˜171˜172˜173˜2314˜1603˜21950˜2194˜110˜111˜1449˜2690˜1196˜1609http://www.merriam-webster.com/dictionary/aesthetics˜"/>
    <w:docVar w:name="415386413657407I0" w:val="*1,335˜1205Ecchymosis˜1234Ecchymosis˜12032013˜21830˜17˜151Merriam-Webster’s online dictionary˜21970˜2196˜1450˜271˜2337˜24˜171˜172˜173˜2314˜1603˜21950˜2194˜110˜111˜1449˜2690˜1196˜1609http://www.merriam-webster.com/dictionary/ecchymosis˜"/>
    <w:docVar w:name="415386483912037I0" w:val="*1,60˜11Michael~Shane~Hamman~Mitchel~P~Goldman~˜12032013˜2330˜1241˜13Minimizing bruising following fillers and other cosmetic injectables˜16Journal of Clinical Aestetic Dermatology˜2681˜1866˜211˜1818˜2711˜116316-18˜21751˜2690˜1196˜1141http://web.ebscohost.com.libproxy2.usouthal.edu/ehost/pdfviewer/pdfviewer?sid=d63dc363-c747-4c20-9283-3513e7ff532d%40sessionmgr12&amp;vid=5&amp;hid=14˜"/>
    <w:docVar w:name="415387191087963I0" w:val="*1,773˜1289Seana~~Collins~Tanya~~Voth~Alba~~DiCenso~Gordon~~Guyatt~˜12032005˜22821˜14Finding the evidence˜1552˜23071˜11Alba~~DiCenso~Gordon~~Guyatt~Donna~~Ciliska~˜17˜15Evidence-based nursing: A guide to clinical practice˜2200˜152˜23361˜23370˜2711˜241˜173˜17120˜17243˜1603˜2338˜21951˜21940˜110St. Louis, MO˜111Elsevier Mosby˜1449˜269˜1196˜1609˜"/>
    <w:docVar w:name="415417699884259I0" w:val="*1,60˜11Kathleen~Kelley~Walsh~Terry~M~VandenBosch~Susan~~Boehm~˜12031989˜2330˜1241˜13Modelling and role-modelling: Integrating nursing theory into practice˜16Journal of Advanced Nursing˜2681˜18614˜211˜18110˜2711˜1163462-467˜21751˜2691˜119610.3928/00220124-20090923-06˜1141˜"/>
    <w:docVar w:name="415593160532407I0" w:val="*1,60˜11David~~Rahm~˜12032004˜2330˜1241˜13A guide to perioperative nutrition˜16Aesthetic Surgery Journal˜2681˜18624˜211˜1814˜2711˜1163385-390˜21750˜269˜1196˜1141˜"/>
    <w:docVar w:name="415675476736111I0" w:val="*1,60˜11S~~Leu~J~~Havey~L~E~White~N~~Martin~S~S~Yoo~A~W~Rademaker~M~~Alam~˜12032010˜2330˜1241˜13Accelerated resolution of laser-induced bruising with topical 20% arnica: A rater-blinded randomized controlled trial˜16British Journal of Dermatology˜2681˜186163˜211˜1814˜2711˜1163557-563˜21750˜269˜1196˜1141˜"/>
    <w:docVar w:name="415784331365741I0" w:val="*1,60˜11Scott~M~Dinehart~Lance~~Henry~˜12032005˜2330˜1241˜13Dietary supplements: altered coagulation and effects on bruising˜16American Society for Dermatologic Surgery˜2681˜18631˜211˜1817˜2711˜1163819-826˜21750˜269˜1196˜1141˜"/>
    <w:docVar w:name="415796094212963I0" w:val="*1,60˜11Fiona~C~Taylor~Mary~E~Ramsay~Grace~~Tan~John~~Gabbay~Hannah~~Cohen~˜12031994˜2330˜1241˜13Evaluation of patients’ knowledge about anticoagulant treatment˜16 Quality in Health Care˜2681˜1863˜211˜1814˜2711˜116379-85˜21750˜269˜1196˜1141˜"/>
    <w:docVar w:name="415802016782407I0" w:val="*1,60˜11Reva~Balci~Akpinar~˜12032012˜2330˜1241˜13The effect of local dry heat pack application on recovering the bruising associated with the subcutaneous injection of heparin˜16Journal of Clinical Nursing˜2681˜18622˜210˜181˜2711˜11632531-2535˜21751˜2691˜119610.1111/jocn.12216˜1141˜"/>
    <w:docVar w:name="415802170138889I0" w:val="*1,60˜11Ara~Samuel~Makdessian~David~A.F.~Ellis~Jonathan~C~Irish~˜12032004˜2330˜1241˜13Informed consent in facial plastic surgery˜16Archives of Facial Plastic Surgery˜2681˜1866˜210˜181˜2711˜116326-30˜21750˜269˜1196˜1141˜"/>
    <w:docVar w:name="415808952314815I0" w:val="*1,60˜11Paula~~Gardiner~Russell~~Phillips~Allen~F~Shaughnessy~˜12032008˜2330˜1241˜13 Herbal and dietary supplement - drug interactions in patients with chronic illnesses˜16American Academy of Family Physicians˜2681˜18677˜211˜1811˜2711˜116373-78˜21750˜269˜1196˜1141˜"/>
    <w:docVar w:name="415860956250000I0" w:val="*1,221˜11Peggy~L~Chinn~Maeona~K~Kramer~˜12032011˜14Aesthetic knowledge development˜21830˜17˜15Integrated theory and knowledge development in nursing˜2201˜1528th˜23361˜23370˜2711˜241˜173˜171125˜172151˜1603˜2338˜21951˜21940˜110St. Louis, MO˜111Elsevier Mosby˜1449˜269˜1196˜1609˜"/>
    <w:docVar w:name="415889798263889I0" w:val="*1,60˜11Mary~Elaine~Koren~Christina~~Papamiditriou~˜12032013˜2330˜1241˜13Spirituality of staff nurses˜16Holistic Nursing Practice˜2681˜18627˜211˜1811˜2711˜116337-44˜21751˜2691˜119610.1097/HNP.0b013e318276fc38˜1141˜"/>
    <w:docVar w:name="416044333333333I0" w:val="*1,370˜118American Association of Colleges of Nursing˜2881˜1233AACN˜12032006˜13The essentials of doctoral education for advanced nursing practice˜2701˜1112˜112http://www.aacn.nche.edu/publications/position/DNPEssentials.pdf˜"/>
    <w:docVar w:name="416508751157407I0" w:val="*1,370˜118American Society for Aesthetic Plastic Surgery˜2881˜1233ASAPS˜12032012˜13Quick facts˜2701˜1112˜112http://www.surgery.org/sites/default/files/2012-top5.pdf˜"/>
    <w:docVar w:name="416524703240741I0" w:val="*1,370˜118American Nurses Association˜2881˜1233ANA˜12032010˜13Code of ethics for nurses with interpretive statements˜2701˜1112˜112http://nursingworld.org/MainMenuCategories/EthicsStandards/CodeofEthicsforNurses/Code-of-Ethics.pdf˜"/>
    <w:docVar w:name="416853038078704I0" w:val="*1,370˜118California Department of Health Care Services˜2881˜1233CDHCS˜12032014˜13Health insurance portability and accountability act˜2701˜1112˜112http://www.dhcs.ca.gov/formsandpubs/laws/hipaa/Pages/1.00%20WhatisHIPAA.aspx˜"/>
    <w:docVar w:name="416873671643519I0" w:val="*1,773˜1289Catherine~~Dearman~Debra~~Davis~˜12032011˜22821˜14Planning a project for implementation˜1552˜23071˜11James~L~Harris~Linda~~Roussel~Sandra~E~Walters~Catherine~~Dearman~˜17˜15Project planning and management: A guide for CNLs, DNPs, and nurse executives˜2200˜152˜23361˜23370˜2711˜241˜173˜17151˜17263˜1603˜2338˜21951˜21940˜110Sudbury, MA˜111Jones &amp; Bartlett Learning˜1449˜269˜1196˜1609˜"/>
    <w:docVar w:name="417253679629630I0" w:val="*1,60˜11V~~Reed~˜12032005˜2330˜1241˜13Allergan distances Botox from Florida case˜16Orange County Business Journal˜2681˜18628˜211˜1817˜2711˜11631-53˜21751˜2690˜1196˜1141http://libproxy2.usouthal.edu/login?url=http://search.ebscohost.com/login.aspx?direct=true&amp;db=heh&amp;AN=1625534&amp;login.asp&amp;site=ehost-live&amp;scope=site˜"/>
    <w:docVar w:name="417304230324074I0" w:val="*1,60˜11M~~Harding~˜12032010˜2330˜1241˜13Predictability associated with exit examinations: A literature review˜16Journal of Nursing Education˜2681˜18649˜211˜1819˜2711˜1163493-497˜21751˜2691˜1196doi:10.3928/01484834-20100730-01˜1141˜"/>
    <w:docVar w:name="417304258564815I0" w:val="*1,60˜11M~~Cleary~G~E~Hunt~G~~Walter~L~~Tong~˜12032010˜2330˜1241˜13A guide for mental health clinicians to develop and undertake benchmarking activities˜16International Journal of Mental Health Nursing˜2681˜18619˜211˜1812˜2711˜1163137-141˜21751˜2691˜1196http://dx.doi.org/10.1111/j.1447-0349.2009.00654.x˜1141˜"/>
    <w:docVar w:name="417359497453704I0" w:val="*1,149˜1169Regulations of Professions and Occupations Medical Practice˜23401˜1260458˜1165Fla. Stat˜2341˜1649˜2551˜1170˜1262348˜11722013˜2530˜1255˜"/>
    <w:docVar w:name="417718884837963I0" w:val="*1,60˜11Paul~R~Clark~˜12032009˜2330˜1241˜13Teamwork: Building healthier workplaces and providing safer patient care˜16Critical Care Nurses Quarterly˜2681˜18632˜211˜1813˜2711˜1163221-231˜21750˜269˜1196˜1141˜"/>
    <w:docVar w:name="417734603125000I0" w:val="*1,60˜11R~~McCaffrey~R~~Hayes~A~~Cassell~S~~Miller-Reyes~A~~Donaldson~C~~Ferrell~˜12032012˜2330˜1241˜13The effect of an educational programme on attitudes of nurses and medical residents towards the benefits of positive communication and collaboration˜16Journal of Advanced Nursing˜2681˜18668˜211˜1812˜2711˜1163293-301˜21751˜2691˜1196doi:10.1111/j.1365-2648.2011.05736.x˜1141˜"/>
    <w:docVar w:name="417917600925926I0" w:val="*1,60˜11Harriet~~Van Ess Coeling~Penelope~L~Cukr~˜12032000˜2330˜1241˜13Communication styles that promote perceptions of collaboration, quality, and nurse satisfaction˜16Journal of Nursing Care Quality˜2681˜18614˜211˜1812˜2711˜116363-74˜21750˜269˜1196˜1141˜"/>
    <w:docVar w:name="417917620833333I0" w:val="*1,60˜11Nancy~~DeRosa~Kim~~Kochurka~˜12032006˜2330˜1241˜13Implement culturally competent healthcare in your workplace˜16Nursing Management˜2680˜186˜21˜181˜2711˜116318-26˜21750˜269˜1196˜1141˜"/>
    <w:docVar w:name="417919796527778I0" w:val="*1,60˜11Tsveti~~Markova~Barbara~~Broome~˜12032007˜2330˜1241˜13Effective communication and delivery of culturally competent health care˜16Urologic Nursing˜2681˜18627˜211˜1813˜2711˜1163239-242˜21750˜269˜1196˜1141˜"/>
    <w:docVar w:name="418087172800926I0" w:val="*1,60˜11S~~Kleiman~K~~Frederickson~T~~Lundy~˜12032004˜2330˜1241˜13Using an eclectic model to educate students about cultural influences on the nurse-patient relationship˜16Nursing Education Perspectives˜2681˜18625˜211˜1815˜2711˜1163249-253˜21751˜2690˜1196˜1141http://ezproxy.chatham.edu:2048/login?url=http://search.ebscohost.com/login.aspx?direct=true&amp;db=c8h&amp;AN=2004187506&amp;site=ehost-live˜"/>
    <w:docVar w:name="418117949537037I0" w:val="*1,60˜11Mary~~O’Conner~˜12032011˜2330˜1241˜13Beyond the classroom: Nurse leader preparation and practices˜16Nursing Administration Quarterly˜2681˜18635˜211˜1814˜2711˜1163333-337˜21751˜2691˜1196doi:10.1097/NAQ.0b013e31822ed1c8˜1141˜"/>
    <w:docVar w:name="418336054745370I0" w:val="*1,597˜11Lisa~Astalos~Chism~˜12032013˜15The doctor of nursing practice: A guidebook for role development and professional issue˜2201˜1522nd˜21951˜21940˜110Burlington, MA˜111Jones &amp; Bartlett Learning˜1449˜269˜1196˜1609˜"/>
    <w:docVar w:name="418755442824074I0" w:val="*1,597˜11Toni~~Hebda~Patricia~~Czar~˜12032013˜15Handbook of informatics for nurses &amp; healthcare professionals˜2201˜1525th˜21951˜21940˜110Upper Saddle River, NJ˜111Pearson˜1449˜2690˜1196˜1609˜"/>
    <w:docVar w:name="419038495601852I0" w:val="*1,773˜1289Mary~~Geary~Clista~~Clanton~˜12032011˜22821˜14Developing metrics that support projects and programs˜1552˜23071˜11James~L~Harris~Linda~~Roussel~Sandra~E~Walters~Catherine~~Dearman~˜17˜15Project planning and management: A guide for CNLs, DNPs, and nurse executives˜2200˜152˜23361˜23370˜2711˜241˜173˜171119˜172145˜1603˜23380˜21951˜21940˜110Sudbury, MA˜111Jones &amp; Bartlett˜1449˜2690˜1196˜1609˜"/>
    <w:docVar w:name="419105881944444I0" w:val="*1,60˜11Alison~~Twycross~Linda~~Shields~˜12032004b˜2330˜1241˜13Validity and reliability - what’s it all about? Part 2: Reliability in quantitative studies˜16Paediatric Nursing˜2681˜18616˜211˜18110˜2711˜116336˜21750˜2690˜1196˜1141˜"/>
    <w:docVar w:name="419105910995370I0" w:val="*1,60˜11Alison~~Twycross~Linda~~Shields~˜12032004a˜2330˜1241˜13Research update: Validity and reliability - what’s it all about? Part 1: Validity in quantitative studies˜16Paediatric Nursing˜2681˜18616˜211˜1819˜2711˜116328˜21750˜2690˜1196˜1141˜"/>
    <w:docVar w:name="419106045370370I0" w:val="*1,597˜11Elizabeth~~Heavey~˜12032011˜15Statistics for nursing: A practical approach˜2200˜152˜21951˜21940˜110Sudbury, MA˜111Jones &amp; Bartlett˜1449˜2690˜1196˜1609˜"/>
    <w:docVar w:name="419199122106481I0" w:val="*1,773˜1289Juli~~Maxworthy~˜12032013˜22821˜14Building the business case for quality˜1552˜23070˜11˜17KT~~Waxman~˜15Financial and business management for the doctor of nursing practice˜2200˜152˜23361˜23370˜2711˜241˜173˜171177˜172196˜1603˜23380˜21951˜21940˜110New York, NY˜111Springer˜1449˜2690˜1196˜1609˜"/>
    <w:docVar w:name="419234192708333I0" w:val="*1,773˜1289Patricia~L~Thomas~˜12032011˜22821˜14Evaluating project outcomes˜1552˜23071˜11James~L~Harris~Linda~~Roussel~Sandra~E~Walters~Catherine~~Dearman~˜17˜15Project planning and management: A guide for CNLs, DNPs, and nurse executives˜2200˜152˜23361˜23370˜2711˜241˜173˜171161˜172177˜1603˜2338˜21951˜21940˜110Sudbury, MA˜111Jones &amp; Bartlett˜1449˜269˜1196˜1609˜"/>
    <w:docVar w:name="419237711226852I0" w:val="*1,60˜11Alexis~~Wilson~Lisa~~Nathan~˜12032003˜2330˜1241˜13Understanding benchmarks˜16Home Healthcare Nurse˜2681˜18621˜211˜1812˜2711˜1163102-107˜21750˜269˜1196˜1141˜"/>
    <w:docVar w:name="419237727777778I0" w:val="*1,60˜11Diane~Storer~Brown~Nancy~~Donaldson~Linda~Burnes~Bolton~Carolyn~E~Aydin~˜12032010˜2330˜1241˜13Nursing-sensitive benchmarks for hospitals to gauge high-reliability performance˜16Journal for Healthcare Quality˜2681˜18632˜211˜1816˜2711˜11639-17˜21750˜269˜1196˜1141˜"/>
    <w:docVar w:name="419237752199074I0" w:val="*1,60˜11Michael~S~Schechter~˜12032012˜2330˜1241˜13Benchmarking to improve the quality of cystic fibrosis care˜16Current Opinion in Pulmonary Medicine˜2681˜18618˜211˜1816˜2711˜1163596-601˜21751˜2691˜1196doi:10.1097/MCP.0b013e328358d533˜1141˜"/>
    <w:docVar w:name="419454999652778I0" w:val="*1,597˜11Laura~N~Gitlin~Kevin~J~Lyons~˜12032014˜15Successful grant writing: Strategies for health and human service professionals˜2201˜1524th˜21951˜21940˜110New York, NY˜111Springer˜1449˜2690˜1196˜1609˜"/>
    <w:docVar w:name="419483946759259I0" w:val="*1,60˜11Katherine~J~Dontje~˜12032007˜2330˜1241˜13Evidence-based practice: Understanding the process˜16Topics in Advanced Practice Nursing eJournal˜2681˜1867˜211˜1814˜2711˜11631-7˜21751˜2690˜1196˜1141http://www.medscape.com/viewarticle/567786˜"/>
    <w:docVar w:name="419530420949074I0" w:val="*1,773˜1289Michael~R~Bleich~˜12032011˜22821˜14Measuring the value of projects within organizations˜1552˜23071˜11James~L~Harris~Linda~~Roussel~Sandra~E~Walters~Catherine~~Dearman~˜17˜15Project planning and management: A guide for CNLs, DNPs, and nurse executives˜2200˜152˜23361˜23370˜2711˜241˜173˜171147˜172160˜1603˜23380˜21951˜21940˜110Sudbury, MA˜111Jones &amp; Bartlett˜1449˜2690˜1196˜1609˜"/>
    <w:docVar w:name="420173386689815I0" w:val="*1,60˜11M~~Titler~C~~Kleiber~V~~Steelman~C~~Goode~B~~Rakel~J~~Barry-Walker~S~~Small~K~~Buckwalter~˜12031994˜2330˜1241˜13Infusing research into practice to promote quality care˜16Nursing Research˜2681˜18643˜211˜1815˜2711˜1163307-313˜21750˜269˜1196˜1141˜"/>
    <w:docVar w:name="420309249421296I0" w:val="*1,597˜11Beth~L~Rodgers~Kathleen~A~Knafl~˜12032000˜15Concept development in nursing:  Foundations, techniques, and applications˜2201˜1522nd˜21951˜21940˜110Philadelphia, PA˜111Saunders˜1449˜2690˜1196˜1609˜"/>
    <w:docVar w:name="420338871990741I0" w:val="*1,773˜1289Anne~Wojner~Alexandrov~Barbara~B~Brewer~˜12032011˜22821˜14The role of outcomes in evaluating practice change˜1552˜23071˜11Bernadette~Mazurek~Melnyk~Ellen~~Fineout-Overholt~˜17˜15Evidence-based practice in nursing and healthcare: A guide to best practice˜2201˜1522nd˜23361˜23370˜2711˜241˜173˜171226˜172237˜1603˜23380˜21951˜21940˜110Philadelphia, PA˜111Wolters Kluwer Lippincott Williams &amp; Wilkins˜1449˜2690˜1196˜1609˜"/>
    <w:docVar w:name="420338960763889I0" w:val="*1,60˜11Katrina~~Bannigan~Roger~~Watson~˜12032009˜2330˜1241˜13Reliability and validity in a nutshell˜16Journal of Clinical Nursing˜2681˜18618˜210˜181˜2711˜11633237-3243˜21751˜2691˜1196doi: 10.1111/j.1365-2702.2009.02939.x˜1141˜"/>
    <w:docVar w:name="bmHeaderInfo" w:val="A PATIENT FOCUSED EDUCATIONAL MODULE ON BRUISING"/>
    <w:docVar w:name="cIsAbstract" w:val="True"/>
    <w:docVar w:name="cPaperAPAOrMLA" w:val="1"/>
    <w:docVar w:name="cUniquePaperID" w:val="420163586689815I0"/>
    <w:docVar w:name="HasTitlePage" w:val="True"/>
    <w:docVar w:name="IncludeAnnotations" w:val="False"/>
    <w:docVar w:name="LastEditedVersion" w:val="5"/>
  </w:docVars>
  <w:rsids>
    <w:rsidRoot w:val="0014356D"/>
    <w:rsid w:val="000007BA"/>
    <w:rsid w:val="00001AC8"/>
    <w:rsid w:val="000022DA"/>
    <w:rsid w:val="00002D4E"/>
    <w:rsid w:val="00003776"/>
    <w:rsid w:val="0000457F"/>
    <w:rsid w:val="0000473B"/>
    <w:rsid w:val="00004A0E"/>
    <w:rsid w:val="00004D9B"/>
    <w:rsid w:val="00005C8B"/>
    <w:rsid w:val="00005D27"/>
    <w:rsid w:val="00005EC0"/>
    <w:rsid w:val="00006015"/>
    <w:rsid w:val="0000704A"/>
    <w:rsid w:val="0000750F"/>
    <w:rsid w:val="0000797F"/>
    <w:rsid w:val="000100C0"/>
    <w:rsid w:val="00011136"/>
    <w:rsid w:val="00011189"/>
    <w:rsid w:val="0001296A"/>
    <w:rsid w:val="00012BC3"/>
    <w:rsid w:val="00013627"/>
    <w:rsid w:val="00015FF1"/>
    <w:rsid w:val="00016820"/>
    <w:rsid w:val="0001685B"/>
    <w:rsid w:val="00016DB6"/>
    <w:rsid w:val="00017679"/>
    <w:rsid w:val="00017F15"/>
    <w:rsid w:val="0002073C"/>
    <w:rsid w:val="000212CE"/>
    <w:rsid w:val="00021E28"/>
    <w:rsid w:val="00022277"/>
    <w:rsid w:val="00022512"/>
    <w:rsid w:val="0002256E"/>
    <w:rsid w:val="00023D79"/>
    <w:rsid w:val="0002412D"/>
    <w:rsid w:val="00024E98"/>
    <w:rsid w:val="00025AA9"/>
    <w:rsid w:val="00025FAC"/>
    <w:rsid w:val="00027282"/>
    <w:rsid w:val="00030F6D"/>
    <w:rsid w:val="000315B8"/>
    <w:rsid w:val="00031745"/>
    <w:rsid w:val="000323AD"/>
    <w:rsid w:val="00033E75"/>
    <w:rsid w:val="00034C7D"/>
    <w:rsid w:val="00034E5C"/>
    <w:rsid w:val="00034EEC"/>
    <w:rsid w:val="00035771"/>
    <w:rsid w:val="0003582D"/>
    <w:rsid w:val="00035DA3"/>
    <w:rsid w:val="00035FF6"/>
    <w:rsid w:val="00036241"/>
    <w:rsid w:val="00037B43"/>
    <w:rsid w:val="00040203"/>
    <w:rsid w:val="00040859"/>
    <w:rsid w:val="00041F9A"/>
    <w:rsid w:val="0004216E"/>
    <w:rsid w:val="000428F1"/>
    <w:rsid w:val="00043377"/>
    <w:rsid w:val="000455A3"/>
    <w:rsid w:val="00045BCD"/>
    <w:rsid w:val="00045F39"/>
    <w:rsid w:val="0004644F"/>
    <w:rsid w:val="00047B6B"/>
    <w:rsid w:val="000503B7"/>
    <w:rsid w:val="00050558"/>
    <w:rsid w:val="00050DD7"/>
    <w:rsid w:val="00051B53"/>
    <w:rsid w:val="00051E09"/>
    <w:rsid w:val="00052005"/>
    <w:rsid w:val="00052323"/>
    <w:rsid w:val="0005298A"/>
    <w:rsid w:val="00052BB5"/>
    <w:rsid w:val="00052F41"/>
    <w:rsid w:val="000531FC"/>
    <w:rsid w:val="00054627"/>
    <w:rsid w:val="000553B6"/>
    <w:rsid w:val="000554A7"/>
    <w:rsid w:val="00055EAD"/>
    <w:rsid w:val="00055F5E"/>
    <w:rsid w:val="0005717C"/>
    <w:rsid w:val="000575DC"/>
    <w:rsid w:val="000604A8"/>
    <w:rsid w:val="00060F59"/>
    <w:rsid w:val="00061834"/>
    <w:rsid w:val="000619FA"/>
    <w:rsid w:val="00061FA0"/>
    <w:rsid w:val="000625FF"/>
    <w:rsid w:val="00062784"/>
    <w:rsid w:val="00063D22"/>
    <w:rsid w:val="00064001"/>
    <w:rsid w:val="00064139"/>
    <w:rsid w:val="000645CE"/>
    <w:rsid w:val="00064753"/>
    <w:rsid w:val="00064C58"/>
    <w:rsid w:val="00065715"/>
    <w:rsid w:val="000666FC"/>
    <w:rsid w:val="00066816"/>
    <w:rsid w:val="00066EEF"/>
    <w:rsid w:val="000676E9"/>
    <w:rsid w:val="00067855"/>
    <w:rsid w:val="0007012E"/>
    <w:rsid w:val="00070131"/>
    <w:rsid w:val="000706A8"/>
    <w:rsid w:val="00071062"/>
    <w:rsid w:val="000718A5"/>
    <w:rsid w:val="00073291"/>
    <w:rsid w:val="00075B68"/>
    <w:rsid w:val="0007703A"/>
    <w:rsid w:val="00077379"/>
    <w:rsid w:val="000776DA"/>
    <w:rsid w:val="000777BB"/>
    <w:rsid w:val="00077CA5"/>
    <w:rsid w:val="00080A06"/>
    <w:rsid w:val="00080A96"/>
    <w:rsid w:val="0008185E"/>
    <w:rsid w:val="000829BA"/>
    <w:rsid w:val="00082D96"/>
    <w:rsid w:val="00083CA1"/>
    <w:rsid w:val="00084594"/>
    <w:rsid w:val="0008477E"/>
    <w:rsid w:val="00084EBC"/>
    <w:rsid w:val="00085AB3"/>
    <w:rsid w:val="00085EFA"/>
    <w:rsid w:val="00085FA2"/>
    <w:rsid w:val="000860FD"/>
    <w:rsid w:val="00086B5D"/>
    <w:rsid w:val="00087171"/>
    <w:rsid w:val="00087AA9"/>
    <w:rsid w:val="0009053F"/>
    <w:rsid w:val="00090637"/>
    <w:rsid w:val="0009090F"/>
    <w:rsid w:val="00090A6C"/>
    <w:rsid w:val="00090C44"/>
    <w:rsid w:val="0009121B"/>
    <w:rsid w:val="0009147F"/>
    <w:rsid w:val="00091FB0"/>
    <w:rsid w:val="000924CE"/>
    <w:rsid w:val="000927C4"/>
    <w:rsid w:val="00093416"/>
    <w:rsid w:val="0009346D"/>
    <w:rsid w:val="000945C4"/>
    <w:rsid w:val="000951BD"/>
    <w:rsid w:val="000952B6"/>
    <w:rsid w:val="0009552B"/>
    <w:rsid w:val="000968B7"/>
    <w:rsid w:val="0009703D"/>
    <w:rsid w:val="0009775C"/>
    <w:rsid w:val="000A0301"/>
    <w:rsid w:val="000A0314"/>
    <w:rsid w:val="000A032D"/>
    <w:rsid w:val="000A2493"/>
    <w:rsid w:val="000A2520"/>
    <w:rsid w:val="000A3720"/>
    <w:rsid w:val="000A4324"/>
    <w:rsid w:val="000A43A5"/>
    <w:rsid w:val="000A5C0A"/>
    <w:rsid w:val="000A7474"/>
    <w:rsid w:val="000A750A"/>
    <w:rsid w:val="000A7C2C"/>
    <w:rsid w:val="000A7DC9"/>
    <w:rsid w:val="000B0007"/>
    <w:rsid w:val="000B0433"/>
    <w:rsid w:val="000B1279"/>
    <w:rsid w:val="000B15DC"/>
    <w:rsid w:val="000B170D"/>
    <w:rsid w:val="000B18A9"/>
    <w:rsid w:val="000B25A0"/>
    <w:rsid w:val="000B3BE2"/>
    <w:rsid w:val="000B3DA0"/>
    <w:rsid w:val="000B4365"/>
    <w:rsid w:val="000B4F84"/>
    <w:rsid w:val="000B5705"/>
    <w:rsid w:val="000B592E"/>
    <w:rsid w:val="000B73A2"/>
    <w:rsid w:val="000B772C"/>
    <w:rsid w:val="000C0050"/>
    <w:rsid w:val="000C0365"/>
    <w:rsid w:val="000C03BF"/>
    <w:rsid w:val="000C04F8"/>
    <w:rsid w:val="000C0844"/>
    <w:rsid w:val="000C0D44"/>
    <w:rsid w:val="000C0FF0"/>
    <w:rsid w:val="000C11DE"/>
    <w:rsid w:val="000C1FC5"/>
    <w:rsid w:val="000C2B93"/>
    <w:rsid w:val="000C60B5"/>
    <w:rsid w:val="000C61F1"/>
    <w:rsid w:val="000C6344"/>
    <w:rsid w:val="000C6388"/>
    <w:rsid w:val="000C6A4B"/>
    <w:rsid w:val="000C6A6A"/>
    <w:rsid w:val="000C6EAB"/>
    <w:rsid w:val="000C6FB7"/>
    <w:rsid w:val="000C75BA"/>
    <w:rsid w:val="000C7EF4"/>
    <w:rsid w:val="000D0007"/>
    <w:rsid w:val="000D025E"/>
    <w:rsid w:val="000D032A"/>
    <w:rsid w:val="000D04D6"/>
    <w:rsid w:val="000D156B"/>
    <w:rsid w:val="000D160B"/>
    <w:rsid w:val="000D2B19"/>
    <w:rsid w:val="000D2C3F"/>
    <w:rsid w:val="000D2FF5"/>
    <w:rsid w:val="000D3478"/>
    <w:rsid w:val="000D3A4B"/>
    <w:rsid w:val="000D4565"/>
    <w:rsid w:val="000D46BF"/>
    <w:rsid w:val="000D5153"/>
    <w:rsid w:val="000D605A"/>
    <w:rsid w:val="000D6B46"/>
    <w:rsid w:val="000D79A9"/>
    <w:rsid w:val="000D7BE9"/>
    <w:rsid w:val="000D7D73"/>
    <w:rsid w:val="000E10E4"/>
    <w:rsid w:val="000E1ABE"/>
    <w:rsid w:val="000E1F13"/>
    <w:rsid w:val="000E332F"/>
    <w:rsid w:val="000E490C"/>
    <w:rsid w:val="000E4F9D"/>
    <w:rsid w:val="000E545D"/>
    <w:rsid w:val="000E54FD"/>
    <w:rsid w:val="000E5B81"/>
    <w:rsid w:val="000E5DD8"/>
    <w:rsid w:val="000E6116"/>
    <w:rsid w:val="000E7EA9"/>
    <w:rsid w:val="000F01E0"/>
    <w:rsid w:val="000F06D2"/>
    <w:rsid w:val="000F1129"/>
    <w:rsid w:val="000F14DE"/>
    <w:rsid w:val="000F165A"/>
    <w:rsid w:val="000F20F8"/>
    <w:rsid w:val="000F2A90"/>
    <w:rsid w:val="000F2E61"/>
    <w:rsid w:val="000F3A48"/>
    <w:rsid w:val="000F48DA"/>
    <w:rsid w:val="000F5296"/>
    <w:rsid w:val="000F5619"/>
    <w:rsid w:val="000F5A60"/>
    <w:rsid w:val="000F5E97"/>
    <w:rsid w:val="000F697F"/>
    <w:rsid w:val="000F6B4A"/>
    <w:rsid w:val="000F7897"/>
    <w:rsid w:val="00100576"/>
    <w:rsid w:val="00100C2E"/>
    <w:rsid w:val="00101220"/>
    <w:rsid w:val="001015AA"/>
    <w:rsid w:val="00101859"/>
    <w:rsid w:val="00102363"/>
    <w:rsid w:val="00103036"/>
    <w:rsid w:val="00103AA1"/>
    <w:rsid w:val="00103B10"/>
    <w:rsid w:val="00103EC2"/>
    <w:rsid w:val="001041BF"/>
    <w:rsid w:val="00105122"/>
    <w:rsid w:val="0010597B"/>
    <w:rsid w:val="00105BEC"/>
    <w:rsid w:val="00106873"/>
    <w:rsid w:val="00106E14"/>
    <w:rsid w:val="001070AD"/>
    <w:rsid w:val="0011050C"/>
    <w:rsid w:val="00110636"/>
    <w:rsid w:val="00111019"/>
    <w:rsid w:val="00111278"/>
    <w:rsid w:val="00111633"/>
    <w:rsid w:val="001117EC"/>
    <w:rsid w:val="001126C6"/>
    <w:rsid w:val="001127D3"/>
    <w:rsid w:val="00112E53"/>
    <w:rsid w:val="00113FFA"/>
    <w:rsid w:val="001155CE"/>
    <w:rsid w:val="00115618"/>
    <w:rsid w:val="0011599A"/>
    <w:rsid w:val="00115F0C"/>
    <w:rsid w:val="0011626C"/>
    <w:rsid w:val="00116ADB"/>
    <w:rsid w:val="001170F1"/>
    <w:rsid w:val="001218B0"/>
    <w:rsid w:val="00121A5A"/>
    <w:rsid w:val="00121FC6"/>
    <w:rsid w:val="0012286D"/>
    <w:rsid w:val="00122D08"/>
    <w:rsid w:val="00123103"/>
    <w:rsid w:val="00123240"/>
    <w:rsid w:val="001235F2"/>
    <w:rsid w:val="00124F6E"/>
    <w:rsid w:val="00125FD4"/>
    <w:rsid w:val="00126126"/>
    <w:rsid w:val="001262D9"/>
    <w:rsid w:val="00126824"/>
    <w:rsid w:val="00126C95"/>
    <w:rsid w:val="0012702A"/>
    <w:rsid w:val="00127055"/>
    <w:rsid w:val="00127244"/>
    <w:rsid w:val="00130321"/>
    <w:rsid w:val="001308E4"/>
    <w:rsid w:val="00130B12"/>
    <w:rsid w:val="0013109F"/>
    <w:rsid w:val="00131A06"/>
    <w:rsid w:val="00132F48"/>
    <w:rsid w:val="001331E8"/>
    <w:rsid w:val="001342FC"/>
    <w:rsid w:val="0013463E"/>
    <w:rsid w:val="00134C65"/>
    <w:rsid w:val="001350B0"/>
    <w:rsid w:val="0013528E"/>
    <w:rsid w:val="0013580A"/>
    <w:rsid w:val="00135ECE"/>
    <w:rsid w:val="00141A92"/>
    <w:rsid w:val="00141AD2"/>
    <w:rsid w:val="00141B35"/>
    <w:rsid w:val="00142616"/>
    <w:rsid w:val="001426A8"/>
    <w:rsid w:val="00142BA1"/>
    <w:rsid w:val="00142F3C"/>
    <w:rsid w:val="0014304D"/>
    <w:rsid w:val="0014320F"/>
    <w:rsid w:val="0014356D"/>
    <w:rsid w:val="00143934"/>
    <w:rsid w:val="00143A6B"/>
    <w:rsid w:val="00143AE5"/>
    <w:rsid w:val="001444F5"/>
    <w:rsid w:val="00144525"/>
    <w:rsid w:val="001447BE"/>
    <w:rsid w:val="00144BDB"/>
    <w:rsid w:val="001451FA"/>
    <w:rsid w:val="001456FD"/>
    <w:rsid w:val="00145CAA"/>
    <w:rsid w:val="00146999"/>
    <w:rsid w:val="00147599"/>
    <w:rsid w:val="0015028A"/>
    <w:rsid w:val="00151128"/>
    <w:rsid w:val="001514D8"/>
    <w:rsid w:val="00151FAC"/>
    <w:rsid w:val="0015261A"/>
    <w:rsid w:val="00152C55"/>
    <w:rsid w:val="00152DB9"/>
    <w:rsid w:val="00153323"/>
    <w:rsid w:val="0015373E"/>
    <w:rsid w:val="00154299"/>
    <w:rsid w:val="00154CDB"/>
    <w:rsid w:val="00154EAA"/>
    <w:rsid w:val="00155DEF"/>
    <w:rsid w:val="0015682C"/>
    <w:rsid w:val="00156922"/>
    <w:rsid w:val="00156992"/>
    <w:rsid w:val="00157AB3"/>
    <w:rsid w:val="00157B95"/>
    <w:rsid w:val="001607F0"/>
    <w:rsid w:val="001608C4"/>
    <w:rsid w:val="00160A5D"/>
    <w:rsid w:val="00160EFB"/>
    <w:rsid w:val="0016129A"/>
    <w:rsid w:val="00161C96"/>
    <w:rsid w:val="00161C9B"/>
    <w:rsid w:val="00162410"/>
    <w:rsid w:val="00163CF7"/>
    <w:rsid w:val="00164E7D"/>
    <w:rsid w:val="00165696"/>
    <w:rsid w:val="00165937"/>
    <w:rsid w:val="0016796B"/>
    <w:rsid w:val="001702C8"/>
    <w:rsid w:val="00170454"/>
    <w:rsid w:val="00170583"/>
    <w:rsid w:val="001717AD"/>
    <w:rsid w:val="00172422"/>
    <w:rsid w:val="0017269B"/>
    <w:rsid w:val="00172CC2"/>
    <w:rsid w:val="0017517A"/>
    <w:rsid w:val="0017576B"/>
    <w:rsid w:val="00175FFC"/>
    <w:rsid w:val="00176564"/>
    <w:rsid w:val="00176C2C"/>
    <w:rsid w:val="00177D67"/>
    <w:rsid w:val="001801CA"/>
    <w:rsid w:val="0018145A"/>
    <w:rsid w:val="00182561"/>
    <w:rsid w:val="00182674"/>
    <w:rsid w:val="001828D9"/>
    <w:rsid w:val="00182B0F"/>
    <w:rsid w:val="00182C20"/>
    <w:rsid w:val="00183914"/>
    <w:rsid w:val="00183A9C"/>
    <w:rsid w:val="00184205"/>
    <w:rsid w:val="00184744"/>
    <w:rsid w:val="0018486E"/>
    <w:rsid w:val="001861B5"/>
    <w:rsid w:val="00186CA9"/>
    <w:rsid w:val="001872ED"/>
    <w:rsid w:val="0019041C"/>
    <w:rsid w:val="001918D5"/>
    <w:rsid w:val="00191F44"/>
    <w:rsid w:val="00192253"/>
    <w:rsid w:val="00193137"/>
    <w:rsid w:val="00193D42"/>
    <w:rsid w:val="00194926"/>
    <w:rsid w:val="00194F61"/>
    <w:rsid w:val="00195372"/>
    <w:rsid w:val="0019637A"/>
    <w:rsid w:val="00196AB8"/>
    <w:rsid w:val="001A01B8"/>
    <w:rsid w:val="001A1296"/>
    <w:rsid w:val="001A22D7"/>
    <w:rsid w:val="001A3676"/>
    <w:rsid w:val="001A38A1"/>
    <w:rsid w:val="001A3F72"/>
    <w:rsid w:val="001A41D4"/>
    <w:rsid w:val="001A41E3"/>
    <w:rsid w:val="001A426B"/>
    <w:rsid w:val="001A48B8"/>
    <w:rsid w:val="001A49EE"/>
    <w:rsid w:val="001A504B"/>
    <w:rsid w:val="001A51CE"/>
    <w:rsid w:val="001A5374"/>
    <w:rsid w:val="001A5683"/>
    <w:rsid w:val="001A6290"/>
    <w:rsid w:val="001B0C27"/>
    <w:rsid w:val="001B1A04"/>
    <w:rsid w:val="001B1ECF"/>
    <w:rsid w:val="001B2572"/>
    <w:rsid w:val="001B3645"/>
    <w:rsid w:val="001B6C27"/>
    <w:rsid w:val="001B6E9D"/>
    <w:rsid w:val="001C063D"/>
    <w:rsid w:val="001C1746"/>
    <w:rsid w:val="001C1C58"/>
    <w:rsid w:val="001C28D2"/>
    <w:rsid w:val="001C29F9"/>
    <w:rsid w:val="001C2AE1"/>
    <w:rsid w:val="001C32FC"/>
    <w:rsid w:val="001C41AE"/>
    <w:rsid w:val="001C46D4"/>
    <w:rsid w:val="001C5744"/>
    <w:rsid w:val="001C5C5E"/>
    <w:rsid w:val="001C5CDF"/>
    <w:rsid w:val="001C5F65"/>
    <w:rsid w:val="001C67B6"/>
    <w:rsid w:val="001C6927"/>
    <w:rsid w:val="001C78D6"/>
    <w:rsid w:val="001C79E0"/>
    <w:rsid w:val="001D00DC"/>
    <w:rsid w:val="001D04ED"/>
    <w:rsid w:val="001D0A58"/>
    <w:rsid w:val="001D0ECC"/>
    <w:rsid w:val="001D233D"/>
    <w:rsid w:val="001D2E65"/>
    <w:rsid w:val="001D395B"/>
    <w:rsid w:val="001D4296"/>
    <w:rsid w:val="001D4FDD"/>
    <w:rsid w:val="001D5268"/>
    <w:rsid w:val="001D5277"/>
    <w:rsid w:val="001D5894"/>
    <w:rsid w:val="001D58C1"/>
    <w:rsid w:val="001D671A"/>
    <w:rsid w:val="001D6A2D"/>
    <w:rsid w:val="001D7B71"/>
    <w:rsid w:val="001D7BA7"/>
    <w:rsid w:val="001D7C57"/>
    <w:rsid w:val="001E0B73"/>
    <w:rsid w:val="001E10AE"/>
    <w:rsid w:val="001E16E1"/>
    <w:rsid w:val="001E1B90"/>
    <w:rsid w:val="001E1BE4"/>
    <w:rsid w:val="001E1F31"/>
    <w:rsid w:val="001E25C4"/>
    <w:rsid w:val="001E2BB4"/>
    <w:rsid w:val="001E355B"/>
    <w:rsid w:val="001E3AD9"/>
    <w:rsid w:val="001E3DE1"/>
    <w:rsid w:val="001E45A4"/>
    <w:rsid w:val="001E4778"/>
    <w:rsid w:val="001E5A97"/>
    <w:rsid w:val="001E5D0C"/>
    <w:rsid w:val="001E5EFB"/>
    <w:rsid w:val="001E6595"/>
    <w:rsid w:val="001E728D"/>
    <w:rsid w:val="001E7297"/>
    <w:rsid w:val="001F24FE"/>
    <w:rsid w:val="001F2DEA"/>
    <w:rsid w:val="001F3428"/>
    <w:rsid w:val="001F34A8"/>
    <w:rsid w:val="001F3961"/>
    <w:rsid w:val="001F3ADB"/>
    <w:rsid w:val="001F4632"/>
    <w:rsid w:val="001F4773"/>
    <w:rsid w:val="001F4C4B"/>
    <w:rsid w:val="001F5DAF"/>
    <w:rsid w:val="001F637B"/>
    <w:rsid w:val="001F7304"/>
    <w:rsid w:val="001F7386"/>
    <w:rsid w:val="001F7594"/>
    <w:rsid w:val="001F7FF0"/>
    <w:rsid w:val="002005B9"/>
    <w:rsid w:val="002005E1"/>
    <w:rsid w:val="002006CB"/>
    <w:rsid w:val="00200A1D"/>
    <w:rsid w:val="00200A7F"/>
    <w:rsid w:val="00201A81"/>
    <w:rsid w:val="00201D50"/>
    <w:rsid w:val="0020377A"/>
    <w:rsid w:val="0020438A"/>
    <w:rsid w:val="002048AE"/>
    <w:rsid w:val="002048C7"/>
    <w:rsid w:val="00204914"/>
    <w:rsid w:val="00204A87"/>
    <w:rsid w:val="00204E2E"/>
    <w:rsid w:val="00204E70"/>
    <w:rsid w:val="00204F2F"/>
    <w:rsid w:val="00205703"/>
    <w:rsid w:val="00205BBB"/>
    <w:rsid w:val="00205C43"/>
    <w:rsid w:val="00205FA4"/>
    <w:rsid w:val="00206433"/>
    <w:rsid w:val="002067AA"/>
    <w:rsid w:val="00206E4D"/>
    <w:rsid w:val="0020728F"/>
    <w:rsid w:val="002073C7"/>
    <w:rsid w:val="00207CFA"/>
    <w:rsid w:val="002107F7"/>
    <w:rsid w:val="00210918"/>
    <w:rsid w:val="00210DF5"/>
    <w:rsid w:val="00211065"/>
    <w:rsid w:val="00211BF1"/>
    <w:rsid w:val="00211D65"/>
    <w:rsid w:val="00212532"/>
    <w:rsid w:val="002133AD"/>
    <w:rsid w:val="002133C2"/>
    <w:rsid w:val="00213BD6"/>
    <w:rsid w:val="002148BE"/>
    <w:rsid w:val="00214A4B"/>
    <w:rsid w:val="00214D9E"/>
    <w:rsid w:val="002154AE"/>
    <w:rsid w:val="002155CB"/>
    <w:rsid w:val="00215795"/>
    <w:rsid w:val="00215880"/>
    <w:rsid w:val="0021665A"/>
    <w:rsid w:val="00216911"/>
    <w:rsid w:val="00216F69"/>
    <w:rsid w:val="00220052"/>
    <w:rsid w:val="002202EF"/>
    <w:rsid w:val="0022224E"/>
    <w:rsid w:val="0022347E"/>
    <w:rsid w:val="00223563"/>
    <w:rsid w:val="00224440"/>
    <w:rsid w:val="00224C9B"/>
    <w:rsid w:val="002252B7"/>
    <w:rsid w:val="0022564A"/>
    <w:rsid w:val="0022671C"/>
    <w:rsid w:val="002270B9"/>
    <w:rsid w:val="0022727A"/>
    <w:rsid w:val="00227496"/>
    <w:rsid w:val="0023071D"/>
    <w:rsid w:val="00231560"/>
    <w:rsid w:val="00231A43"/>
    <w:rsid w:val="002329A1"/>
    <w:rsid w:val="00232A05"/>
    <w:rsid w:val="00232A51"/>
    <w:rsid w:val="00232EB1"/>
    <w:rsid w:val="00232EC3"/>
    <w:rsid w:val="0023335C"/>
    <w:rsid w:val="00233E75"/>
    <w:rsid w:val="0023496E"/>
    <w:rsid w:val="00234AD3"/>
    <w:rsid w:val="00234E48"/>
    <w:rsid w:val="00235250"/>
    <w:rsid w:val="00236975"/>
    <w:rsid w:val="00236A20"/>
    <w:rsid w:val="002374FC"/>
    <w:rsid w:val="00237C9B"/>
    <w:rsid w:val="00240C83"/>
    <w:rsid w:val="00240E5A"/>
    <w:rsid w:val="00240FE1"/>
    <w:rsid w:val="00241808"/>
    <w:rsid w:val="002423B5"/>
    <w:rsid w:val="002428D6"/>
    <w:rsid w:val="00242EF0"/>
    <w:rsid w:val="002437E6"/>
    <w:rsid w:val="002440FE"/>
    <w:rsid w:val="002441D5"/>
    <w:rsid w:val="002443B2"/>
    <w:rsid w:val="00244620"/>
    <w:rsid w:val="00245117"/>
    <w:rsid w:val="002461C4"/>
    <w:rsid w:val="0024702E"/>
    <w:rsid w:val="00247CA9"/>
    <w:rsid w:val="0025044A"/>
    <w:rsid w:val="00250CDE"/>
    <w:rsid w:val="00251294"/>
    <w:rsid w:val="002514C6"/>
    <w:rsid w:val="00251FE4"/>
    <w:rsid w:val="00252089"/>
    <w:rsid w:val="00252135"/>
    <w:rsid w:val="0025404E"/>
    <w:rsid w:val="00254A47"/>
    <w:rsid w:val="002561DD"/>
    <w:rsid w:val="00256AA1"/>
    <w:rsid w:val="00256CD3"/>
    <w:rsid w:val="00256F08"/>
    <w:rsid w:val="00257B3A"/>
    <w:rsid w:val="00257D7F"/>
    <w:rsid w:val="00260A92"/>
    <w:rsid w:val="002612C0"/>
    <w:rsid w:val="00261EB4"/>
    <w:rsid w:val="00261F66"/>
    <w:rsid w:val="00262C8E"/>
    <w:rsid w:val="00263898"/>
    <w:rsid w:val="00263D66"/>
    <w:rsid w:val="00264076"/>
    <w:rsid w:val="002654D5"/>
    <w:rsid w:val="002661AA"/>
    <w:rsid w:val="0026641D"/>
    <w:rsid w:val="00266BE9"/>
    <w:rsid w:val="00266C6A"/>
    <w:rsid w:val="002670FD"/>
    <w:rsid w:val="00267C1E"/>
    <w:rsid w:val="00267C71"/>
    <w:rsid w:val="00270A01"/>
    <w:rsid w:val="00271135"/>
    <w:rsid w:val="00271220"/>
    <w:rsid w:val="00271E46"/>
    <w:rsid w:val="002729C3"/>
    <w:rsid w:val="00272ADB"/>
    <w:rsid w:val="00272C3D"/>
    <w:rsid w:val="00272C43"/>
    <w:rsid w:val="002732C6"/>
    <w:rsid w:val="00273546"/>
    <w:rsid w:val="0027588D"/>
    <w:rsid w:val="0027636B"/>
    <w:rsid w:val="00276370"/>
    <w:rsid w:val="002764EE"/>
    <w:rsid w:val="00276A48"/>
    <w:rsid w:val="002774B5"/>
    <w:rsid w:val="002779D5"/>
    <w:rsid w:val="00277A95"/>
    <w:rsid w:val="00281632"/>
    <w:rsid w:val="00281BF9"/>
    <w:rsid w:val="002828FB"/>
    <w:rsid w:val="002830CD"/>
    <w:rsid w:val="00283345"/>
    <w:rsid w:val="00283B8C"/>
    <w:rsid w:val="002845A7"/>
    <w:rsid w:val="002848C5"/>
    <w:rsid w:val="0028527B"/>
    <w:rsid w:val="00285D7D"/>
    <w:rsid w:val="00285FAD"/>
    <w:rsid w:val="00285FE5"/>
    <w:rsid w:val="00286880"/>
    <w:rsid w:val="00286B5B"/>
    <w:rsid w:val="002871C1"/>
    <w:rsid w:val="002872D0"/>
    <w:rsid w:val="00287794"/>
    <w:rsid w:val="002909A0"/>
    <w:rsid w:val="00290B2D"/>
    <w:rsid w:val="002910F3"/>
    <w:rsid w:val="0029147F"/>
    <w:rsid w:val="002918EA"/>
    <w:rsid w:val="0029232B"/>
    <w:rsid w:val="00292A6D"/>
    <w:rsid w:val="00293639"/>
    <w:rsid w:val="00293BC6"/>
    <w:rsid w:val="00293F0C"/>
    <w:rsid w:val="00294837"/>
    <w:rsid w:val="00294E01"/>
    <w:rsid w:val="00296369"/>
    <w:rsid w:val="00296BE7"/>
    <w:rsid w:val="002A0181"/>
    <w:rsid w:val="002A01F3"/>
    <w:rsid w:val="002A0879"/>
    <w:rsid w:val="002A087B"/>
    <w:rsid w:val="002A1F3E"/>
    <w:rsid w:val="002A26CB"/>
    <w:rsid w:val="002A2BB7"/>
    <w:rsid w:val="002A34A1"/>
    <w:rsid w:val="002A3E67"/>
    <w:rsid w:val="002A4ACE"/>
    <w:rsid w:val="002A5CB7"/>
    <w:rsid w:val="002A5F46"/>
    <w:rsid w:val="002A61D8"/>
    <w:rsid w:val="002A782B"/>
    <w:rsid w:val="002A7EDF"/>
    <w:rsid w:val="002B1342"/>
    <w:rsid w:val="002B2159"/>
    <w:rsid w:val="002B23C3"/>
    <w:rsid w:val="002B2625"/>
    <w:rsid w:val="002B2A4D"/>
    <w:rsid w:val="002B2DA7"/>
    <w:rsid w:val="002B307F"/>
    <w:rsid w:val="002B3628"/>
    <w:rsid w:val="002B4081"/>
    <w:rsid w:val="002B40E2"/>
    <w:rsid w:val="002B445E"/>
    <w:rsid w:val="002B46A5"/>
    <w:rsid w:val="002B4F55"/>
    <w:rsid w:val="002B558A"/>
    <w:rsid w:val="002B5BC2"/>
    <w:rsid w:val="002B62B6"/>
    <w:rsid w:val="002B660D"/>
    <w:rsid w:val="002B68A4"/>
    <w:rsid w:val="002B6B45"/>
    <w:rsid w:val="002B6C5A"/>
    <w:rsid w:val="002B6CB2"/>
    <w:rsid w:val="002B6EA3"/>
    <w:rsid w:val="002B726E"/>
    <w:rsid w:val="002B7E47"/>
    <w:rsid w:val="002C02BA"/>
    <w:rsid w:val="002C0621"/>
    <w:rsid w:val="002C1105"/>
    <w:rsid w:val="002C203A"/>
    <w:rsid w:val="002C2566"/>
    <w:rsid w:val="002C3449"/>
    <w:rsid w:val="002C3608"/>
    <w:rsid w:val="002C3955"/>
    <w:rsid w:val="002C3DC8"/>
    <w:rsid w:val="002C4531"/>
    <w:rsid w:val="002C504F"/>
    <w:rsid w:val="002C6E11"/>
    <w:rsid w:val="002C79B6"/>
    <w:rsid w:val="002D0397"/>
    <w:rsid w:val="002D0C74"/>
    <w:rsid w:val="002D2B16"/>
    <w:rsid w:val="002D357E"/>
    <w:rsid w:val="002D4CD7"/>
    <w:rsid w:val="002D4ECE"/>
    <w:rsid w:val="002D5064"/>
    <w:rsid w:val="002D5631"/>
    <w:rsid w:val="002D5A3E"/>
    <w:rsid w:val="002D5B53"/>
    <w:rsid w:val="002D6107"/>
    <w:rsid w:val="002D68CC"/>
    <w:rsid w:val="002D7A0B"/>
    <w:rsid w:val="002D7CE6"/>
    <w:rsid w:val="002E0184"/>
    <w:rsid w:val="002E1596"/>
    <w:rsid w:val="002E16E2"/>
    <w:rsid w:val="002E1C1A"/>
    <w:rsid w:val="002E1D0D"/>
    <w:rsid w:val="002E373F"/>
    <w:rsid w:val="002E38B3"/>
    <w:rsid w:val="002E3980"/>
    <w:rsid w:val="002E4F21"/>
    <w:rsid w:val="002E524C"/>
    <w:rsid w:val="002E6306"/>
    <w:rsid w:val="002E6ABC"/>
    <w:rsid w:val="002E7BB5"/>
    <w:rsid w:val="002F0227"/>
    <w:rsid w:val="002F02C2"/>
    <w:rsid w:val="002F1C92"/>
    <w:rsid w:val="002F1CB7"/>
    <w:rsid w:val="002F2745"/>
    <w:rsid w:val="002F2990"/>
    <w:rsid w:val="002F42C4"/>
    <w:rsid w:val="002F4B4B"/>
    <w:rsid w:val="002F5801"/>
    <w:rsid w:val="002F643E"/>
    <w:rsid w:val="002F6B4F"/>
    <w:rsid w:val="002F701D"/>
    <w:rsid w:val="002F7F16"/>
    <w:rsid w:val="003003BA"/>
    <w:rsid w:val="003013D8"/>
    <w:rsid w:val="00302829"/>
    <w:rsid w:val="00302E1E"/>
    <w:rsid w:val="00304072"/>
    <w:rsid w:val="0030408C"/>
    <w:rsid w:val="003047E5"/>
    <w:rsid w:val="00304FA2"/>
    <w:rsid w:val="0030516E"/>
    <w:rsid w:val="00305CC0"/>
    <w:rsid w:val="00307688"/>
    <w:rsid w:val="00307725"/>
    <w:rsid w:val="00307CFB"/>
    <w:rsid w:val="0031057E"/>
    <w:rsid w:val="003108F4"/>
    <w:rsid w:val="00310BBB"/>
    <w:rsid w:val="003110D6"/>
    <w:rsid w:val="003112B7"/>
    <w:rsid w:val="00311BE3"/>
    <w:rsid w:val="00312124"/>
    <w:rsid w:val="00312E39"/>
    <w:rsid w:val="0031442B"/>
    <w:rsid w:val="003147FB"/>
    <w:rsid w:val="003148A5"/>
    <w:rsid w:val="003149B4"/>
    <w:rsid w:val="003152CC"/>
    <w:rsid w:val="003158ED"/>
    <w:rsid w:val="00315C02"/>
    <w:rsid w:val="003170BE"/>
    <w:rsid w:val="003175EE"/>
    <w:rsid w:val="00317862"/>
    <w:rsid w:val="00321211"/>
    <w:rsid w:val="003221B8"/>
    <w:rsid w:val="0032424E"/>
    <w:rsid w:val="003246C7"/>
    <w:rsid w:val="00325A3C"/>
    <w:rsid w:val="00326513"/>
    <w:rsid w:val="00326614"/>
    <w:rsid w:val="00326D0D"/>
    <w:rsid w:val="00326D13"/>
    <w:rsid w:val="00326D6C"/>
    <w:rsid w:val="0033083D"/>
    <w:rsid w:val="00331A33"/>
    <w:rsid w:val="00332735"/>
    <w:rsid w:val="00332D0A"/>
    <w:rsid w:val="00333531"/>
    <w:rsid w:val="003338CD"/>
    <w:rsid w:val="0033439B"/>
    <w:rsid w:val="003353D8"/>
    <w:rsid w:val="00335A90"/>
    <w:rsid w:val="00336A11"/>
    <w:rsid w:val="0033706D"/>
    <w:rsid w:val="0033781A"/>
    <w:rsid w:val="00340452"/>
    <w:rsid w:val="00340ABD"/>
    <w:rsid w:val="00341408"/>
    <w:rsid w:val="003419A1"/>
    <w:rsid w:val="00342046"/>
    <w:rsid w:val="0034331A"/>
    <w:rsid w:val="0034375E"/>
    <w:rsid w:val="00343EE0"/>
    <w:rsid w:val="00344133"/>
    <w:rsid w:val="00346027"/>
    <w:rsid w:val="0034681B"/>
    <w:rsid w:val="00346B62"/>
    <w:rsid w:val="00346E63"/>
    <w:rsid w:val="0035136C"/>
    <w:rsid w:val="00351491"/>
    <w:rsid w:val="003515E9"/>
    <w:rsid w:val="00351A14"/>
    <w:rsid w:val="00351C8A"/>
    <w:rsid w:val="00352435"/>
    <w:rsid w:val="003529FD"/>
    <w:rsid w:val="00353760"/>
    <w:rsid w:val="00353CA8"/>
    <w:rsid w:val="00354258"/>
    <w:rsid w:val="00354DBA"/>
    <w:rsid w:val="00354E6D"/>
    <w:rsid w:val="003565D7"/>
    <w:rsid w:val="00356B90"/>
    <w:rsid w:val="00356CC1"/>
    <w:rsid w:val="0035719E"/>
    <w:rsid w:val="00360EB5"/>
    <w:rsid w:val="003615AD"/>
    <w:rsid w:val="00362366"/>
    <w:rsid w:val="00362C66"/>
    <w:rsid w:val="00363A1E"/>
    <w:rsid w:val="00363B22"/>
    <w:rsid w:val="0036465E"/>
    <w:rsid w:val="00364ECC"/>
    <w:rsid w:val="00365502"/>
    <w:rsid w:val="00365594"/>
    <w:rsid w:val="00365F32"/>
    <w:rsid w:val="003661C5"/>
    <w:rsid w:val="00366C40"/>
    <w:rsid w:val="00366D91"/>
    <w:rsid w:val="00366DC6"/>
    <w:rsid w:val="003679DD"/>
    <w:rsid w:val="00367AD1"/>
    <w:rsid w:val="00367EC2"/>
    <w:rsid w:val="0037018E"/>
    <w:rsid w:val="00370490"/>
    <w:rsid w:val="00370F73"/>
    <w:rsid w:val="003714B4"/>
    <w:rsid w:val="00371659"/>
    <w:rsid w:val="00371729"/>
    <w:rsid w:val="00371A8C"/>
    <w:rsid w:val="00373541"/>
    <w:rsid w:val="00373614"/>
    <w:rsid w:val="0037386D"/>
    <w:rsid w:val="0037387E"/>
    <w:rsid w:val="003744BA"/>
    <w:rsid w:val="00374545"/>
    <w:rsid w:val="00374B49"/>
    <w:rsid w:val="00374B95"/>
    <w:rsid w:val="00374C02"/>
    <w:rsid w:val="00375A1B"/>
    <w:rsid w:val="00375B22"/>
    <w:rsid w:val="00375D69"/>
    <w:rsid w:val="00376775"/>
    <w:rsid w:val="003768A4"/>
    <w:rsid w:val="003775CA"/>
    <w:rsid w:val="00377F62"/>
    <w:rsid w:val="0038074E"/>
    <w:rsid w:val="0038146A"/>
    <w:rsid w:val="00383370"/>
    <w:rsid w:val="00383460"/>
    <w:rsid w:val="00383516"/>
    <w:rsid w:val="003843D7"/>
    <w:rsid w:val="00385539"/>
    <w:rsid w:val="00385B25"/>
    <w:rsid w:val="0038602A"/>
    <w:rsid w:val="00390B15"/>
    <w:rsid w:val="00390B40"/>
    <w:rsid w:val="00391454"/>
    <w:rsid w:val="003914E8"/>
    <w:rsid w:val="00391737"/>
    <w:rsid w:val="00391EED"/>
    <w:rsid w:val="003924D8"/>
    <w:rsid w:val="0039262B"/>
    <w:rsid w:val="00392812"/>
    <w:rsid w:val="00392CD4"/>
    <w:rsid w:val="00392F32"/>
    <w:rsid w:val="003934DC"/>
    <w:rsid w:val="00393514"/>
    <w:rsid w:val="00394C30"/>
    <w:rsid w:val="00394E16"/>
    <w:rsid w:val="003951C2"/>
    <w:rsid w:val="003952F0"/>
    <w:rsid w:val="00395A75"/>
    <w:rsid w:val="003963D7"/>
    <w:rsid w:val="00396B88"/>
    <w:rsid w:val="0039754C"/>
    <w:rsid w:val="0039760F"/>
    <w:rsid w:val="00397A67"/>
    <w:rsid w:val="00397F11"/>
    <w:rsid w:val="003A00CB"/>
    <w:rsid w:val="003A0A35"/>
    <w:rsid w:val="003A0EB0"/>
    <w:rsid w:val="003A11F6"/>
    <w:rsid w:val="003A14EB"/>
    <w:rsid w:val="003A1559"/>
    <w:rsid w:val="003A1803"/>
    <w:rsid w:val="003A1A77"/>
    <w:rsid w:val="003A1C9B"/>
    <w:rsid w:val="003A2293"/>
    <w:rsid w:val="003A2486"/>
    <w:rsid w:val="003A24EE"/>
    <w:rsid w:val="003A2678"/>
    <w:rsid w:val="003A26DC"/>
    <w:rsid w:val="003A38F4"/>
    <w:rsid w:val="003A3C20"/>
    <w:rsid w:val="003A3D10"/>
    <w:rsid w:val="003A3D7A"/>
    <w:rsid w:val="003A46C9"/>
    <w:rsid w:val="003A4B72"/>
    <w:rsid w:val="003A5237"/>
    <w:rsid w:val="003A55CE"/>
    <w:rsid w:val="003B0DC3"/>
    <w:rsid w:val="003B0E59"/>
    <w:rsid w:val="003B16DC"/>
    <w:rsid w:val="003B648B"/>
    <w:rsid w:val="003B6779"/>
    <w:rsid w:val="003B6FB0"/>
    <w:rsid w:val="003B7E34"/>
    <w:rsid w:val="003C016A"/>
    <w:rsid w:val="003C1153"/>
    <w:rsid w:val="003C1D00"/>
    <w:rsid w:val="003C343B"/>
    <w:rsid w:val="003C3D11"/>
    <w:rsid w:val="003C4587"/>
    <w:rsid w:val="003C45C2"/>
    <w:rsid w:val="003C4B58"/>
    <w:rsid w:val="003C4FA8"/>
    <w:rsid w:val="003C5117"/>
    <w:rsid w:val="003C56E3"/>
    <w:rsid w:val="003C65BF"/>
    <w:rsid w:val="003C66CC"/>
    <w:rsid w:val="003C66EE"/>
    <w:rsid w:val="003D0012"/>
    <w:rsid w:val="003D07AA"/>
    <w:rsid w:val="003D1258"/>
    <w:rsid w:val="003D12E3"/>
    <w:rsid w:val="003D1EBD"/>
    <w:rsid w:val="003D1EF6"/>
    <w:rsid w:val="003D31DF"/>
    <w:rsid w:val="003D3F4B"/>
    <w:rsid w:val="003D4575"/>
    <w:rsid w:val="003D46CB"/>
    <w:rsid w:val="003D568B"/>
    <w:rsid w:val="003D5CB4"/>
    <w:rsid w:val="003D6741"/>
    <w:rsid w:val="003D6796"/>
    <w:rsid w:val="003D6D28"/>
    <w:rsid w:val="003E01A9"/>
    <w:rsid w:val="003E05D8"/>
    <w:rsid w:val="003E154B"/>
    <w:rsid w:val="003E20EB"/>
    <w:rsid w:val="003E23C3"/>
    <w:rsid w:val="003E37A2"/>
    <w:rsid w:val="003E3DE4"/>
    <w:rsid w:val="003E4D1D"/>
    <w:rsid w:val="003E537C"/>
    <w:rsid w:val="003E6232"/>
    <w:rsid w:val="003E6233"/>
    <w:rsid w:val="003E6DCC"/>
    <w:rsid w:val="003F04D1"/>
    <w:rsid w:val="003F061E"/>
    <w:rsid w:val="003F06D5"/>
    <w:rsid w:val="003F0E5B"/>
    <w:rsid w:val="003F160A"/>
    <w:rsid w:val="003F27CE"/>
    <w:rsid w:val="003F67B2"/>
    <w:rsid w:val="003F688C"/>
    <w:rsid w:val="003F705C"/>
    <w:rsid w:val="0040063E"/>
    <w:rsid w:val="00400D63"/>
    <w:rsid w:val="00400E4A"/>
    <w:rsid w:val="004025E4"/>
    <w:rsid w:val="00402858"/>
    <w:rsid w:val="00402C87"/>
    <w:rsid w:val="00403652"/>
    <w:rsid w:val="004042E6"/>
    <w:rsid w:val="0040455F"/>
    <w:rsid w:val="00406195"/>
    <w:rsid w:val="00406689"/>
    <w:rsid w:val="00406E0E"/>
    <w:rsid w:val="00406F8F"/>
    <w:rsid w:val="004075B6"/>
    <w:rsid w:val="00407AA6"/>
    <w:rsid w:val="00407B40"/>
    <w:rsid w:val="00410078"/>
    <w:rsid w:val="004104CD"/>
    <w:rsid w:val="004113E8"/>
    <w:rsid w:val="00411419"/>
    <w:rsid w:val="004119A2"/>
    <w:rsid w:val="00413981"/>
    <w:rsid w:val="00413E11"/>
    <w:rsid w:val="00415A42"/>
    <w:rsid w:val="00415E55"/>
    <w:rsid w:val="00415EE0"/>
    <w:rsid w:val="00415F66"/>
    <w:rsid w:val="00416B4B"/>
    <w:rsid w:val="00416FF0"/>
    <w:rsid w:val="0042067E"/>
    <w:rsid w:val="00420B39"/>
    <w:rsid w:val="00421436"/>
    <w:rsid w:val="00421581"/>
    <w:rsid w:val="004215D4"/>
    <w:rsid w:val="00421C7E"/>
    <w:rsid w:val="00421CBE"/>
    <w:rsid w:val="00421CF2"/>
    <w:rsid w:val="00422C7D"/>
    <w:rsid w:val="0042543E"/>
    <w:rsid w:val="0042584E"/>
    <w:rsid w:val="0042609D"/>
    <w:rsid w:val="00426339"/>
    <w:rsid w:val="004266D4"/>
    <w:rsid w:val="00427299"/>
    <w:rsid w:val="00431140"/>
    <w:rsid w:val="00431605"/>
    <w:rsid w:val="0043255D"/>
    <w:rsid w:val="004327A6"/>
    <w:rsid w:val="00432B5E"/>
    <w:rsid w:val="004337D0"/>
    <w:rsid w:val="00433831"/>
    <w:rsid w:val="00433B99"/>
    <w:rsid w:val="004346E2"/>
    <w:rsid w:val="0043472C"/>
    <w:rsid w:val="004348EA"/>
    <w:rsid w:val="00434C69"/>
    <w:rsid w:val="0043569C"/>
    <w:rsid w:val="00435B54"/>
    <w:rsid w:val="00436242"/>
    <w:rsid w:val="0043796A"/>
    <w:rsid w:val="00437C43"/>
    <w:rsid w:val="00440557"/>
    <w:rsid w:val="004407D9"/>
    <w:rsid w:val="00441081"/>
    <w:rsid w:val="0044189B"/>
    <w:rsid w:val="0044198C"/>
    <w:rsid w:val="00441EE9"/>
    <w:rsid w:val="00443393"/>
    <w:rsid w:val="004439FC"/>
    <w:rsid w:val="00443D91"/>
    <w:rsid w:val="00444254"/>
    <w:rsid w:val="00444BD7"/>
    <w:rsid w:val="004455E9"/>
    <w:rsid w:val="004469E4"/>
    <w:rsid w:val="00446BB3"/>
    <w:rsid w:val="00446BE4"/>
    <w:rsid w:val="0044745A"/>
    <w:rsid w:val="00447460"/>
    <w:rsid w:val="00450181"/>
    <w:rsid w:val="0045042B"/>
    <w:rsid w:val="004506D4"/>
    <w:rsid w:val="00450933"/>
    <w:rsid w:val="0045139A"/>
    <w:rsid w:val="00451626"/>
    <w:rsid w:val="00451E56"/>
    <w:rsid w:val="004521C4"/>
    <w:rsid w:val="00452ED2"/>
    <w:rsid w:val="00452ED7"/>
    <w:rsid w:val="00453F2A"/>
    <w:rsid w:val="00454672"/>
    <w:rsid w:val="00454EF9"/>
    <w:rsid w:val="0045719E"/>
    <w:rsid w:val="00457423"/>
    <w:rsid w:val="00457A1F"/>
    <w:rsid w:val="004603DC"/>
    <w:rsid w:val="004614B1"/>
    <w:rsid w:val="00461FE8"/>
    <w:rsid w:val="00462286"/>
    <w:rsid w:val="0046275A"/>
    <w:rsid w:val="0046282B"/>
    <w:rsid w:val="00463416"/>
    <w:rsid w:val="004635B0"/>
    <w:rsid w:val="00463E89"/>
    <w:rsid w:val="004642FE"/>
    <w:rsid w:val="00466BE6"/>
    <w:rsid w:val="00467BB2"/>
    <w:rsid w:val="00467CDE"/>
    <w:rsid w:val="0047130D"/>
    <w:rsid w:val="00471542"/>
    <w:rsid w:val="00471E6D"/>
    <w:rsid w:val="0047205B"/>
    <w:rsid w:val="004728E1"/>
    <w:rsid w:val="00473BDB"/>
    <w:rsid w:val="00475151"/>
    <w:rsid w:val="00475CE0"/>
    <w:rsid w:val="00476030"/>
    <w:rsid w:val="00476096"/>
    <w:rsid w:val="00476350"/>
    <w:rsid w:val="00476C28"/>
    <w:rsid w:val="004773ED"/>
    <w:rsid w:val="00480D65"/>
    <w:rsid w:val="00480F4F"/>
    <w:rsid w:val="004819BA"/>
    <w:rsid w:val="00481E9F"/>
    <w:rsid w:val="004825D0"/>
    <w:rsid w:val="0048264F"/>
    <w:rsid w:val="0048336D"/>
    <w:rsid w:val="00483918"/>
    <w:rsid w:val="004855AA"/>
    <w:rsid w:val="004865F7"/>
    <w:rsid w:val="00486F8F"/>
    <w:rsid w:val="0049011F"/>
    <w:rsid w:val="00490673"/>
    <w:rsid w:val="004907DD"/>
    <w:rsid w:val="00490F0A"/>
    <w:rsid w:val="004912A6"/>
    <w:rsid w:val="00491C36"/>
    <w:rsid w:val="00493313"/>
    <w:rsid w:val="00494C53"/>
    <w:rsid w:val="004961A9"/>
    <w:rsid w:val="00496343"/>
    <w:rsid w:val="00496A04"/>
    <w:rsid w:val="004977E4"/>
    <w:rsid w:val="00497A70"/>
    <w:rsid w:val="004A0428"/>
    <w:rsid w:val="004A0B2B"/>
    <w:rsid w:val="004A1B0D"/>
    <w:rsid w:val="004A2156"/>
    <w:rsid w:val="004A3116"/>
    <w:rsid w:val="004A333E"/>
    <w:rsid w:val="004A4275"/>
    <w:rsid w:val="004A48BD"/>
    <w:rsid w:val="004A49BE"/>
    <w:rsid w:val="004A4A14"/>
    <w:rsid w:val="004A55D8"/>
    <w:rsid w:val="004A59B5"/>
    <w:rsid w:val="004A5B51"/>
    <w:rsid w:val="004A5EF2"/>
    <w:rsid w:val="004A61D0"/>
    <w:rsid w:val="004A66D2"/>
    <w:rsid w:val="004A6E3C"/>
    <w:rsid w:val="004A7132"/>
    <w:rsid w:val="004A7303"/>
    <w:rsid w:val="004A7C9C"/>
    <w:rsid w:val="004B063E"/>
    <w:rsid w:val="004B1086"/>
    <w:rsid w:val="004B14CD"/>
    <w:rsid w:val="004B14E3"/>
    <w:rsid w:val="004B243A"/>
    <w:rsid w:val="004B26B0"/>
    <w:rsid w:val="004B26CE"/>
    <w:rsid w:val="004B279A"/>
    <w:rsid w:val="004B2DA2"/>
    <w:rsid w:val="004B39D0"/>
    <w:rsid w:val="004B3CCB"/>
    <w:rsid w:val="004B454B"/>
    <w:rsid w:val="004B4AA0"/>
    <w:rsid w:val="004B5294"/>
    <w:rsid w:val="004B5374"/>
    <w:rsid w:val="004B64D2"/>
    <w:rsid w:val="004B6FC5"/>
    <w:rsid w:val="004B76C2"/>
    <w:rsid w:val="004B79D3"/>
    <w:rsid w:val="004C00CE"/>
    <w:rsid w:val="004C04AC"/>
    <w:rsid w:val="004C0AEC"/>
    <w:rsid w:val="004C0BB9"/>
    <w:rsid w:val="004C1652"/>
    <w:rsid w:val="004C293D"/>
    <w:rsid w:val="004C2C70"/>
    <w:rsid w:val="004C37E2"/>
    <w:rsid w:val="004C3906"/>
    <w:rsid w:val="004C404C"/>
    <w:rsid w:val="004C4368"/>
    <w:rsid w:val="004C4A67"/>
    <w:rsid w:val="004C53EC"/>
    <w:rsid w:val="004C5659"/>
    <w:rsid w:val="004C697B"/>
    <w:rsid w:val="004C6AFE"/>
    <w:rsid w:val="004C6BE4"/>
    <w:rsid w:val="004C6C20"/>
    <w:rsid w:val="004C71A2"/>
    <w:rsid w:val="004C7F54"/>
    <w:rsid w:val="004D01B0"/>
    <w:rsid w:val="004D059A"/>
    <w:rsid w:val="004D0C00"/>
    <w:rsid w:val="004D108E"/>
    <w:rsid w:val="004D1BEB"/>
    <w:rsid w:val="004D2026"/>
    <w:rsid w:val="004D22FC"/>
    <w:rsid w:val="004D2770"/>
    <w:rsid w:val="004D2CC3"/>
    <w:rsid w:val="004D3B54"/>
    <w:rsid w:val="004D4B90"/>
    <w:rsid w:val="004D53C3"/>
    <w:rsid w:val="004D5471"/>
    <w:rsid w:val="004D655F"/>
    <w:rsid w:val="004D7A7B"/>
    <w:rsid w:val="004E103B"/>
    <w:rsid w:val="004E1CFB"/>
    <w:rsid w:val="004E2C26"/>
    <w:rsid w:val="004E40E7"/>
    <w:rsid w:val="004E4238"/>
    <w:rsid w:val="004E43BF"/>
    <w:rsid w:val="004E5617"/>
    <w:rsid w:val="004E610C"/>
    <w:rsid w:val="004E6B6A"/>
    <w:rsid w:val="004E6F70"/>
    <w:rsid w:val="004E7496"/>
    <w:rsid w:val="004E78DD"/>
    <w:rsid w:val="004F0945"/>
    <w:rsid w:val="004F0978"/>
    <w:rsid w:val="004F0C76"/>
    <w:rsid w:val="004F1B66"/>
    <w:rsid w:val="004F1D60"/>
    <w:rsid w:val="004F2089"/>
    <w:rsid w:val="004F35D3"/>
    <w:rsid w:val="004F3B06"/>
    <w:rsid w:val="004F3ED9"/>
    <w:rsid w:val="004F47CC"/>
    <w:rsid w:val="004F4A78"/>
    <w:rsid w:val="004F4E44"/>
    <w:rsid w:val="004F55B9"/>
    <w:rsid w:val="004F5F21"/>
    <w:rsid w:val="004F675B"/>
    <w:rsid w:val="00500F5C"/>
    <w:rsid w:val="00501DF0"/>
    <w:rsid w:val="00501EC4"/>
    <w:rsid w:val="005027EF"/>
    <w:rsid w:val="00503D79"/>
    <w:rsid w:val="00503E10"/>
    <w:rsid w:val="00504107"/>
    <w:rsid w:val="0050530F"/>
    <w:rsid w:val="0050571D"/>
    <w:rsid w:val="00506D2F"/>
    <w:rsid w:val="00506F13"/>
    <w:rsid w:val="005071A7"/>
    <w:rsid w:val="00507308"/>
    <w:rsid w:val="00507AE8"/>
    <w:rsid w:val="005101E4"/>
    <w:rsid w:val="0051035C"/>
    <w:rsid w:val="0051076B"/>
    <w:rsid w:val="005107AA"/>
    <w:rsid w:val="005118A0"/>
    <w:rsid w:val="005119EF"/>
    <w:rsid w:val="0051203B"/>
    <w:rsid w:val="005122D7"/>
    <w:rsid w:val="005137E0"/>
    <w:rsid w:val="00513AC8"/>
    <w:rsid w:val="00513EF4"/>
    <w:rsid w:val="005141AC"/>
    <w:rsid w:val="00514423"/>
    <w:rsid w:val="005145F2"/>
    <w:rsid w:val="00515C0D"/>
    <w:rsid w:val="005163F3"/>
    <w:rsid w:val="00517748"/>
    <w:rsid w:val="00520233"/>
    <w:rsid w:val="00520CE1"/>
    <w:rsid w:val="00521DF6"/>
    <w:rsid w:val="005228A4"/>
    <w:rsid w:val="00522A75"/>
    <w:rsid w:val="00522AC5"/>
    <w:rsid w:val="00523197"/>
    <w:rsid w:val="00524566"/>
    <w:rsid w:val="00525088"/>
    <w:rsid w:val="0052524F"/>
    <w:rsid w:val="005257C6"/>
    <w:rsid w:val="00525805"/>
    <w:rsid w:val="005258B0"/>
    <w:rsid w:val="005260AF"/>
    <w:rsid w:val="005278D1"/>
    <w:rsid w:val="005308BF"/>
    <w:rsid w:val="0053102E"/>
    <w:rsid w:val="005314F8"/>
    <w:rsid w:val="00532272"/>
    <w:rsid w:val="00532DA0"/>
    <w:rsid w:val="00532EFF"/>
    <w:rsid w:val="005344C2"/>
    <w:rsid w:val="00535173"/>
    <w:rsid w:val="00536412"/>
    <w:rsid w:val="005368D3"/>
    <w:rsid w:val="005377F7"/>
    <w:rsid w:val="00540D4C"/>
    <w:rsid w:val="0054110F"/>
    <w:rsid w:val="00541AC4"/>
    <w:rsid w:val="00542C66"/>
    <w:rsid w:val="00543C29"/>
    <w:rsid w:val="00543CBE"/>
    <w:rsid w:val="005442E7"/>
    <w:rsid w:val="005444F7"/>
    <w:rsid w:val="00545C8B"/>
    <w:rsid w:val="005465CF"/>
    <w:rsid w:val="005467B6"/>
    <w:rsid w:val="0054682E"/>
    <w:rsid w:val="00546E31"/>
    <w:rsid w:val="00547853"/>
    <w:rsid w:val="00547B54"/>
    <w:rsid w:val="005502FD"/>
    <w:rsid w:val="00550B2D"/>
    <w:rsid w:val="00552E51"/>
    <w:rsid w:val="005535C8"/>
    <w:rsid w:val="0055400B"/>
    <w:rsid w:val="005540F8"/>
    <w:rsid w:val="005549AD"/>
    <w:rsid w:val="00554CB4"/>
    <w:rsid w:val="005557D0"/>
    <w:rsid w:val="005560EA"/>
    <w:rsid w:val="00556E7B"/>
    <w:rsid w:val="00556FBD"/>
    <w:rsid w:val="005572BB"/>
    <w:rsid w:val="00557B53"/>
    <w:rsid w:val="00560CFC"/>
    <w:rsid w:val="005615A5"/>
    <w:rsid w:val="005615DF"/>
    <w:rsid w:val="00562CAE"/>
    <w:rsid w:val="00563EB1"/>
    <w:rsid w:val="0056405C"/>
    <w:rsid w:val="005648C6"/>
    <w:rsid w:val="00564F61"/>
    <w:rsid w:val="005650BD"/>
    <w:rsid w:val="005650EE"/>
    <w:rsid w:val="0056709D"/>
    <w:rsid w:val="00567726"/>
    <w:rsid w:val="005708C8"/>
    <w:rsid w:val="00570AC9"/>
    <w:rsid w:val="00570AFA"/>
    <w:rsid w:val="00570DE3"/>
    <w:rsid w:val="00571B24"/>
    <w:rsid w:val="00571DE6"/>
    <w:rsid w:val="00571E16"/>
    <w:rsid w:val="005721DA"/>
    <w:rsid w:val="00572361"/>
    <w:rsid w:val="00573676"/>
    <w:rsid w:val="00573991"/>
    <w:rsid w:val="00574175"/>
    <w:rsid w:val="0057453C"/>
    <w:rsid w:val="005748D5"/>
    <w:rsid w:val="00574B5B"/>
    <w:rsid w:val="00574CC4"/>
    <w:rsid w:val="00574E81"/>
    <w:rsid w:val="0057504E"/>
    <w:rsid w:val="00575987"/>
    <w:rsid w:val="0057634E"/>
    <w:rsid w:val="005773E2"/>
    <w:rsid w:val="00577428"/>
    <w:rsid w:val="005774E4"/>
    <w:rsid w:val="0057784F"/>
    <w:rsid w:val="00577ACB"/>
    <w:rsid w:val="00577D72"/>
    <w:rsid w:val="00580821"/>
    <w:rsid w:val="005812E2"/>
    <w:rsid w:val="005813AB"/>
    <w:rsid w:val="00581455"/>
    <w:rsid w:val="00581E1F"/>
    <w:rsid w:val="00581E7E"/>
    <w:rsid w:val="00582C71"/>
    <w:rsid w:val="00582FD6"/>
    <w:rsid w:val="00583C42"/>
    <w:rsid w:val="0058442B"/>
    <w:rsid w:val="00584C03"/>
    <w:rsid w:val="00584CAB"/>
    <w:rsid w:val="00585BE3"/>
    <w:rsid w:val="00586812"/>
    <w:rsid w:val="00586A2E"/>
    <w:rsid w:val="00586D85"/>
    <w:rsid w:val="005876DC"/>
    <w:rsid w:val="005876FF"/>
    <w:rsid w:val="005878BA"/>
    <w:rsid w:val="00587B25"/>
    <w:rsid w:val="00590B21"/>
    <w:rsid w:val="00591CA7"/>
    <w:rsid w:val="00591CAE"/>
    <w:rsid w:val="005922E5"/>
    <w:rsid w:val="00592775"/>
    <w:rsid w:val="00592945"/>
    <w:rsid w:val="00592A2D"/>
    <w:rsid w:val="005933AB"/>
    <w:rsid w:val="00593C02"/>
    <w:rsid w:val="00594358"/>
    <w:rsid w:val="005943CE"/>
    <w:rsid w:val="00595FE6"/>
    <w:rsid w:val="005961E5"/>
    <w:rsid w:val="00596F9E"/>
    <w:rsid w:val="00597C48"/>
    <w:rsid w:val="005A01B3"/>
    <w:rsid w:val="005A0BD2"/>
    <w:rsid w:val="005A11B2"/>
    <w:rsid w:val="005A1B29"/>
    <w:rsid w:val="005A1B9D"/>
    <w:rsid w:val="005A1F1D"/>
    <w:rsid w:val="005A2554"/>
    <w:rsid w:val="005A30F5"/>
    <w:rsid w:val="005A3D53"/>
    <w:rsid w:val="005A3D90"/>
    <w:rsid w:val="005A423A"/>
    <w:rsid w:val="005A4AF4"/>
    <w:rsid w:val="005A4D86"/>
    <w:rsid w:val="005A6062"/>
    <w:rsid w:val="005A658D"/>
    <w:rsid w:val="005A79EC"/>
    <w:rsid w:val="005B031E"/>
    <w:rsid w:val="005B093C"/>
    <w:rsid w:val="005B1212"/>
    <w:rsid w:val="005B1477"/>
    <w:rsid w:val="005B172D"/>
    <w:rsid w:val="005B1B63"/>
    <w:rsid w:val="005B29DE"/>
    <w:rsid w:val="005B3CDE"/>
    <w:rsid w:val="005B3F63"/>
    <w:rsid w:val="005B5BD8"/>
    <w:rsid w:val="005B613C"/>
    <w:rsid w:val="005B6909"/>
    <w:rsid w:val="005B7447"/>
    <w:rsid w:val="005C050F"/>
    <w:rsid w:val="005C16E2"/>
    <w:rsid w:val="005C200F"/>
    <w:rsid w:val="005C2062"/>
    <w:rsid w:val="005C2A17"/>
    <w:rsid w:val="005C2B59"/>
    <w:rsid w:val="005C2FE1"/>
    <w:rsid w:val="005C3014"/>
    <w:rsid w:val="005C3798"/>
    <w:rsid w:val="005C44FE"/>
    <w:rsid w:val="005C6268"/>
    <w:rsid w:val="005C65AC"/>
    <w:rsid w:val="005C6D02"/>
    <w:rsid w:val="005C7580"/>
    <w:rsid w:val="005C78DF"/>
    <w:rsid w:val="005C7AB6"/>
    <w:rsid w:val="005C7F60"/>
    <w:rsid w:val="005D1B7D"/>
    <w:rsid w:val="005D2041"/>
    <w:rsid w:val="005D2390"/>
    <w:rsid w:val="005D3340"/>
    <w:rsid w:val="005D3CE8"/>
    <w:rsid w:val="005D4FA5"/>
    <w:rsid w:val="005D5272"/>
    <w:rsid w:val="005D58E6"/>
    <w:rsid w:val="005D68F8"/>
    <w:rsid w:val="005D6BFB"/>
    <w:rsid w:val="005D6E9D"/>
    <w:rsid w:val="005D799C"/>
    <w:rsid w:val="005D7B52"/>
    <w:rsid w:val="005D7BE3"/>
    <w:rsid w:val="005D7E20"/>
    <w:rsid w:val="005D7F11"/>
    <w:rsid w:val="005E0950"/>
    <w:rsid w:val="005E1419"/>
    <w:rsid w:val="005E15C5"/>
    <w:rsid w:val="005E3E5E"/>
    <w:rsid w:val="005E406C"/>
    <w:rsid w:val="005E4109"/>
    <w:rsid w:val="005E4303"/>
    <w:rsid w:val="005E47A5"/>
    <w:rsid w:val="005E47C2"/>
    <w:rsid w:val="005E580F"/>
    <w:rsid w:val="005E65B8"/>
    <w:rsid w:val="005E661D"/>
    <w:rsid w:val="005E67C5"/>
    <w:rsid w:val="005E6A85"/>
    <w:rsid w:val="005E76FB"/>
    <w:rsid w:val="005E7FD0"/>
    <w:rsid w:val="005F038D"/>
    <w:rsid w:val="005F03E6"/>
    <w:rsid w:val="005F1B38"/>
    <w:rsid w:val="005F1B77"/>
    <w:rsid w:val="005F27D7"/>
    <w:rsid w:val="005F3B28"/>
    <w:rsid w:val="005F4EFC"/>
    <w:rsid w:val="005F5068"/>
    <w:rsid w:val="005F6687"/>
    <w:rsid w:val="005F69EA"/>
    <w:rsid w:val="005F6CFC"/>
    <w:rsid w:val="005F732A"/>
    <w:rsid w:val="005F7879"/>
    <w:rsid w:val="00600222"/>
    <w:rsid w:val="00600B4A"/>
    <w:rsid w:val="00600C22"/>
    <w:rsid w:val="00601283"/>
    <w:rsid w:val="00601679"/>
    <w:rsid w:val="00601B55"/>
    <w:rsid w:val="00602018"/>
    <w:rsid w:val="00602127"/>
    <w:rsid w:val="00602937"/>
    <w:rsid w:val="00603C38"/>
    <w:rsid w:val="00603F2A"/>
    <w:rsid w:val="00604740"/>
    <w:rsid w:val="00604C1B"/>
    <w:rsid w:val="00605809"/>
    <w:rsid w:val="00605DAA"/>
    <w:rsid w:val="00606FB0"/>
    <w:rsid w:val="00607421"/>
    <w:rsid w:val="0060796A"/>
    <w:rsid w:val="00610245"/>
    <w:rsid w:val="006108D1"/>
    <w:rsid w:val="00610AD2"/>
    <w:rsid w:val="00611E7C"/>
    <w:rsid w:val="0061324D"/>
    <w:rsid w:val="00613DEE"/>
    <w:rsid w:val="006142E4"/>
    <w:rsid w:val="006148F9"/>
    <w:rsid w:val="00614926"/>
    <w:rsid w:val="00615A43"/>
    <w:rsid w:val="00616AAA"/>
    <w:rsid w:val="0061705E"/>
    <w:rsid w:val="006170FA"/>
    <w:rsid w:val="0062064A"/>
    <w:rsid w:val="006207E8"/>
    <w:rsid w:val="0062097C"/>
    <w:rsid w:val="00620CCA"/>
    <w:rsid w:val="00621191"/>
    <w:rsid w:val="00622699"/>
    <w:rsid w:val="006227AC"/>
    <w:rsid w:val="00623319"/>
    <w:rsid w:val="0062366D"/>
    <w:rsid w:val="00623815"/>
    <w:rsid w:val="00623DC6"/>
    <w:rsid w:val="00623F8D"/>
    <w:rsid w:val="0062424C"/>
    <w:rsid w:val="006242CC"/>
    <w:rsid w:val="00624B1D"/>
    <w:rsid w:val="00625F35"/>
    <w:rsid w:val="00626481"/>
    <w:rsid w:val="006265CD"/>
    <w:rsid w:val="00627126"/>
    <w:rsid w:val="00627DEC"/>
    <w:rsid w:val="00630D22"/>
    <w:rsid w:val="00632318"/>
    <w:rsid w:val="006334F5"/>
    <w:rsid w:val="00635159"/>
    <w:rsid w:val="0063622C"/>
    <w:rsid w:val="006374F9"/>
    <w:rsid w:val="00637B8A"/>
    <w:rsid w:val="00637D86"/>
    <w:rsid w:val="00640162"/>
    <w:rsid w:val="00641AA4"/>
    <w:rsid w:val="00641F61"/>
    <w:rsid w:val="00642FAE"/>
    <w:rsid w:val="006443CC"/>
    <w:rsid w:val="00644751"/>
    <w:rsid w:val="00644CFD"/>
    <w:rsid w:val="0064509E"/>
    <w:rsid w:val="006454CC"/>
    <w:rsid w:val="00645AF6"/>
    <w:rsid w:val="0064652A"/>
    <w:rsid w:val="006477AF"/>
    <w:rsid w:val="00647897"/>
    <w:rsid w:val="00650B3E"/>
    <w:rsid w:val="00650CE8"/>
    <w:rsid w:val="00651039"/>
    <w:rsid w:val="006510B1"/>
    <w:rsid w:val="006511C3"/>
    <w:rsid w:val="00651A01"/>
    <w:rsid w:val="00651BE3"/>
    <w:rsid w:val="0065339C"/>
    <w:rsid w:val="00653A0C"/>
    <w:rsid w:val="00653E3D"/>
    <w:rsid w:val="006541CF"/>
    <w:rsid w:val="00654336"/>
    <w:rsid w:val="00654B41"/>
    <w:rsid w:val="006561B1"/>
    <w:rsid w:val="00656A07"/>
    <w:rsid w:val="00657250"/>
    <w:rsid w:val="00657376"/>
    <w:rsid w:val="006600E5"/>
    <w:rsid w:val="006603E6"/>
    <w:rsid w:val="00660AC6"/>
    <w:rsid w:val="006610AD"/>
    <w:rsid w:val="00661794"/>
    <w:rsid w:val="00661D38"/>
    <w:rsid w:val="00662059"/>
    <w:rsid w:val="00662143"/>
    <w:rsid w:val="00662755"/>
    <w:rsid w:val="006632A3"/>
    <w:rsid w:val="0066330E"/>
    <w:rsid w:val="0066499D"/>
    <w:rsid w:val="00664A2D"/>
    <w:rsid w:val="00664AC2"/>
    <w:rsid w:val="00665941"/>
    <w:rsid w:val="00666727"/>
    <w:rsid w:val="00666DBA"/>
    <w:rsid w:val="006672E6"/>
    <w:rsid w:val="00670370"/>
    <w:rsid w:val="00670BC7"/>
    <w:rsid w:val="00670D1A"/>
    <w:rsid w:val="00671295"/>
    <w:rsid w:val="00671828"/>
    <w:rsid w:val="00673CD2"/>
    <w:rsid w:val="00675704"/>
    <w:rsid w:val="00676629"/>
    <w:rsid w:val="00676C04"/>
    <w:rsid w:val="00677AEA"/>
    <w:rsid w:val="0068080D"/>
    <w:rsid w:val="006815B2"/>
    <w:rsid w:val="00681C1C"/>
    <w:rsid w:val="0068251B"/>
    <w:rsid w:val="00682D64"/>
    <w:rsid w:val="006832B5"/>
    <w:rsid w:val="006836D7"/>
    <w:rsid w:val="0068389D"/>
    <w:rsid w:val="00683DDA"/>
    <w:rsid w:val="006842AB"/>
    <w:rsid w:val="006846B4"/>
    <w:rsid w:val="006852F5"/>
    <w:rsid w:val="00685368"/>
    <w:rsid w:val="00685431"/>
    <w:rsid w:val="006867D0"/>
    <w:rsid w:val="00686983"/>
    <w:rsid w:val="00686EF9"/>
    <w:rsid w:val="006906E2"/>
    <w:rsid w:val="00690A75"/>
    <w:rsid w:val="00690A7F"/>
    <w:rsid w:val="00690EA6"/>
    <w:rsid w:val="00691633"/>
    <w:rsid w:val="00691989"/>
    <w:rsid w:val="006939C7"/>
    <w:rsid w:val="006946BF"/>
    <w:rsid w:val="0069550A"/>
    <w:rsid w:val="006963D2"/>
    <w:rsid w:val="00697A6F"/>
    <w:rsid w:val="006A06FE"/>
    <w:rsid w:val="006A077B"/>
    <w:rsid w:val="006A19F2"/>
    <w:rsid w:val="006A1D1B"/>
    <w:rsid w:val="006A2967"/>
    <w:rsid w:val="006A2969"/>
    <w:rsid w:val="006A2F2D"/>
    <w:rsid w:val="006A33CC"/>
    <w:rsid w:val="006A3C81"/>
    <w:rsid w:val="006A5B05"/>
    <w:rsid w:val="006A5DAA"/>
    <w:rsid w:val="006A6456"/>
    <w:rsid w:val="006A64EF"/>
    <w:rsid w:val="006A6811"/>
    <w:rsid w:val="006A737F"/>
    <w:rsid w:val="006A7596"/>
    <w:rsid w:val="006A7AB4"/>
    <w:rsid w:val="006A7C84"/>
    <w:rsid w:val="006B01BB"/>
    <w:rsid w:val="006B0670"/>
    <w:rsid w:val="006B08A2"/>
    <w:rsid w:val="006B08A6"/>
    <w:rsid w:val="006B0C62"/>
    <w:rsid w:val="006B10D4"/>
    <w:rsid w:val="006B142D"/>
    <w:rsid w:val="006B2EC6"/>
    <w:rsid w:val="006B346B"/>
    <w:rsid w:val="006B357E"/>
    <w:rsid w:val="006B37BB"/>
    <w:rsid w:val="006B42BE"/>
    <w:rsid w:val="006B55DD"/>
    <w:rsid w:val="006B5EAB"/>
    <w:rsid w:val="006B668C"/>
    <w:rsid w:val="006B66BD"/>
    <w:rsid w:val="006B6C4A"/>
    <w:rsid w:val="006B7C5C"/>
    <w:rsid w:val="006B7FC0"/>
    <w:rsid w:val="006C0C99"/>
    <w:rsid w:val="006C186D"/>
    <w:rsid w:val="006C1EE5"/>
    <w:rsid w:val="006C2009"/>
    <w:rsid w:val="006C2CEB"/>
    <w:rsid w:val="006C2D50"/>
    <w:rsid w:val="006C3F82"/>
    <w:rsid w:val="006C41F4"/>
    <w:rsid w:val="006C4963"/>
    <w:rsid w:val="006C49C5"/>
    <w:rsid w:val="006C5169"/>
    <w:rsid w:val="006C5A57"/>
    <w:rsid w:val="006C5B2B"/>
    <w:rsid w:val="006C5C51"/>
    <w:rsid w:val="006C61AE"/>
    <w:rsid w:val="006C64BC"/>
    <w:rsid w:val="006C6682"/>
    <w:rsid w:val="006C691D"/>
    <w:rsid w:val="006C7077"/>
    <w:rsid w:val="006C796F"/>
    <w:rsid w:val="006C7D1B"/>
    <w:rsid w:val="006D0465"/>
    <w:rsid w:val="006D09CA"/>
    <w:rsid w:val="006D0FD1"/>
    <w:rsid w:val="006D1EE6"/>
    <w:rsid w:val="006D503F"/>
    <w:rsid w:val="006D58BF"/>
    <w:rsid w:val="006D6792"/>
    <w:rsid w:val="006D6B14"/>
    <w:rsid w:val="006D6CEA"/>
    <w:rsid w:val="006D7FFD"/>
    <w:rsid w:val="006E1D3F"/>
    <w:rsid w:val="006E24E7"/>
    <w:rsid w:val="006E2BA6"/>
    <w:rsid w:val="006E2F3E"/>
    <w:rsid w:val="006E3507"/>
    <w:rsid w:val="006E3C89"/>
    <w:rsid w:val="006E3D24"/>
    <w:rsid w:val="006E4733"/>
    <w:rsid w:val="006E4943"/>
    <w:rsid w:val="006E62FD"/>
    <w:rsid w:val="006E636D"/>
    <w:rsid w:val="006E6FB3"/>
    <w:rsid w:val="006E702D"/>
    <w:rsid w:val="006E71A1"/>
    <w:rsid w:val="006E750E"/>
    <w:rsid w:val="006E7CAF"/>
    <w:rsid w:val="006E7FFA"/>
    <w:rsid w:val="006F04DE"/>
    <w:rsid w:val="006F2324"/>
    <w:rsid w:val="006F2D02"/>
    <w:rsid w:val="006F332E"/>
    <w:rsid w:val="006F45BA"/>
    <w:rsid w:val="006F4617"/>
    <w:rsid w:val="006F4C14"/>
    <w:rsid w:val="006F4D62"/>
    <w:rsid w:val="006F5D2D"/>
    <w:rsid w:val="006F5E0A"/>
    <w:rsid w:val="006F6DCD"/>
    <w:rsid w:val="006F7A7B"/>
    <w:rsid w:val="006F7D7C"/>
    <w:rsid w:val="00701929"/>
    <w:rsid w:val="00701F59"/>
    <w:rsid w:val="00702009"/>
    <w:rsid w:val="00702F10"/>
    <w:rsid w:val="0070329E"/>
    <w:rsid w:val="007034EF"/>
    <w:rsid w:val="00703CF7"/>
    <w:rsid w:val="007043CB"/>
    <w:rsid w:val="007046A2"/>
    <w:rsid w:val="00704932"/>
    <w:rsid w:val="007053B9"/>
    <w:rsid w:val="00705D53"/>
    <w:rsid w:val="00705FC0"/>
    <w:rsid w:val="00706BDD"/>
    <w:rsid w:val="0070748A"/>
    <w:rsid w:val="007102AA"/>
    <w:rsid w:val="00710735"/>
    <w:rsid w:val="00711111"/>
    <w:rsid w:val="007113AD"/>
    <w:rsid w:val="00711756"/>
    <w:rsid w:val="007119D6"/>
    <w:rsid w:val="00712BB7"/>
    <w:rsid w:val="00712FAC"/>
    <w:rsid w:val="00713C48"/>
    <w:rsid w:val="00714890"/>
    <w:rsid w:val="00715B93"/>
    <w:rsid w:val="00715DF0"/>
    <w:rsid w:val="00715E62"/>
    <w:rsid w:val="007164BA"/>
    <w:rsid w:val="007165AD"/>
    <w:rsid w:val="007169C7"/>
    <w:rsid w:val="00716A07"/>
    <w:rsid w:val="00720040"/>
    <w:rsid w:val="00720772"/>
    <w:rsid w:val="00720A9C"/>
    <w:rsid w:val="00720B32"/>
    <w:rsid w:val="0072116E"/>
    <w:rsid w:val="007211F2"/>
    <w:rsid w:val="00721397"/>
    <w:rsid w:val="0072158D"/>
    <w:rsid w:val="00721841"/>
    <w:rsid w:val="00723034"/>
    <w:rsid w:val="00723C7F"/>
    <w:rsid w:val="00724618"/>
    <w:rsid w:val="00724E87"/>
    <w:rsid w:val="007250BE"/>
    <w:rsid w:val="007256E8"/>
    <w:rsid w:val="007257CD"/>
    <w:rsid w:val="007257D8"/>
    <w:rsid w:val="00725B5B"/>
    <w:rsid w:val="00725C09"/>
    <w:rsid w:val="00725C3F"/>
    <w:rsid w:val="00726DD2"/>
    <w:rsid w:val="007279A0"/>
    <w:rsid w:val="00727E2C"/>
    <w:rsid w:val="007301B3"/>
    <w:rsid w:val="00730253"/>
    <w:rsid w:val="00730FCC"/>
    <w:rsid w:val="00731779"/>
    <w:rsid w:val="007317CE"/>
    <w:rsid w:val="007322EA"/>
    <w:rsid w:val="007322FB"/>
    <w:rsid w:val="007325CC"/>
    <w:rsid w:val="007327F7"/>
    <w:rsid w:val="00733647"/>
    <w:rsid w:val="00733DC3"/>
    <w:rsid w:val="00733E4C"/>
    <w:rsid w:val="00734886"/>
    <w:rsid w:val="00736E08"/>
    <w:rsid w:val="00736EF3"/>
    <w:rsid w:val="007374FA"/>
    <w:rsid w:val="00737807"/>
    <w:rsid w:val="00737D4C"/>
    <w:rsid w:val="00740976"/>
    <w:rsid w:val="00740FE3"/>
    <w:rsid w:val="00741979"/>
    <w:rsid w:val="00741A46"/>
    <w:rsid w:val="00741F77"/>
    <w:rsid w:val="00742D45"/>
    <w:rsid w:val="00742FE8"/>
    <w:rsid w:val="007436AC"/>
    <w:rsid w:val="00743785"/>
    <w:rsid w:val="007439C3"/>
    <w:rsid w:val="00743C78"/>
    <w:rsid w:val="00743D9A"/>
    <w:rsid w:val="007442A3"/>
    <w:rsid w:val="007444C2"/>
    <w:rsid w:val="0074659C"/>
    <w:rsid w:val="00747066"/>
    <w:rsid w:val="00747EE7"/>
    <w:rsid w:val="00750033"/>
    <w:rsid w:val="00750511"/>
    <w:rsid w:val="007525AF"/>
    <w:rsid w:val="00752C28"/>
    <w:rsid w:val="00753417"/>
    <w:rsid w:val="00754231"/>
    <w:rsid w:val="0075425B"/>
    <w:rsid w:val="00755243"/>
    <w:rsid w:val="007553B0"/>
    <w:rsid w:val="00755A12"/>
    <w:rsid w:val="00755DEC"/>
    <w:rsid w:val="007563CF"/>
    <w:rsid w:val="007566F0"/>
    <w:rsid w:val="0075678B"/>
    <w:rsid w:val="00756819"/>
    <w:rsid w:val="007568B8"/>
    <w:rsid w:val="00756B03"/>
    <w:rsid w:val="0075780F"/>
    <w:rsid w:val="00757BB6"/>
    <w:rsid w:val="007601D1"/>
    <w:rsid w:val="00760D02"/>
    <w:rsid w:val="00761A1F"/>
    <w:rsid w:val="00762BC0"/>
    <w:rsid w:val="0076359E"/>
    <w:rsid w:val="00763A31"/>
    <w:rsid w:val="0076418E"/>
    <w:rsid w:val="00764AB6"/>
    <w:rsid w:val="00764EC1"/>
    <w:rsid w:val="00765056"/>
    <w:rsid w:val="007657A5"/>
    <w:rsid w:val="00765E31"/>
    <w:rsid w:val="0076620B"/>
    <w:rsid w:val="0076653E"/>
    <w:rsid w:val="00766889"/>
    <w:rsid w:val="007672CA"/>
    <w:rsid w:val="00767A93"/>
    <w:rsid w:val="00767BF0"/>
    <w:rsid w:val="00767D7A"/>
    <w:rsid w:val="00771B46"/>
    <w:rsid w:val="00771E3F"/>
    <w:rsid w:val="00771EB7"/>
    <w:rsid w:val="00772629"/>
    <w:rsid w:val="007730B9"/>
    <w:rsid w:val="007732D9"/>
    <w:rsid w:val="00773E38"/>
    <w:rsid w:val="0077447F"/>
    <w:rsid w:val="00775359"/>
    <w:rsid w:val="00776042"/>
    <w:rsid w:val="0077611D"/>
    <w:rsid w:val="0077673C"/>
    <w:rsid w:val="00776914"/>
    <w:rsid w:val="00777202"/>
    <w:rsid w:val="00777C16"/>
    <w:rsid w:val="0078007A"/>
    <w:rsid w:val="0078009D"/>
    <w:rsid w:val="0078023D"/>
    <w:rsid w:val="00780404"/>
    <w:rsid w:val="007804EF"/>
    <w:rsid w:val="00780543"/>
    <w:rsid w:val="00780734"/>
    <w:rsid w:val="00781490"/>
    <w:rsid w:val="007816D4"/>
    <w:rsid w:val="00783841"/>
    <w:rsid w:val="00783E25"/>
    <w:rsid w:val="007844B3"/>
    <w:rsid w:val="0078460B"/>
    <w:rsid w:val="00784B32"/>
    <w:rsid w:val="00785077"/>
    <w:rsid w:val="0078524B"/>
    <w:rsid w:val="007852DC"/>
    <w:rsid w:val="00785A64"/>
    <w:rsid w:val="00786C58"/>
    <w:rsid w:val="007872AE"/>
    <w:rsid w:val="00787A6C"/>
    <w:rsid w:val="00787E4A"/>
    <w:rsid w:val="007901DB"/>
    <w:rsid w:val="00790611"/>
    <w:rsid w:val="00790DCE"/>
    <w:rsid w:val="00790F6D"/>
    <w:rsid w:val="0079181A"/>
    <w:rsid w:val="00791AD7"/>
    <w:rsid w:val="00791FE0"/>
    <w:rsid w:val="0079266F"/>
    <w:rsid w:val="0079279F"/>
    <w:rsid w:val="00792C42"/>
    <w:rsid w:val="00792FCB"/>
    <w:rsid w:val="00792FE9"/>
    <w:rsid w:val="0079355B"/>
    <w:rsid w:val="00795A58"/>
    <w:rsid w:val="00796117"/>
    <w:rsid w:val="0079631C"/>
    <w:rsid w:val="00797CFC"/>
    <w:rsid w:val="00797E76"/>
    <w:rsid w:val="007A03E3"/>
    <w:rsid w:val="007A073A"/>
    <w:rsid w:val="007A0936"/>
    <w:rsid w:val="007A0BE3"/>
    <w:rsid w:val="007A14D4"/>
    <w:rsid w:val="007A1967"/>
    <w:rsid w:val="007A1DD9"/>
    <w:rsid w:val="007A382D"/>
    <w:rsid w:val="007A388F"/>
    <w:rsid w:val="007A4020"/>
    <w:rsid w:val="007A4CBE"/>
    <w:rsid w:val="007A4ED2"/>
    <w:rsid w:val="007A5289"/>
    <w:rsid w:val="007A5D96"/>
    <w:rsid w:val="007A7762"/>
    <w:rsid w:val="007B00FA"/>
    <w:rsid w:val="007B03D5"/>
    <w:rsid w:val="007B1487"/>
    <w:rsid w:val="007B171D"/>
    <w:rsid w:val="007B1DFE"/>
    <w:rsid w:val="007B240D"/>
    <w:rsid w:val="007B2560"/>
    <w:rsid w:val="007B3F47"/>
    <w:rsid w:val="007B4147"/>
    <w:rsid w:val="007B4432"/>
    <w:rsid w:val="007B4951"/>
    <w:rsid w:val="007B4BD6"/>
    <w:rsid w:val="007B4E03"/>
    <w:rsid w:val="007B540C"/>
    <w:rsid w:val="007B572C"/>
    <w:rsid w:val="007B59E4"/>
    <w:rsid w:val="007B5BCE"/>
    <w:rsid w:val="007B6154"/>
    <w:rsid w:val="007B7EDD"/>
    <w:rsid w:val="007C04EF"/>
    <w:rsid w:val="007C065E"/>
    <w:rsid w:val="007C0B49"/>
    <w:rsid w:val="007C163F"/>
    <w:rsid w:val="007C2077"/>
    <w:rsid w:val="007C3630"/>
    <w:rsid w:val="007C3764"/>
    <w:rsid w:val="007C3885"/>
    <w:rsid w:val="007C3A26"/>
    <w:rsid w:val="007C3ED4"/>
    <w:rsid w:val="007C4133"/>
    <w:rsid w:val="007C4C1D"/>
    <w:rsid w:val="007C57F7"/>
    <w:rsid w:val="007C740E"/>
    <w:rsid w:val="007D094A"/>
    <w:rsid w:val="007D132C"/>
    <w:rsid w:val="007D1A99"/>
    <w:rsid w:val="007D2D10"/>
    <w:rsid w:val="007D32DD"/>
    <w:rsid w:val="007D353D"/>
    <w:rsid w:val="007D37B7"/>
    <w:rsid w:val="007D3E0F"/>
    <w:rsid w:val="007D41A7"/>
    <w:rsid w:val="007D4C5C"/>
    <w:rsid w:val="007D55C5"/>
    <w:rsid w:val="007D56C5"/>
    <w:rsid w:val="007D5C15"/>
    <w:rsid w:val="007D5EC8"/>
    <w:rsid w:val="007D68AA"/>
    <w:rsid w:val="007D7906"/>
    <w:rsid w:val="007E0D9E"/>
    <w:rsid w:val="007E0F4D"/>
    <w:rsid w:val="007E1636"/>
    <w:rsid w:val="007E196C"/>
    <w:rsid w:val="007E1CE6"/>
    <w:rsid w:val="007E2079"/>
    <w:rsid w:val="007E23EE"/>
    <w:rsid w:val="007E3372"/>
    <w:rsid w:val="007E341A"/>
    <w:rsid w:val="007E3695"/>
    <w:rsid w:val="007E3892"/>
    <w:rsid w:val="007E415C"/>
    <w:rsid w:val="007E49A7"/>
    <w:rsid w:val="007E5064"/>
    <w:rsid w:val="007E64BE"/>
    <w:rsid w:val="007E64CE"/>
    <w:rsid w:val="007E75AE"/>
    <w:rsid w:val="007E7B7B"/>
    <w:rsid w:val="007F0BFF"/>
    <w:rsid w:val="007F2300"/>
    <w:rsid w:val="007F2EE9"/>
    <w:rsid w:val="007F2F13"/>
    <w:rsid w:val="007F35C2"/>
    <w:rsid w:val="007F5504"/>
    <w:rsid w:val="007F5BB1"/>
    <w:rsid w:val="007F5D49"/>
    <w:rsid w:val="007F655C"/>
    <w:rsid w:val="007F65E0"/>
    <w:rsid w:val="007F7AF8"/>
    <w:rsid w:val="00800353"/>
    <w:rsid w:val="00800794"/>
    <w:rsid w:val="00800BA2"/>
    <w:rsid w:val="00800EFA"/>
    <w:rsid w:val="00801317"/>
    <w:rsid w:val="00801C6A"/>
    <w:rsid w:val="00802369"/>
    <w:rsid w:val="0080249D"/>
    <w:rsid w:val="0080279B"/>
    <w:rsid w:val="00802B37"/>
    <w:rsid w:val="00802F87"/>
    <w:rsid w:val="00802FCD"/>
    <w:rsid w:val="00803154"/>
    <w:rsid w:val="008031A2"/>
    <w:rsid w:val="00803ADB"/>
    <w:rsid w:val="00804AAF"/>
    <w:rsid w:val="00804D63"/>
    <w:rsid w:val="00804DCF"/>
    <w:rsid w:val="00805AE5"/>
    <w:rsid w:val="008062B9"/>
    <w:rsid w:val="00807133"/>
    <w:rsid w:val="00810054"/>
    <w:rsid w:val="008102A4"/>
    <w:rsid w:val="00810391"/>
    <w:rsid w:val="008108C0"/>
    <w:rsid w:val="00810F09"/>
    <w:rsid w:val="00811520"/>
    <w:rsid w:val="0081191F"/>
    <w:rsid w:val="00811AF2"/>
    <w:rsid w:val="00811B17"/>
    <w:rsid w:val="0081274A"/>
    <w:rsid w:val="00812A99"/>
    <w:rsid w:val="00813D27"/>
    <w:rsid w:val="00814506"/>
    <w:rsid w:val="00814C22"/>
    <w:rsid w:val="00814D49"/>
    <w:rsid w:val="00816638"/>
    <w:rsid w:val="00816694"/>
    <w:rsid w:val="00816795"/>
    <w:rsid w:val="008169B5"/>
    <w:rsid w:val="00816CC7"/>
    <w:rsid w:val="008174E1"/>
    <w:rsid w:val="008174F4"/>
    <w:rsid w:val="00817A83"/>
    <w:rsid w:val="00820BA3"/>
    <w:rsid w:val="00821C9D"/>
    <w:rsid w:val="0082277A"/>
    <w:rsid w:val="00822976"/>
    <w:rsid w:val="00822B94"/>
    <w:rsid w:val="008237F1"/>
    <w:rsid w:val="00823B9E"/>
    <w:rsid w:val="00824D12"/>
    <w:rsid w:val="00824FCA"/>
    <w:rsid w:val="00826098"/>
    <w:rsid w:val="0082654A"/>
    <w:rsid w:val="00826C19"/>
    <w:rsid w:val="00827137"/>
    <w:rsid w:val="008273AD"/>
    <w:rsid w:val="0082782C"/>
    <w:rsid w:val="00827E05"/>
    <w:rsid w:val="0083002D"/>
    <w:rsid w:val="0083058D"/>
    <w:rsid w:val="00830A2B"/>
    <w:rsid w:val="00830A36"/>
    <w:rsid w:val="008315DA"/>
    <w:rsid w:val="00831788"/>
    <w:rsid w:val="00831E6E"/>
    <w:rsid w:val="00831EEC"/>
    <w:rsid w:val="00832703"/>
    <w:rsid w:val="00832E45"/>
    <w:rsid w:val="00832FA6"/>
    <w:rsid w:val="008344E4"/>
    <w:rsid w:val="00834A73"/>
    <w:rsid w:val="0083624F"/>
    <w:rsid w:val="00836E10"/>
    <w:rsid w:val="008374CE"/>
    <w:rsid w:val="008378A7"/>
    <w:rsid w:val="00837BF9"/>
    <w:rsid w:val="00837D6E"/>
    <w:rsid w:val="00840B54"/>
    <w:rsid w:val="008427C2"/>
    <w:rsid w:val="00842E4E"/>
    <w:rsid w:val="00842ED3"/>
    <w:rsid w:val="0084416A"/>
    <w:rsid w:val="00844392"/>
    <w:rsid w:val="008447B1"/>
    <w:rsid w:val="00845B4E"/>
    <w:rsid w:val="00846CB7"/>
    <w:rsid w:val="00847055"/>
    <w:rsid w:val="0084720D"/>
    <w:rsid w:val="00847844"/>
    <w:rsid w:val="00847847"/>
    <w:rsid w:val="00850B08"/>
    <w:rsid w:val="00850D5C"/>
    <w:rsid w:val="00850D81"/>
    <w:rsid w:val="0085113E"/>
    <w:rsid w:val="00852100"/>
    <w:rsid w:val="00852174"/>
    <w:rsid w:val="0085260A"/>
    <w:rsid w:val="00852790"/>
    <w:rsid w:val="00852CAB"/>
    <w:rsid w:val="00852ED3"/>
    <w:rsid w:val="008547AE"/>
    <w:rsid w:val="00854C2F"/>
    <w:rsid w:val="0085567D"/>
    <w:rsid w:val="00855C2B"/>
    <w:rsid w:val="00856D80"/>
    <w:rsid w:val="00857230"/>
    <w:rsid w:val="008574A6"/>
    <w:rsid w:val="00857BE3"/>
    <w:rsid w:val="00861374"/>
    <w:rsid w:val="00861808"/>
    <w:rsid w:val="00863433"/>
    <w:rsid w:val="00863785"/>
    <w:rsid w:val="0086397B"/>
    <w:rsid w:val="008639D8"/>
    <w:rsid w:val="00863E40"/>
    <w:rsid w:val="0086563E"/>
    <w:rsid w:val="0086607A"/>
    <w:rsid w:val="008663E0"/>
    <w:rsid w:val="00866552"/>
    <w:rsid w:val="00867185"/>
    <w:rsid w:val="0086724E"/>
    <w:rsid w:val="008675FA"/>
    <w:rsid w:val="00867C49"/>
    <w:rsid w:val="00867E80"/>
    <w:rsid w:val="00867EC2"/>
    <w:rsid w:val="00867F67"/>
    <w:rsid w:val="00871156"/>
    <w:rsid w:val="00871875"/>
    <w:rsid w:val="00871EE8"/>
    <w:rsid w:val="00873598"/>
    <w:rsid w:val="00873B35"/>
    <w:rsid w:val="00873DB4"/>
    <w:rsid w:val="00873EA4"/>
    <w:rsid w:val="00873F2B"/>
    <w:rsid w:val="00874297"/>
    <w:rsid w:val="00875013"/>
    <w:rsid w:val="00875557"/>
    <w:rsid w:val="008756C6"/>
    <w:rsid w:val="00875898"/>
    <w:rsid w:val="00876799"/>
    <w:rsid w:val="00876951"/>
    <w:rsid w:val="00876DDD"/>
    <w:rsid w:val="00877514"/>
    <w:rsid w:val="00880638"/>
    <w:rsid w:val="0088155D"/>
    <w:rsid w:val="0088195F"/>
    <w:rsid w:val="008829F5"/>
    <w:rsid w:val="008831DD"/>
    <w:rsid w:val="00883FA6"/>
    <w:rsid w:val="00884247"/>
    <w:rsid w:val="00884B65"/>
    <w:rsid w:val="00884B90"/>
    <w:rsid w:val="008855A1"/>
    <w:rsid w:val="00886363"/>
    <w:rsid w:val="00886900"/>
    <w:rsid w:val="00887342"/>
    <w:rsid w:val="00887360"/>
    <w:rsid w:val="00887681"/>
    <w:rsid w:val="00887E92"/>
    <w:rsid w:val="00891DD5"/>
    <w:rsid w:val="00891F4E"/>
    <w:rsid w:val="00892ADF"/>
    <w:rsid w:val="00892F94"/>
    <w:rsid w:val="00894317"/>
    <w:rsid w:val="00894947"/>
    <w:rsid w:val="00894CD1"/>
    <w:rsid w:val="008950AD"/>
    <w:rsid w:val="008957CB"/>
    <w:rsid w:val="00895FC5"/>
    <w:rsid w:val="00896831"/>
    <w:rsid w:val="00896972"/>
    <w:rsid w:val="00896A6C"/>
    <w:rsid w:val="00896DED"/>
    <w:rsid w:val="0089760D"/>
    <w:rsid w:val="00897A4E"/>
    <w:rsid w:val="00897AB0"/>
    <w:rsid w:val="00897C3B"/>
    <w:rsid w:val="008A0349"/>
    <w:rsid w:val="008A034B"/>
    <w:rsid w:val="008A03DA"/>
    <w:rsid w:val="008A166F"/>
    <w:rsid w:val="008A188A"/>
    <w:rsid w:val="008A1D28"/>
    <w:rsid w:val="008A2A11"/>
    <w:rsid w:val="008A2C8B"/>
    <w:rsid w:val="008A30CF"/>
    <w:rsid w:val="008A3FF8"/>
    <w:rsid w:val="008A43BE"/>
    <w:rsid w:val="008A4AC2"/>
    <w:rsid w:val="008A5F0E"/>
    <w:rsid w:val="008A61CE"/>
    <w:rsid w:val="008A65BB"/>
    <w:rsid w:val="008A785A"/>
    <w:rsid w:val="008B0280"/>
    <w:rsid w:val="008B0955"/>
    <w:rsid w:val="008B1B53"/>
    <w:rsid w:val="008B2517"/>
    <w:rsid w:val="008B251C"/>
    <w:rsid w:val="008B2B36"/>
    <w:rsid w:val="008B3376"/>
    <w:rsid w:val="008B3495"/>
    <w:rsid w:val="008B3526"/>
    <w:rsid w:val="008B3E47"/>
    <w:rsid w:val="008B4427"/>
    <w:rsid w:val="008B569A"/>
    <w:rsid w:val="008B6411"/>
    <w:rsid w:val="008B6534"/>
    <w:rsid w:val="008B67E8"/>
    <w:rsid w:val="008B755F"/>
    <w:rsid w:val="008C02D6"/>
    <w:rsid w:val="008C0555"/>
    <w:rsid w:val="008C1497"/>
    <w:rsid w:val="008C2CBB"/>
    <w:rsid w:val="008C3459"/>
    <w:rsid w:val="008C349F"/>
    <w:rsid w:val="008C3828"/>
    <w:rsid w:val="008C3C8E"/>
    <w:rsid w:val="008C4446"/>
    <w:rsid w:val="008C444D"/>
    <w:rsid w:val="008C48A6"/>
    <w:rsid w:val="008C48C5"/>
    <w:rsid w:val="008C4F7B"/>
    <w:rsid w:val="008C50B2"/>
    <w:rsid w:val="008C5858"/>
    <w:rsid w:val="008C5A21"/>
    <w:rsid w:val="008C5C65"/>
    <w:rsid w:val="008C63EA"/>
    <w:rsid w:val="008C6A1F"/>
    <w:rsid w:val="008C6A64"/>
    <w:rsid w:val="008C7144"/>
    <w:rsid w:val="008D0024"/>
    <w:rsid w:val="008D1B3A"/>
    <w:rsid w:val="008D23C3"/>
    <w:rsid w:val="008D3467"/>
    <w:rsid w:val="008D3DE3"/>
    <w:rsid w:val="008D52AB"/>
    <w:rsid w:val="008D5AB9"/>
    <w:rsid w:val="008D5DD1"/>
    <w:rsid w:val="008E004B"/>
    <w:rsid w:val="008E016E"/>
    <w:rsid w:val="008E19DB"/>
    <w:rsid w:val="008E1B23"/>
    <w:rsid w:val="008E262B"/>
    <w:rsid w:val="008E2667"/>
    <w:rsid w:val="008E2A57"/>
    <w:rsid w:val="008E2E42"/>
    <w:rsid w:val="008E3758"/>
    <w:rsid w:val="008E484E"/>
    <w:rsid w:val="008E4863"/>
    <w:rsid w:val="008E4F7A"/>
    <w:rsid w:val="008E517C"/>
    <w:rsid w:val="008E55F3"/>
    <w:rsid w:val="008E64C9"/>
    <w:rsid w:val="008E67BB"/>
    <w:rsid w:val="008E7540"/>
    <w:rsid w:val="008E7C82"/>
    <w:rsid w:val="008F00CE"/>
    <w:rsid w:val="008F0450"/>
    <w:rsid w:val="008F0E1C"/>
    <w:rsid w:val="008F1710"/>
    <w:rsid w:val="008F2092"/>
    <w:rsid w:val="008F2C33"/>
    <w:rsid w:val="008F382D"/>
    <w:rsid w:val="008F3A4A"/>
    <w:rsid w:val="008F3C97"/>
    <w:rsid w:val="008F3E2C"/>
    <w:rsid w:val="008F3F3C"/>
    <w:rsid w:val="008F403A"/>
    <w:rsid w:val="008F5C4F"/>
    <w:rsid w:val="008F637E"/>
    <w:rsid w:val="008F6479"/>
    <w:rsid w:val="008F6CCA"/>
    <w:rsid w:val="008F6FC9"/>
    <w:rsid w:val="008F727E"/>
    <w:rsid w:val="008F798C"/>
    <w:rsid w:val="00900E88"/>
    <w:rsid w:val="0090135D"/>
    <w:rsid w:val="00901C14"/>
    <w:rsid w:val="00902885"/>
    <w:rsid w:val="00902EB5"/>
    <w:rsid w:val="00903808"/>
    <w:rsid w:val="0090383A"/>
    <w:rsid w:val="00903B6B"/>
    <w:rsid w:val="00903E7C"/>
    <w:rsid w:val="00904054"/>
    <w:rsid w:val="00904F66"/>
    <w:rsid w:val="00904F94"/>
    <w:rsid w:val="009055CF"/>
    <w:rsid w:val="00905755"/>
    <w:rsid w:val="0090666A"/>
    <w:rsid w:val="00906AC1"/>
    <w:rsid w:val="00906C65"/>
    <w:rsid w:val="00907667"/>
    <w:rsid w:val="009078BC"/>
    <w:rsid w:val="00910B61"/>
    <w:rsid w:val="0091207E"/>
    <w:rsid w:val="00912958"/>
    <w:rsid w:val="0091415D"/>
    <w:rsid w:val="00914B08"/>
    <w:rsid w:val="00914D48"/>
    <w:rsid w:val="00915850"/>
    <w:rsid w:val="0091703D"/>
    <w:rsid w:val="00920113"/>
    <w:rsid w:val="009209ED"/>
    <w:rsid w:val="00921574"/>
    <w:rsid w:val="00922E18"/>
    <w:rsid w:val="009230DE"/>
    <w:rsid w:val="0092434B"/>
    <w:rsid w:val="009244EB"/>
    <w:rsid w:val="009248C2"/>
    <w:rsid w:val="00925187"/>
    <w:rsid w:val="00925820"/>
    <w:rsid w:val="00925AF1"/>
    <w:rsid w:val="00925F64"/>
    <w:rsid w:val="00926091"/>
    <w:rsid w:val="00927640"/>
    <w:rsid w:val="00931822"/>
    <w:rsid w:val="00931A3C"/>
    <w:rsid w:val="00931A8F"/>
    <w:rsid w:val="009325AA"/>
    <w:rsid w:val="009327C6"/>
    <w:rsid w:val="00932ABC"/>
    <w:rsid w:val="00932B5D"/>
    <w:rsid w:val="00932F63"/>
    <w:rsid w:val="00933369"/>
    <w:rsid w:val="00933448"/>
    <w:rsid w:val="00933AA9"/>
    <w:rsid w:val="00933B2E"/>
    <w:rsid w:val="0093476C"/>
    <w:rsid w:val="009359F5"/>
    <w:rsid w:val="009362A6"/>
    <w:rsid w:val="00937376"/>
    <w:rsid w:val="00940227"/>
    <w:rsid w:val="0094039C"/>
    <w:rsid w:val="00940979"/>
    <w:rsid w:val="00941250"/>
    <w:rsid w:val="00941A20"/>
    <w:rsid w:val="00941D21"/>
    <w:rsid w:val="00941FA7"/>
    <w:rsid w:val="009421C0"/>
    <w:rsid w:val="009422CB"/>
    <w:rsid w:val="00942668"/>
    <w:rsid w:val="00942D72"/>
    <w:rsid w:val="009430EA"/>
    <w:rsid w:val="00943CA2"/>
    <w:rsid w:val="00943D52"/>
    <w:rsid w:val="00943F21"/>
    <w:rsid w:val="00944123"/>
    <w:rsid w:val="00944300"/>
    <w:rsid w:val="009447F4"/>
    <w:rsid w:val="0094500E"/>
    <w:rsid w:val="00945322"/>
    <w:rsid w:val="0094658A"/>
    <w:rsid w:val="00947098"/>
    <w:rsid w:val="00950B90"/>
    <w:rsid w:val="00950C9D"/>
    <w:rsid w:val="0095136E"/>
    <w:rsid w:val="0095156C"/>
    <w:rsid w:val="009518BE"/>
    <w:rsid w:val="00951914"/>
    <w:rsid w:val="00951CFA"/>
    <w:rsid w:val="00951DA3"/>
    <w:rsid w:val="009525B7"/>
    <w:rsid w:val="00952BB6"/>
    <w:rsid w:val="00952C18"/>
    <w:rsid w:val="00953957"/>
    <w:rsid w:val="009551C0"/>
    <w:rsid w:val="009557FF"/>
    <w:rsid w:val="00956366"/>
    <w:rsid w:val="00956C58"/>
    <w:rsid w:val="00957E83"/>
    <w:rsid w:val="00960500"/>
    <w:rsid w:val="00960A64"/>
    <w:rsid w:val="00961B8B"/>
    <w:rsid w:val="0096387E"/>
    <w:rsid w:val="00963B49"/>
    <w:rsid w:val="0096462E"/>
    <w:rsid w:val="00964BF9"/>
    <w:rsid w:val="00964E6D"/>
    <w:rsid w:val="009654F7"/>
    <w:rsid w:val="00965D30"/>
    <w:rsid w:val="00966639"/>
    <w:rsid w:val="00966FFB"/>
    <w:rsid w:val="0096758C"/>
    <w:rsid w:val="00967E77"/>
    <w:rsid w:val="009702FA"/>
    <w:rsid w:val="00970C79"/>
    <w:rsid w:val="009712EB"/>
    <w:rsid w:val="0097213F"/>
    <w:rsid w:val="00972546"/>
    <w:rsid w:val="00972E04"/>
    <w:rsid w:val="00973957"/>
    <w:rsid w:val="00973CE0"/>
    <w:rsid w:val="00974410"/>
    <w:rsid w:val="00974BE7"/>
    <w:rsid w:val="009753A1"/>
    <w:rsid w:val="00977AE3"/>
    <w:rsid w:val="00977D24"/>
    <w:rsid w:val="009801F4"/>
    <w:rsid w:val="00980C27"/>
    <w:rsid w:val="009813AE"/>
    <w:rsid w:val="00981490"/>
    <w:rsid w:val="00981506"/>
    <w:rsid w:val="009819BC"/>
    <w:rsid w:val="00981CB8"/>
    <w:rsid w:val="009820A2"/>
    <w:rsid w:val="00984271"/>
    <w:rsid w:val="009843DC"/>
    <w:rsid w:val="009846C3"/>
    <w:rsid w:val="009865D1"/>
    <w:rsid w:val="00986C5F"/>
    <w:rsid w:val="00986E08"/>
    <w:rsid w:val="00986EAE"/>
    <w:rsid w:val="00987542"/>
    <w:rsid w:val="009909B4"/>
    <w:rsid w:val="00990DF0"/>
    <w:rsid w:val="0099120A"/>
    <w:rsid w:val="00991CC2"/>
    <w:rsid w:val="00992CAE"/>
    <w:rsid w:val="00992DFF"/>
    <w:rsid w:val="009938A7"/>
    <w:rsid w:val="00993BBB"/>
    <w:rsid w:val="009946DC"/>
    <w:rsid w:val="0099475D"/>
    <w:rsid w:val="0099597C"/>
    <w:rsid w:val="00995DDB"/>
    <w:rsid w:val="0099651F"/>
    <w:rsid w:val="009969EB"/>
    <w:rsid w:val="00996D64"/>
    <w:rsid w:val="0099769F"/>
    <w:rsid w:val="009A0483"/>
    <w:rsid w:val="009A0556"/>
    <w:rsid w:val="009A080A"/>
    <w:rsid w:val="009A1865"/>
    <w:rsid w:val="009A1B5F"/>
    <w:rsid w:val="009A2363"/>
    <w:rsid w:val="009A2589"/>
    <w:rsid w:val="009A2D87"/>
    <w:rsid w:val="009A30D6"/>
    <w:rsid w:val="009A43D6"/>
    <w:rsid w:val="009A50FB"/>
    <w:rsid w:val="009A627D"/>
    <w:rsid w:val="009A7041"/>
    <w:rsid w:val="009A793E"/>
    <w:rsid w:val="009B038F"/>
    <w:rsid w:val="009B04F7"/>
    <w:rsid w:val="009B1E41"/>
    <w:rsid w:val="009B23B2"/>
    <w:rsid w:val="009B3C9E"/>
    <w:rsid w:val="009B4272"/>
    <w:rsid w:val="009B4396"/>
    <w:rsid w:val="009B5169"/>
    <w:rsid w:val="009B5197"/>
    <w:rsid w:val="009B5A1E"/>
    <w:rsid w:val="009B7146"/>
    <w:rsid w:val="009B78F4"/>
    <w:rsid w:val="009C0C62"/>
    <w:rsid w:val="009C0DFA"/>
    <w:rsid w:val="009C2BC9"/>
    <w:rsid w:val="009C2E69"/>
    <w:rsid w:val="009C389D"/>
    <w:rsid w:val="009C467C"/>
    <w:rsid w:val="009C4B72"/>
    <w:rsid w:val="009C4ED1"/>
    <w:rsid w:val="009C52FC"/>
    <w:rsid w:val="009C5EAA"/>
    <w:rsid w:val="009C5EC5"/>
    <w:rsid w:val="009C6212"/>
    <w:rsid w:val="009C6D31"/>
    <w:rsid w:val="009C6F54"/>
    <w:rsid w:val="009C7C87"/>
    <w:rsid w:val="009D1666"/>
    <w:rsid w:val="009D1CC5"/>
    <w:rsid w:val="009D224A"/>
    <w:rsid w:val="009D2328"/>
    <w:rsid w:val="009D295C"/>
    <w:rsid w:val="009D2A15"/>
    <w:rsid w:val="009D2E6E"/>
    <w:rsid w:val="009D3C3C"/>
    <w:rsid w:val="009D3E9C"/>
    <w:rsid w:val="009D408B"/>
    <w:rsid w:val="009D4B55"/>
    <w:rsid w:val="009D4E54"/>
    <w:rsid w:val="009D5C6E"/>
    <w:rsid w:val="009D640F"/>
    <w:rsid w:val="009D65F5"/>
    <w:rsid w:val="009D6E0A"/>
    <w:rsid w:val="009D7A52"/>
    <w:rsid w:val="009E0A0C"/>
    <w:rsid w:val="009E0EE9"/>
    <w:rsid w:val="009E1E38"/>
    <w:rsid w:val="009E204B"/>
    <w:rsid w:val="009E2C93"/>
    <w:rsid w:val="009E36C8"/>
    <w:rsid w:val="009E3BF8"/>
    <w:rsid w:val="009E52E5"/>
    <w:rsid w:val="009E5F6F"/>
    <w:rsid w:val="009E61F5"/>
    <w:rsid w:val="009E7068"/>
    <w:rsid w:val="009E71E8"/>
    <w:rsid w:val="009E73A0"/>
    <w:rsid w:val="009E74CC"/>
    <w:rsid w:val="009F00BD"/>
    <w:rsid w:val="009F11F8"/>
    <w:rsid w:val="009F1418"/>
    <w:rsid w:val="009F2A2E"/>
    <w:rsid w:val="009F2A74"/>
    <w:rsid w:val="009F323D"/>
    <w:rsid w:val="009F3763"/>
    <w:rsid w:val="009F516B"/>
    <w:rsid w:val="009F5462"/>
    <w:rsid w:val="009F5B0E"/>
    <w:rsid w:val="009F7682"/>
    <w:rsid w:val="009F77C1"/>
    <w:rsid w:val="009F7F2E"/>
    <w:rsid w:val="00A00E52"/>
    <w:rsid w:val="00A01429"/>
    <w:rsid w:val="00A0151A"/>
    <w:rsid w:val="00A020AB"/>
    <w:rsid w:val="00A0242E"/>
    <w:rsid w:val="00A041B5"/>
    <w:rsid w:val="00A0464C"/>
    <w:rsid w:val="00A0501B"/>
    <w:rsid w:val="00A05264"/>
    <w:rsid w:val="00A06D86"/>
    <w:rsid w:val="00A077FE"/>
    <w:rsid w:val="00A107CD"/>
    <w:rsid w:val="00A10FF1"/>
    <w:rsid w:val="00A12D5D"/>
    <w:rsid w:val="00A12D71"/>
    <w:rsid w:val="00A132C7"/>
    <w:rsid w:val="00A13649"/>
    <w:rsid w:val="00A139E4"/>
    <w:rsid w:val="00A1444D"/>
    <w:rsid w:val="00A148B3"/>
    <w:rsid w:val="00A151EF"/>
    <w:rsid w:val="00A15856"/>
    <w:rsid w:val="00A15A1A"/>
    <w:rsid w:val="00A15D9F"/>
    <w:rsid w:val="00A15E13"/>
    <w:rsid w:val="00A1658B"/>
    <w:rsid w:val="00A178D7"/>
    <w:rsid w:val="00A17E2E"/>
    <w:rsid w:val="00A202D5"/>
    <w:rsid w:val="00A20B03"/>
    <w:rsid w:val="00A221DE"/>
    <w:rsid w:val="00A23044"/>
    <w:rsid w:val="00A2432D"/>
    <w:rsid w:val="00A248DA"/>
    <w:rsid w:val="00A24A8A"/>
    <w:rsid w:val="00A25311"/>
    <w:rsid w:val="00A253F2"/>
    <w:rsid w:val="00A258F0"/>
    <w:rsid w:val="00A25B3D"/>
    <w:rsid w:val="00A27707"/>
    <w:rsid w:val="00A2776D"/>
    <w:rsid w:val="00A27C2B"/>
    <w:rsid w:val="00A27DF9"/>
    <w:rsid w:val="00A30D0F"/>
    <w:rsid w:val="00A310B5"/>
    <w:rsid w:val="00A311D3"/>
    <w:rsid w:val="00A31872"/>
    <w:rsid w:val="00A31C69"/>
    <w:rsid w:val="00A32398"/>
    <w:rsid w:val="00A32584"/>
    <w:rsid w:val="00A335D8"/>
    <w:rsid w:val="00A340DF"/>
    <w:rsid w:val="00A34A3E"/>
    <w:rsid w:val="00A3514D"/>
    <w:rsid w:val="00A361B4"/>
    <w:rsid w:val="00A36852"/>
    <w:rsid w:val="00A36FE8"/>
    <w:rsid w:val="00A37891"/>
    <w:rsid w:val="00A408A1"/>
    <w:rsid w:val="00A40AE7"/>
    <w:rsid w:val="00A4189A"/>
    <w:rsid w:val="00A419B1"/>
    <w:rsid w:val="00A41D2C"/>
    <w:rsid w:val="00A41FD0"/>
    <w:rsid w:val="00A428A3"/>
    <w:rsid w:val="00A4356D"/>
    <w:rsid w:val="00A4500E"/>
    <w:rsid w:val="00A45018"/>
    <w:rsid w:val="00A45B7A"/>
    <w:rsid w:val="00A45DF6"/>
    <w:rsid w:val="00A465E8"/>
    <w:rsid w:val="00A46755"/>
    <w:rsid w:val="00A4696F"/>
    <w:rsid w:val="00A46B20"/>
    <w:rsid w:val="00A47092"/>
    <w:rsid w:val="00A474C6"/>
    <w:rsid w:val="00A475F6"/>
    <w:rsid w:val="00A475FB"/>
    <w:rsid w:val="00A47C50"/>
    <w:rsid w:val="00A500ED"/>
    <w:rsid w:val="00A50467"/>
    <w:rsid w:val="00A5143C"/>
    <w:rsid w:val="00A51578"/>
    <w:rsid w:val="00A517E5"/>
    <w:rsid w:val="00A51F1F"/>
    <w:rsid w:val="00A522CC"/>
    <w:rsid w:val="00A529E8"/>
    <w:rsid w:val="00A52E21"/>
    <w:rsid w:val="00A530BD"/>
    <w:rsid w:val="00A53B96"/>
    <w:rsid w:val="00A53CFA"/>
    <w:rsid w:val="00A548F9"/>
    <w:rsid w:val="00A55FEB"/>
    <w:rsid w:val="00A566A7"/>
    <w:rsid w:val="00A56894"/>
    <w:rsid w:val="00A578C2"/>
    <w:rsid w:val="00A6023B"/>
    <w:rsid w:val="00A604A8"/>
    <w:rsid w:val="00A61E53"/>
    <w:rsid w:val="00A621EA"/>
    <w:rsid w:val="00A6230F"/>
    <w:rsid w:val="00A6365D"/>
    <w:rsid w:val="00A638D8"/>
    <w:rsid w:val="00A63C37"/>
    <w:rsid w:val="00A64CBA"/>
    <w:rsid w:val="00A6504E"/>
    <w:rsid w:val="00A651FE"/>
    <w:rsid w:val="00A65EE7"/>
    <w:rsid w:val="00A66880"/>
    <w:rsid w:val="00A66C29"/>
    <w:rsid w:val="00A66C43"/>
    <w:rsid w:val="00A70057"/>
    <w:rsid w:val="00A700E2"/>
    <w:rsid w:val="00A702FF"/>
    <w:rsid w:val="00A70701"/>
    <w:rsid w:val="00A70783"/>
    <w:rsid w:val="00A70BF8"/>
    <w:rsid w:val="00A71324"/>
    <w:rsid w:val="00A7257E"/>
    <w:rsid w:val="00A73D80"/>
    <w:rsid w:val="00A743C0"/>
    <w:rsid w:val="00A74880"/>
    <w:rsid w:val="00A74D0D"/>
    <w:rsid w:val="00A7547D"/>
    <w:rsid w:val="00A76D7B"/>
    <w:rsid w:val="00A801AC"/>
    <w:rsid w:val="00A805BB"/>
    <w:rsid w:val="00A807BD"/>
    <w:rsid w:val="00A80953"/>
    <w:rsid w:val="00A80F9B"/>
    <w:rsid w:val="00A81AAA"/>
    <w:rsid w:val="00A81BE0"/>
    <w:rsid w:val="00A82D0F"/>
    <w:rsid w:val="00A834A8"/>
    <w:rsid w:val="00A83D74"/>
    <w:rsid w:val="00A857D5"/>
    <w:rsid w:val="00A85DA1"/>
    <w:rsid w:val="00A860F9"/>
    <w:rsid w:val="00A86869"/>
    <w:rsid w:val="00A869F4"/>
    <w:rsid w:val="00A86ADA"/>
    <w:rsid w:val="00A86DF5"/>
    <w:rsid w:val="00A86EE5"/>
    <w:rsid w:val="00A87B7B"/>
    <w:rsid w:val="00A901C8"/>
    <w:rsid w:val="00A905FC"/>
    <w:rsid w:val="00A9138F"/>
    <w:rsid w:val="00A91788"/>
    <w:rsid w:val="00A91DEB"/>
    <w:rsid w:val="00A92139"/>
    <w:rsid w:val="00A92924"/>
    <w:rsid w:val="00A92B3D"/>
    <w:rsid w:val="00A93122"/>
    <w:rsid w:val="00A93F31"/>
    <w:rsid w:val="00A94645"/>
    <w:rsid w:val="00A94DB0"/>
    <w:rsid w:val="00A94EF4"/>
    <w:rsid w:val="00A95170"/>
    <w:rsid w:val="00A95382"/>
    <w:rsid w:val="00A959DA"/>
    <w:rsid w:val="00A95FDA"/>
    <w:rsid w:val="00A97081"/>
    <w:rsid w:val="00A974E7"/>
    <w:rsid w:val="00A9759A"/>
    <w:rsid w:val="00A9775D"/>
    <w:rsid w:val="00A97899"/>
    <w:rsid w:val="00AA0C93"/>
    <w:rsid w:val="00AA2887"/>
    <w:rsid w:val="00AA28F4"/>
    <w:rsid w:val="00AA3083"/>
    <w:rsid w:val="00AA3C65"/>
    <w:rsid w:val="00AA4492"/>
    <w:rsid w:val="00AA4F0B"/>
    <w:rsid w:val="00AA50DF"/>
    <w:rsid w:val="00AA6658"/>
    <w:rsid w:val="00AA773C"/>
    <w:rsid w:val="00AA7B87"/>
    <w:rsid w:val="00AB07C3"/>
    <w:rsid w:val="00AB18B9"/>
    <w:rsid w:val="00AB21DE"/>
    <w:rsid w:val="00AB223C"/>
    <w:rsid w:val="00AB23E2"/>
    <w:rsid w:val="00AB2937"/>
    <w:rsid w:val="00AB31D9"/>
    <w:rsid w:val="00AB347C"/>
    <w:rsid w:val="00AB37FA"/>
    <w:rsid w:val="00AB4939"/>
    <w:rsid w:val="00AB57A6"/>
    <w:rsid w:val="00AB5F23"/>
    <w:rsid w:val="00AB668D"/>
    <w:rsid w:val="00AB784F"/>
    <w:rsid w:val="00AB7F48"/>
    <w:rsid w:val="00AC0049"/>
    <w:rsid w:val="00AC08B1"/>
    <w:rsid w:val="00AC0D22"/>
    <w:rsid w:val="00AC0E8A"/>
    <w:rsid w:val="00AC1017"/>
    <w:rsid w:val="00AC10FD"/>
    <w:rsid w:val="00AC16B3"/>
    <w:rsid w:val="00AC16B4"/>
    <w:rsid w:val="00AC2055"/>
    <w:rsid w:val="00AC2248"/>
    <w:rsid w:val="00AC23E3"/>
    <w:rsid w:val="00AC246F"/>
    <w:rsid w:val="00AC2E27"/>
    <w:rsid w:val="00AC355B"/>
    <w:rsid w:val="00AC3932"/>
    <w:rsid w:val="00AC4346"/>
    <w:rsid w:val="00AC4668"/>
    <w:rsid w:val="00AC4773"/>
    <w:rsid w:val="00AC4C68"/>
    <w:rsid w:val="00AC50CB"/>
    <w:rsid w:val="00AC54DB"/>
    <w:rsid w:val="00AC5C40"/>
    <w:rsid w:val="00AC616A"/>
    <w:rsid w:val="00AC6672"/>
    <w:rsid w:val="00AC6C56"/>
    <w:rsid w:val="00AC6F48"/>
    <w:rsid w:val="00AC74C0"/>
    <w:rsid w:val="00AC74D1"/>
    <w:rsid w:val="00AC76BC"/>
    <w:rsid w:val="00AC7F51"/>
    <w:rsid w:val="00AD025A"/>
    <w:rsid w:val="00AD025D"/>
    <w:rsid w:val="00AD061D"/>
    <w:rsid w:val="00AD275F"/>
    <w:rsid w:val="00AD27A2"/>
    <w:rsid w:val="00AD2CC7"/>
    <w:rsid w:val="00AD384B"/>
    <w:rsid w:val="00AD4E39"/>
    <w:rsid w:val="00AD54F4"/>
    <w:rsid w:val="00AD5C01"/>
    <w:rsid w:val="00AD6462"/>
    <w:rsid w:val="00AD67E1"/>
    <w:rsid w:val="00AD7247"/>
    <w:rsid w:val="00AD7357"/>
    <w:rsid w:val="00AD7691"/>
    <w:rsid w:val="00AD76DA"/>
    <w:rsid w:val="00AE0524"/>
    <w:rsid w:val="00AE0879"/>
    <w:rsid w:val="00AE094C"/>
    <w:rsid w:val="00AE1CFC"/>
    <w:rsid w:val="00AE1F05"/>
    <w:rsid w:val="00AE31D1"/>
    <w:rsid w:val="00AE3217"/>
    <w:rsid w:val="00AE35C9"/>
    <w:rsid w:val="00AE456E"/>
    <w:rsid w:val="00AE45ED"/>
    <w:rsid w:val="00AE48AC"/>
    <w:rsid w:val="00AE49DD"/>
    <w:rsid w:val="00AE4CBA"/>
    <w:rsid w:val="00AE4DF8"/>
    <w:rsid w:val="00AE5329"/>
    <w:rsid w:val="00AE55C2"/>
    <w:rsid w:val="00AE57D5"/>
    <w:rsid w:val="00AE599A"/>
    <w:rsid w:val="00AE5E29"/>
    <w:rsid w:val="00AE5F3A"/>
    <w:rsid w:val="00AE6BDD"/>
    <w:rsid w:val="00AE7348"/>
    <w:rsid w:val="00AF065E"/>
    <w:rsid w:val="00AF13E4"/>
    <w:rsid w:val="00AF23DB"/>
    <w:rsid w:val="00AF2AB9"/>
    <w:rsid w:val="00AF3592"/>
    <w:rsid w:val="00AF3FA9"/>
    <w:rsid w:val="00AF54DF"/>
    <w:rsid w:val="00AF58AE"/>
    <w:rsid w:val="00AF59DF"/>
    <w:rsid w:val="00AF6549"/>
    <w:rsid w:val="00AF7F2D"/>
    <w:rsid w:val="00B01607"/>
    <w:rsid w:val="00B01756"/>
    <w:rsid w:val="00B0222E"/>
    <w:rsid w:val="00B0260E"/>
    <w:rsid w:val="00B0263B"/>
    <w:rsid w:val="00B02FE0"/>
    <w:rsid w:val="00B03AF3"/>
    <w:rsid w:val="00B03B31"/>
    <w:rsid w:val="00B03C75"/>
    <w:rsid w:val="00B03F40"/>
    <w:rsid w:val="00B040BF"/>
    <w:rsid w:val="00B041B0"/>
    <w:rsid w:val="00B0448B"/>
    <w:rsid w:val="00B05C0D"/>
    <w:rsid w:val="00B05CF0"/>
    <w:rsid w:val="00B06EE2"/>
    <w:rsid w:val="00B078B3"/>
    <w:rsid w:val="00B125C6"/>
    <w:rsid w:val="00B12800"/>
    <w:rsid w:val="00B12E2F"/>
    <w:rsid w:val="00B13398"/>
    <w:rsid w:val="00B135CA"/>
    <w:rsid w:val="00B13F80"/>
    <w:rsid w:val="00B14029"/>
    <w:rsid w:val="00B14523"/>
    <w:rsid w:val="00B1466A"/>
    <w:rsid w:val="00B14AE7"/>
    <w:rsid w:val="00B14BF4"/>
    <w:rsid w:val="00B1521E"/>
    <w:rsid w:val="00B1562B"/>
    <w:rsid w:val="00B157DA"/>
    <w:rsid w:val="00B15BA0"/>
    <w:rsid w:val="00B161F0"/>
    <w:rsid w:val="00B17895"/>
    <w:rsid w:val="00B20654"/>
    <w:rsid w:val="00B21EE4"/>
    <w:rsid w:val="00B224ED"/>
    <w:rsid w:val="00B22899"/>
    <w:rsid w:val="00B231E1"/>
    <w:rsid w:val="00B23CEA"/>
    <w:rsid w:val="00B25C01"/>
    <w:rsid w:val="00B263A0"/>
    <w:rsid w:val="00B2675A"/>
    <w:rsid w:val="00B27413"/>
    <w:rsid w:val="00B312C9"/>
    <w:rsid w:val="00B3156C"/>
    <w:rsid w:val="00B3174E"/>
    <w:rsid w:val="00B33430"/>
    <w:rsid w:val="00B33C2B"/>
    <w:rsid w:val="00B340E2"/>
    <w:rsid w:val="00B34B6C"/>
    <w:rsid w:val="00B34BDA"/>
    <w:rsid w:val="00B362C6"/>
    <w:rsid w:val="00B365D0"/>
    <w:rsid w:val="00B37BEA"/>
    <w:rsid w:val="00B409AC"/>
    <w:rsid w:val="00B411B6"/>
    <w:rsid w:val="00B41A0C"/>
    <w:rsid w:val="00B41AED"/>
    <w:rsid w:val="00B42FDA"/>
    <w:rsid w:val="00B437CE"/>
    <w:rsid w:val="00B43BB7"/>
    <w:rsid w:val="00B43BD8"/>
    <w:rsid w:val="00B441F1"/>
    <w:rsid w:val="00B44EDB"/>
    <w:rsid w:val="00B45F9F"/>
    <w:rsid w:val="00B46094"/>
    <w:rsid w:val="00B461C2"/>
    <w:rsid w:val="00B463A9"/>
    <w:rsid w:val="00B46419"/>
    <w:rsid w:val="00B47E1A"/>
    <w:rsid w:val="00B5030C"/>
    <w:rsid w:val="00B50900"/>
    <w:rsid w:val="00B50AA8"/>
    <w:rsid w:val="00B50B6A"/>
    <w:rsid w:val="00B51757"/>
    <w:rsid w:val="00B5186D"/>
    <w:rsid w:val="00B51EDA"/>
    <w:rsid w:val="00B52F66"/>
    <w:rsid w:val="00B5444C"/>
    <w:rsid w:val="00B54841"/>
    <w:rsid w:val="00B55750"/>
    <w:rsid w:val="00B55C8B"/>
    <w:rsid w:val="00B55E5D"/>
    <w:rsid w:val="00B563FC"/>
    <w:rsid w:val="00B603B5"/>
    <w:rsid w:val="00B605A7"/>
    <w:rsid w:val="00B605F1"/>
    <w:rsid w:val="00B60DD7"/>
    <w:rsid w:val="00B61AC2"/>
    <w:rsid w:val="00B61F5F"/>
    <w:rsid w:val="00B61FB2"/>
    <w:rsid w:val="00B62B4A"/>
    <w:rsid w:val="00B62B77"/>
    <w:rsid w:val="00B63309"/>
    <w:rsid w:val="00B6332E"/>
    <w:rsid w:val="00B6348B"/>
    <w:rsid w:val="00B63769"/>
    <w:rsid w:val="00B63935"/>
    <w:rsid w:val="00B641A0"/>
    <w:rsid w:val="00B645F1"/>
    <w:rsid w:val="00B64A59"/>
    <w:rsid w:val="00B65BBB"/>
    <w:rsid w:val="00B65BDC"/>
    <w:rsid w:val="00B66928"/>
    <w:rsid w:val="00B6697E"/>
    <w:rsid w:val="00B66E98"/>
    <w:rsid w:val="00B678E2"/>
    <w:rsid w:val="00B70065"/>
    <w:rsid w:val="00B7048A"/>
    <w:rsid w:val="00B707DC"/>
    <w:rsid w:val="00B7084A"/>
    <w:rsid w:val="00B70948"/>
    <w:rsid w:val="00B70ED5"/>
    <w:rsid w:val="00B716F0"/>
    <w:rsid w:val="00B71787"/>
    <w:rsid w:val="00B72656"/>
    <w:rsid w:val="00B72805"/>
    <w:rsid w:val="00B728A4"/>
    <w:rsid w:val="00B72954"/>
    <w:rsid w:val="00B72D2C"/>
    <w:rsid w:val="00B74146"/>
    <w:rsid w:val="00B749C8"/>
    <w:rsid w:val="00B757BF"/>
    <w:rsid w:val="00B75C12"/>
    <w:rsid w:val="00B76327"/>
    <w:rsid w:val="00B76E17"/>
    <w:rsid w:val="00B778A7"/>
    <w:rsid w:val="00B77BD2"/>
    <w:rsid w:val="00B77E53"/>
    <w:rsid w:val="00B80190"/>
    <w:rsid w:val="00B809A8"/>
    <w:rsid w:val="00B80DFF"/>
    <w:rsid w:val="00B81095"/>
    <w:rsid w:val="00B821F1"/>
    <w:rsid w:val="00B8234A"/>
    <w:rsid w:val="00B826A9"/>
    <w:rsid w:val="00B82830"/>
    <w:rsid w:val="00B82A0A"/>
    <w:rsid w:val="00B82D0E"/>
    <w:rsid w:val="00B84328"/>
    <w:rsid w:val="00B84F88"/>
    <w:rsid w:val="00B854CD"/>
    <w:rsid w:val="00B8609B"/>
    <w:rsid w:val="00B86CC2"/>
    <w:rsid w:val="00B86F27"/>
    <w:rsid w:val="00B87642"/>
    <w:rsid w:val="00B87CE8"/>
    <w:rsid w:val="00B900C6"/>
    <w:rsid w:val="00B90368"/>
    <w:rsid w:val="00B925BC"/>
    <w:rsid w:val="00B9333D"/>
    <w:rsid w:val="00B93598"/>
    <w:rsid w:val="00B935EB"/>
    <w:rsid w:val="00B93DF9"/>
    <w:rsid w:val="00B95382"/>
    <w:rsid w:val="00B95AB8"/>
    <w:rsid w:val="00B95C0E"/>
    <w:rsid w:val="00B95D41"/>
    <w:rsid w:val="00B96785"/>
    <w:rsid w:val="00B969C2"/>
    <w:rsid w:val="00B96B82"/>
    <w:rsid w:val="00B97B20"/>
    <w:rsid w:val="00BA12EC"/>
    <w:rsid w:val="00BA17A3"/>
    <w:rsid w:val="00BA1E95"/>
    <w:rsid w:val="00BA24C9"/>
    <w:rsid w:val="00BA2565"/>
    <w:rsid w:val="00BA26A5"/>
    <w:rsid w:val="00BA2ACC"/>
    <w:rsid w:val="00BA34EE"/>
    <w:rsid w:val="00BA3526"/>
    <w:rsid w:val="00BA42B7"/>
    <w:rsid w:val="00BA46BF"/>
    <w:rsid w:val="00BA4D0A"/>
    <w:rsid w:val="00BA4D90"/>
    <w:rsid w:val="00BA7455"/>
    <w:rsid w:val="00BA7C80"/>
    <w:rsid w:val="00BA7E04"/>
    <w:rsid w:val="00BA7ECA"/>
    <w:rsid w:val="00BB0326"/>
    <w:rsid w:val="00BB0E07"/>
    <w:rsid w:val="00BB115B"/>
    <w:rsid w:val="00BB11DA"/>
    <w:rsid w:val="00BB2729"/>
    <w:rsid w:val="00BB28AB"/>
    <w:rsid w:val="00BB30CC"/>
    <w:rsid w:val="00BB4275"/>
    <w:rsid w:val="00BB4E3B"/>
    <w:rsid w:val="00BB54CF"/>
    <w:rsid w:val="00BB6233"/>
    <w:rsid w:val="00BB67F8"/>
    <w:rsid w:val="00BB711C"/>
    <w:rsid w:val="00BB72D6"/>
    <w:rsid w:val="00BB7518"/>
    <w:rsid w:val="00BB7A88"/>
    <w:rsid w:val="00BB7E30"/>
    <w:rsid w:val="00BC11D7"/>
    <w:rsid w:val="00BC1463"/>
    <w:rsid w:val="00BC340B"/>
    <w:rsid w:val="00BC39FF"/>
    <w:rsid w:val="00BC4B00"/>
    <w:rsid w:val="00BC5D95"/>
    <w:rsid w:val="00BC60E9"/>
    <w:rsid w:val="00BC7837"/>
    <w:rsid w:val="00BC7C7D"/>
    <w:rsid w:val="00BD016E"/>
    <w:rsid w:val="00BD146B"/>
    <w:rsid w:val="00BD1A39"/>
    <w:rsid w:val="00BD320D"/>
    <w:rsid w:val="00BD36AB"/>
    <w:rsid w:val="00BD37D5"/>
    <w:rsid w:val="00BD38EA"/>
    <w:rsid w:val="00BD3E9F"/>
    <w:rsid w:val="00BD43A1"/>
    <w:rsid w:val="00BD7312"/>
    <w:rsid w:val="00BD7BC3"/>
    <w:rsid w:val="00BE1C0C"/>
    <w:rsid w:val="00BE1FB8"/>
    <w:rsid w:val="00BE2882"/>
    <w:rsid w:val="00BE29D2"/>
    <w:rsid w:val="00BE2A80"/>
    <w:rsid w:val="00BE522C"/>
    <w:rsid w:val="00BE530C"/>
    <w:rsid w:val="00BE57C5"/>
    <w:rsid w:val="00BE640A"/>
    <w:rsid w:val="00BE6791"/>
    <w:rsid w:val="00BE6849"/>
    <w:rsid w:val="00BE6CC9"/>
    <w:rsid w:val="00BE724E"/>
    <w:rsid w:val="00BE743D"/>
    <w:rsid w:val="00BE7727"/>
    <w:rsid w:val="00BE7A90"/>
    <w:rsid w:val="00BF0ADE"/>
    <w:rsid w:val="00BF135F"/>
    <w:rsid w:val="00BF22AE"/>
    <w:rsid w:val="00BF2588"/>
    <w:rsid w:val="00BF26B1"/>
    <w:rsid w:val="00BF3791"/>
    <w:rsid w:val="00BF3D29"/>
    <w:rsid w:val="00BF3D81"/>
    <w:rsid w:val="00BF4BD1"/>
    <w:rsid w:val="00BF4E4F"/>
    <w:rsid w:val="00BF52F8"/>
    <w:rsid w:val="00BF545B"/>
    <w:rsid w:val="00BF5EB1"/>
    <w:rsid w:val="00BF6229"/>
    <w:rsid w:val="00BF6B33"/>
    <w:rsid w:val="00BF7037"/>
    <w:rsid w:val="00C00F29"/>
    <w:rsid w:val="00C01319"/>
    <w:rsid w:val="00C01735"/>
    <w:rsid w:val="00C035E1"/>
    <w:rsid w:val="00C03A82"/>
    <w:rsid w:val="00C03A89"/>
    <w:rsid w:val="00C04077"/>
    <w:rsid w:val="00C048F0"/>
    <w:rsid w:val="00C04CBA"/>
    <w:rsid w:val="00C0679A"/>
    <w:rsid w:val="00C06A96"/>
    <w:rsid w:val="00C07026"/>
    <w:rsid w:val="00C075C4"/>
    <w:rsid w:val="00C07CD2"/>
    <w:rsid w:val="00C07D69"/>
    <w:rsid w:val="00C10321"/>
    <w:rsid w:val="00C11031"/>
    <w:rsid w:val="00C11AA2"/>
    <w:rsid w:val="00C1200C"/>
    <w:rsid w:val="00C12DA0"/>
    <w:rsid w:val="00C12F67"/>
    <w:rsid w:val="00C1369F"/>
    <w:rsid w:val="00C13CD4"/>
    <w:rsid w:val="00C13F21"/>
    <w:rsid w:val="00C13FF5"/>
    <w:rsid w:val="00C14415"/>
    <w:rsid w:val="00C14419"/>
    <w:rsid w:val="00C1475C"/>
    <w:rsid w:val="00C16356"/>
    <w:rsid w:val="00C17FCA"/>
    <w:rsid w:val="00C21733"/>
    <w:rsid w:val="00C21C52"/>
    <w:rsid w:val="00C21EA4"/>
    <w:rsid w:val="00C22658"/>
    <w:rsid w:val="00C23102"/>
    <w:rsid w:val="00C238A5"/>
    <w:rsid w:val="00C2469C"/>
    <w:rsid w:val="00C254D5"/>
    <w:rsid w:val="00C25E90"/>
    <w:rsid w:val="00C2655C"/>
    <w:rsid w:val="00C26997"/>
    <w:rsid w:val="00C273B6"/>
    <w:rsid w:val="00C30EFA"/>
    <w:rsid w:val="00C31BEB"/>
    <w:rsid w:val="00C32011"/>
    <w:rsid w:val="00C32223"/>
    <w:rsid w:val="00C32743"/>
    <w:rsid w:val="00C33052"/>
    <w:rsid w:val="00C33FBD"/>
    <w:rsid w:val="00C34072"/>
    <w:rsid w:val="00C3441E"/>
    <w:rsid w:val="00C34467"/>
    <w:rsid w:val="00C34B7C"/>
    <w:rsid w:val="00C34D81"/>
    <w:rsid w:val="00C34F10"/>
    <w:rsid w:val="00C34FFB"/>
    <w:rsid w:val="00C35716"/>
    <w:rsid w:val="00C365F4"/>
    <w:rsid w:val="00C37165"/>
    <w:rsid w:val="00C37610"/>
    <w:rsid w:val="00C378F3"/>
    <w:rsid w:val="00C4061F"/>
    <w:rsid w:val="00C40CD5"/>
    <w:rsid w:val="00C40FCA"/>
    <w:rsid w:val="00C41332"/>
    <w:rsid w:val="00C42A39"/>
    <w:rsid w:val="00C4345C"/>
    <w:rsid w:val="00C435FE"/>
    <w:rsid w:val="00C446D9"/>
    <w:rsid w:val="00C44C34"/>
    <w:rsid w:val="00C453FA"/>
    <w:rsid w:val="00C45951"/>
    <w:rsid w:val="00C46626"/>
    <w:rsid w:val="00C46A64"/>
    <w:rsid w:val="00C5024E"/>
    <w:rsid w:val="00C50833"/>
    <w:rsid w:val="00C50997"/>
    <w:rsid w:val="00C50FF6"/>
    <w:rsid w:val="00C51385"/>
    <w:rsid w:val="00C51394"/>
    <w:rsid w:val="00C51421"/>
    <w:rsid w:val="00C521C5"/>
    <w:rsid w:val="00C53BCD"/>
    <w:rsid w:val="00C53F13"/>
    <w:rsid w:val="00C54231"/>
    <w:rsid w:val="00C5445F"/>
    <w:rsid w:val="00C56F87"/>
    <w:rsid w:val="00C60799"/>
    <w:rsid w:val="00C60820"/>
    <w:rsid w:val="00C60D91"/>
    <w:rsid w:val="00C61141"/>
    <w:rsid w:val="00C629CE"/>
    <w:rsid w:val="00C6339D"/>
    <w:rsid w:val="00C634CE"/>
    <w:rsid w:val="00C64AB9"/>
    <w:rsid w:val="00C64EBB"/>
    <w:rsid w:val="00C65C17"/>
    <w:rsid w:val="00C661F9"/>
    <w:rsid w:val="00C666FE"/>
    <w:rsid w:val="00C67CAE"/>
    <w:rsid w:val="00C700DD"/>
    <w:rsid w:val="00C701AA"/>
    <w:rsid w:val="00C7079D"/>
    <w:rsid w:val="00C707E4"/>
    <w:rsid w:val="00C708BA"/>
    <w:rsid w:val="00C7107B"/>
    <w:rsid w:val="00C7115E"/>
    <w:rsid w:val="00C71783"/>
    <w:rsid w:val="00C72438"/>
    <w:rsid w:val="00C72DBF"/>
    <w:rsid w:val="00C72F29"/>
    <w:rsid w:val="00C72FAC"/>
    <w:rsid w:val="00C74F5B"/>
    <w:rsid w:val="00C75352"/>
    <w:rsid w:val="00C76A04"/>
    <w:rsid w:val="00C76AA2"/>
    <w:rsid w:val="00C77366"/>
    <w:rsid w:val="00C77496"/>
    <w:rsid w:val="00C80ACF"/>
    <w:rsid w:val="00C80CF7"/>
    <w:rsid w:val="00C81034"/>
    <w:rsid w:val="00C813E5"/>
    <w:rsid w:val="00C82755"/>
    <w:rsid w:val="00C831CB"/>
    <w:rsid w:val="00C86D06"/>
    <w:rsid w:val="00C86DE9"/>
    <w:rsid w:val="00C874E8"/>
    <w:rsid w:val="00C907AA"/>
    <w:rsid w:val="00C90914"/>
    <w:rsid w:val="00C915A5"/>
    <w:rsid w:val="00C91741"/>
    <w:rsid w:val="00C919F1"/>
    <w:rsid w:val="00C91AA5"/>
    <w:rsid w:val="00C91D7E"/>
    <w:rsid w:val="00C9203E"/>
    <w:rsid w:val="00C92393"/>
    <w:rsid w:val="00C92436"/>
    <w:rsid w:val="00C92826"/>
    <w:rsid w:val="00C928A0"/>
    <w:rsid w:val="00C94CF8"/>
    <w:rsid w:val="00C951E5"/>
    <w:rsid w:val="00C95251"/>
    <w:rsid w:val="00C952CF"/>
    <w:rsid w:val="00C955B0"/>
    <w:rsid w:val="00C95833"/>
    <w:rsid w:val="00C95C62"/>
    <w:rsid w:val="00C97A3B"/>
    <w:rsid w:val="00CA0101"/>
    <w:rsid w:val="00CA0869"/>
    <w:rsid w:val="00CA0B56"/>
    <w:rsid w:val="00CA1974"/>
    <w:rsid w:val="00CA1CD4"/>
    <w:rsid w:val="00CA1DE9"/>
    <w:rsid w:val="00CA20B1"/>
    <w:rsid w:val="00CA22C6"/>
    <w:rsid w:val="00CA2551"/>
    <w:rsid w:val="00CA2B04"/>
    <w:rsid w:val="00CA47BF"/>
    <w:rsid w:val="00CA4CA3"/>
    <w:rsid w:val="00CA4EF2"/>
    <w:rsid w:val="00CA6374"/>
    <w:rsid w:val="00CA76E4"/>
    <w:rsid w:val="00CA7FDC"/>
    <w:rsid w:val="00CB0A68"/>
    <w:rsid w:val="00CB1D19"/>
    <w:rsid w:val="00CB1E4F"/>
    <w:rsid w:val="00CB20F5"/>
    <w:rsid w:val="00CB2972"/>
    <w:rsid w:val="00CB31E0"/>
    <w:rsid w:val="00CB3516"/>
    <w:rsid w:val="00CB353E"/>
    <w:rsid w:val="00CB42B2"/>
    <w:rsid w:val="00CB46A1"/>
    <w:rsid w:val="00CB4868"/>
    <w:rsid w:val="00CB4B76"/>
    <w:rsid w:val="00CB4EEF"/>
    <w:rsid w:val="00CB53CA"/>
    <w:rsid w:val="00CB5E90"/>
    <w:rsid w:val="00CB6066"/>
    <w:rsid w:val="00CB6094"/>
    <w:rsid w:val="00CB64B0"/>
    <w:rsid w:val="00CB7AD5"/>
    <w:rsid w:val="00CC1BAD"/>
    <w:rsid w:val="00CC224F"/>
    <w:rsid w:val="00CC23F7"/>
    <w:rsid w:val="00CC27EE"/>
    <w:rsid w:val="00CC2C47"/>
    <w:rsid w:val="00CC2F48"/>
    <w:rsid w:val="00CC2FB1"/>
    <w:rsid w:val="00CC3306"/>
    <w:rsid w:val="00CC339D"/>
    <w:rsid w:val="00CC33B4"/>
    <w:rsid w:val="00CC3D27"/>
    <w:rsid w:val="00CC41E4"/>
    <w:rsid w:val="00CC4366"/>
    <w:rsid w:val="00CC4A44"/>
    <w:rsid w:val="00CC4DBC"/>
    <w:rsid w:val="00CC5006"/>
    <w:rsid w:val="00CC5065"/>
    <w:rsid w:val="00CC57DA"/>
    <w:rsid w:val="00CC700E"/>
    <w:rsid w:val="00CC773F"/>
    <w:rsid w:val="00CC78C7"/>
    <w:rsid w:val="00CD0001"/>
    <w:rsid w:val="00CD0445"/>
    <w:rsid w:val="00CD08B3"/>
    <w:rsid w:val="00CD0B2F"/>
    <w:rsid w:val="00CD12B7"/>
    <w:rsid w:val="00CD26BE"/>
    <w:rsid w:val="00CD34AC"/>
    <w:rsid w:val="00CD3A42"/>
    <w:rsid w:val="00CD435C"/>
    <w:rsid w:val="00CD44DA"/>
    <w:rsid w:val="00CD481A"/>
    <w:rsid w:val="00CD4AE1"/>
    <w:rsid w:val="00CD6188"/>
    <w:rsid w:val="00CD7105"/>
    <w:rsid w:val="00CD7B3B"/>
    <w:rsid w:val="00CE18D7"/>
    <w:rsid w:val="00CE2426"/>
    <w:rsid w:val="00CE4BF9"/>
    <w:rsid w:val="00CE4F60"/>
    <w:rsid w:val="00CE50F9"/>
    <w:rsid w:val="00CE5166"/>
    <w:rsid w:val="00CE5E22"/>
    <w:rsid w:val="00CE64EA"/>
    <w:rsid w:val="00CE6E8A"/>
    <w:rsid w:val="00CE6EB3"/>
    <w:rsid w:val="00CF01A8"/>
    <w:rsid w:val="00CF0F36"/>
    <w:rsid w:val="00CF3337"/>
    <w:rsid w:val="00CF4672"/>
    <w:rsid w:val="00CF4BEE"/>
    <w:rsid w:val="00CF5AB6"/>
    <w:rsid w:val="00CF5FFA"/>
    <w:rsid w:val="00CF62C5"/>
    <w:rsid w:val="00CF6F76"/>
    <w:rsid w:val="00CF7A7B"/>
    <w:rsid w:val="00CF7C81"/>
    <w:rsid w:val="00D01327"/>
    <w:rsid w:val="00D013BE"/>
    <w:rsid w:val="00D01D7F"/>
    <w:rsid w:val="00D02169"/>
    <w:rsid w:val="00D024B8"/>
    <w:rsid w:val="00D024E0"/>
    <w:rsid w:val="00D025BD"/>
    <w:rsid w:val="00D02715"/>
    <w:rsid w:val="00D0272C"/>
    <w:rsid w:val="00D02881"/>
    <w:rsid w:val="00D0309F"/>
    <w:rsid w:val="00D04247"/>
    <w:rsid w:val="00D05A4B"/>
    <w:rsid w:val="00D060BB"/>
    <w:rsid w:val="00D064F1"/>
    <w:rsid w:val="00D065AE"/>
    <w:rsid w:val="00D06957"/>
    <w:rsid w:val="00D06997"/>
    <w:rsid w:val="00D0793E"/>
    <w:rsid w:val="00D101C5"/>
    <w:rsid w:val="00D102D3"/>
    <w:rsid w:val="00D11573"/>
    <w:rsid w:val="00D1196A"/>
    <w:rsid w:val="00D1196E"/>
    <w:rsid w:val="00D12B66"/>
    <w:rsid w:val="00D12E80"/>
    <w:rsid w:val="00D13435"/>
    <w:rsid w:val="00D1372E"/>
    <w:rsid w:val="00D15272"/>
    <w:rsid w:val="00D16F87"/>
    <w:rsid w:val="00D171C4"/>
    <w:rsid w:val="00D20100"/>
    <w:rsid w:val="00D204C7"/>
    <w:rsid w:val="00D215BA"/>
    <w:rsid w:val="00D21857"/>
    <w:rsid w:val="00D21DDA"/>
    <w:rsid w:val="00D224CE"/>
    <w:rsid w:val="00D22DF2"/>
    <w:rsid w:val="00D23399"/>
    <w:rsid w:val="00D23565"/>
    <w:rsid w:val="00D23D83"/>
    <w:rsid w:val="00D24798"/>
    <w:rsid w:val="00D25CF6"/>
    <w:rsid w:val="00D26598"/>
    <w:rsid w:val="00D27890"/>
    <w:rsid w:val="00D27F9F"/>
    <w:rsid w:val="00D30344"/>
    <w:rsid w:val="00D3043C"/>
    <w:rsid w:val="00D306EF"/>
    <w:rsid w:val="00D30718"/>
    <w:rsid w:val="00D30948"/>
    <w:rsid w:val="00D30B9C"/>
    <w:rsid w:val="00D311C6"/>
    <w:rsid w:val="00D31ECB"/>
    <w:rsid w:val="00D32289"/>
    <w:rsid w:val="00D32557"/>
    <w:rsid w:val="00D32580"/>
    <w:rsid w:val="00D32762"/>
    <w:rsid w:val="00D32D49"/>
    <w:rsid w:val="00D32FFC"/>
    <w:rsid w:val="00D33471"/>
    <w:rsid w:val="00D3359A"/>
    <w:rsid w:val="00D33CF1"/>
    <w:rsid w:val="00D33DC9"/>
    <w:rsid w:val="00D343D6"/>
    <w:rsid w:val="00D345D3"/>
    <w:rsid w:val="00D34E46"/>
    <w:rsid w:val="00D34FA9"/>
    <w:rsid w:val="00D3510C"/>
    <w:rsid w:val="00D35B0A"/>
    <w:rsid w:val="00D368B9"/>
    <w:rsid w:val="00D37007"/>
    <w:rsid w:val="00D37550"/>
    <w:rsid w:val="00D37C78"/>
    <w:rsid w:val="00D37F35"/>
    <w:rsid w:val="00D400F7"/>
    <w:rsid w:val="00D41191"/>
    <w:rsid w:val="00D42360"/>
    <w:rsid w:val="00D42AF8"/>
    <w:rsid w:val="00D43B10"/>
    <w:rsid w:val="00D43C0D"/>
    <w:rsid w:val="00D442D6"/>
    <w:rsid w:val="00D44E49"/>
    <w:rsid w:val="00D4547F"/>
    <w:rsid w:val="00D45F2B"/>
    <w:rsid w:val="00D467FE"/>
    <w:rsid w:val="00D46F2B"/>
    <w:rsid w:val="00D477D9"/>
    <w:rsid w:val="00D47EE3"/>
    <w:rsid w:val="00D50773"/>
    <w:rsid w:val="00D51A8C"/>
    <w:rsid w:val="00D52396"/>
    <w:rsid w:val="00D52688"/>
    <w:rsid w:val="00D53117"/>
    <w:rsid w:val="00D53149"/>
    <w:rsid w:val="00D54E88"/>
    <w:rsid w:val="00D56F7F"/>
    <w:rsid w:val="00D57123"/>
    <w:rsid w:val="00D605C7"/>
    <w:rsid w:val="00D61527"/>
    <w:rsid w:val="00D6177A"/>
    <w:rsid w:val="00D617B7"/>
    <w:rsid w:val="00D618E9"/>
    <w:rsid w:val="00D62C6B"/>
    <w:rsid w:val="00D632DA"/>
    <w:rsid w:val="00D63373"/>
    <w:rsid w:val="00D63F1D"/>
    <w:rsid w:val="00D65723"/>
    <w:rsid w:val="00D659AE"/>
    <w:rsid w:val="00D660B5"/>
    <w:rsid w:val="00D66787"/>
    <w:rsid w:val="00D668AB"/>
    <w:rsid w:val="00D66945"/>
    <w:rsid w:val="00D66B6A"/>
    <w:rsid w:val="00D671F2"/>
    <w:rsid w:val="00D67B01"/>
    <w:rsid w:val="00D700E7"/>
    <w:rsid w:val="00D718B3"/>
    <w:rsid w:val="00D71E2D"/>
    <w:rsid w:val="00D726A7"/>
    <w:rsid w:val="00D730DF"/>
    <w:rsid w:val="00D76978"/>
    <w:rsid w:val="00D76E0F"/>
    <w:rsid w:val="00D80B47"/>
    <w:rsid w:val="00D81237"/>
    <w:rsid w:val="00D812BD"/>
    <w:rsid w:val="00D822DB"/>
    <w:rsid w:val="00D83760"/>
    <w:rsid w:val="00D83767"/>
    <w:rsid w:val="00D83BDB"/>
    <w:rsid w:val="00D85123"/>
    <w:rsid w:val="00D85F22"/>
    <w:rsid w:val="00D866EF"/>
    <w:rsid w:val="00D86948"/>
    <w:rsid w:val="00D86BEE"/>
    <w:rsid w:val="00D86F92"/>
    <w:rsid w:val="00D8788A"/>
    <w:rsid w:val="00D87C59"/>
    <w:rsid w:val="00D87D31"/>
    <w:rsid w:val="00D907C4"/>
    <w:rsid w:val="00D9108C"/>
    <w:rsid w:val="00D9195C"/>
    <w:rsid w:val="00D91A4D"/>
    <w:rsid w:val="00D950AB"/>
    <w:rsid w:val="00D95425"/>
    <w:rsid w:val="00D957BA"/>
    <w:rsid w:val="00D957BC"/>
    <w:rsid w:val="00D9583D"/>
    <w:rsid w:val="00D966CE"/>
    <w:rsid w:val="00D967A3"/>
    <w:rsid w:val="00D96972"/>
    <w:rsid w:val="00D973BD"/>
    <w:rsid w:val="00DA0101"/>
    <w:rsid w:val="00DA1344"/>
    <w:rsid w:val="00DA19CA"/>
    <w:rsid w:val="00DA1E74"/>
    <w:rsid w:val="00DA26BF"/>
    <w:rsid w:val="00DA2B69"/>
    <w:rsid w:val="00DA2C59"/>
    <w:rsid w:val="00DA3774"/>
    <w:rsid w:val="00DA3838"/>
    <w:rsid w:val="00DA3BC3"/>
    <w:rsid w:val="00DA4842"/>
    <w:rsid w:val="00DA49E0"/>
    <w:rsid w:val="00DA4E32"/>
    <w:rsid w:val="00DA5739"/>
    <w:rsid w:val="00DA5A62"/>
    <w:rsid w:val="00DA6510"/>
    <w:rsid w:val="00DA729B"/>
    <w:rsid w:val="00DA7592"/>
    <w:rsid w:val="00DB013A"/>
    <w:rsid w:val="00DB28F5"/>
    <w:rsid w:val="00DB2932"/>
    <w:rsid w:val="00DB2A02"/>
    <w:rsid w:val="00DB4050"/>
    <w:rsid w:val="00DB55A9"/>
    <w:rsid w:val="00DB7007"/>
    <w:rsid w:val="00DB7D85"/>
    <w:rsid w:val="00DC0841"/>
    <w:rsid w:val="00DC2934"/>
    <w:rsid w:val="00DC327D"/>
    <w:rsid w:val="00DC3C6C"/>
    <w:rsid w:val="00DC3D31"/>
    <w:rsid w:val="00DC4123"/>
    <w:rsid w:val="00DC4C68"/>
    <w:rsid w:val="00DC5A00"/>
    <w:rsid w:val="00DC5AD4"/>
    <w:rsid w:val="00DC65D3"/>
    <w:rsid w:val="00DC6F41"/>
    <w:rsid w:val="00DC799C"/>
    <w:rsid w:val="00DD1716"/>
    <w:rsid w:val="00DD2A65"/>
    <w:rsid w:val="00DD2B17"/>
    <w:rsid w:val="00DD3C43"/>
    <w:rsid w:val="00DD3CEB"/>
    <w:rsid w:val="00DD4729"/>
    <w:rsid w:val="00DD7B06"/>
    <w:rsid w:val="00DE06BE"/>
    <w:rsid w:val="00DE0716"/>
    <w:rsid w:val="00DE0B41"/>
    <w:rsid w:val="00DE1273"/>
    <w:rsid w:val="00DE1B7E"/>
    <w:rsid w:val="00DE1E55"/>
    <w:rsid w:val="00DE2152"/>
    <w:rsid w:val="00DE2B09"/>
    <w:rsid w:val="00DE2C0B"/>
    <w:rsid w:val="00DE2EEF"/>
    <w:rsid w:val="00DE335C"/>
    <w:rsid w:val="00DE363D"/>
    <w:rsid w:val="00DE40F2"/>
    <w:rsid w:val="00DE4368"/>
    <w:rsid w:val="00DE43DE"/>
    <w:rsid w:val="00DE472D"/>
    <w:rsid w:val="00DE61E8"/>
    <w:rsid w:val="00DE63E0"/>
    <w:rsid w:val="00DE74F1"/>
    <w:rsid w:val="00DE7C04"/>
    <w:rsid w:val="00DF0C57"/>
    <w:rsid w:val="00DF371D"/>
    <w:rsid w:val="00DF4F4A"/>
    <w:rsid w:val="00DF50B4"/>
    <w:rsid w:val="00DF54DB"/>
    <w:rsid w:val="00DF55E9"/>
    <w:rsid w:val="00DF5EC7"/>
    <w:rsid w:val="00DF600A"/>
    <w:rsid w:val="00DF6620"/>
    <w:rsid w:val="00DF66FC"/>
    <w:rsid w:val="00DF6D08"/>
    <w:rsid w:val="00DF6DD1"/>
    <w:rsid w:val="00DF74EB"/>
    <w:rsid w:val="00DF786C"/>
    <w:rsid w:val="00E003C8"/>
    <w:rsid w:val="00E005D9"/>
    <w:rsid w:val="00E0128E"/>
    <w:rsid w:val="00E01793"/>
    <w:rsid w:val="00E01825"/>
    <w:rsid w:val="00E02664"/>
    <w:rsid w:val="00E03DA3"/>
    <w:rsid w:val="00E043F6"/>
    <w:rsid w:val="00E0573E"/>
    <w:rsid w:val="00E05E69"/>
    <w:rsid w:val="00E06571"/>
    <w:rsid w:val="00E06B4F"/>
    <w:rsid w:val="00E07AE2"/>
    <w:rsid w:val="00E07AE8"/>
    <w:rsid w:val="00E1055D"/>
    <w:rsid w:val="00E11589"/>
    <w:rsid w:val="00E123AF"/>
    <w:rsid w:val="00E128FB"/>
    <w:rsid w:val="00E129AC"/>
    <w:rsid w:val="00E14145"/>
    <w:rsid w:val="00E14295"/>
    <w:rsid w:val="00E1455B"/>
    <w:rsid w:val="00E148D4"/>
    <w:rsid w:val="00E14E11"/>
    <w:rsid w:val="00E162A6"/>
    <w:rsid w:val="00E16614"/>
    <w:rsid w:val="00E16B51"/>
    <w:rsid w:val="00E16D7E"/>
    <w:rsid w:val="00E174D9"/>
    <w:rsid w:val="00E17BD5"/>
    <w:rsid w:val="00E2207C"/>
    <w:rsid w:val="00E22374"/>
    <w:rsid w:val="00E227F7"/>
    <w:rsid w:val="00E22C03"/>
    <w:rsid w:val="00E22D9B"/>
    <w:rsid w:val="00E23053"/>
    <w:rsid w:val="00E232B2"/>
    <w:rsid w:val="00E2370B"/>
    <w:rsid w:val="00E258BB"/>
    <w:rsid w:val="00E25B72"/>
    <w:rsid w:val="00E261A2"/>
    <w:rsid w:val="00E261BC"/>
    <w:rsid w:val="00E2747C"/>
    <w:rsid w:val="00E27915"/>
    <w:rsid w:val="00E31574"/>
    <w:rsid w:val="00E31F00"/>
    <w:rsid w:val="00E32449"/>
    <w:rsid w:val="00E32D33"/>
    <w:rsid w:val="00E33174"/>
    <w:rsid w:val="00E3342B"/>
    <w:rsid w:val="00E33487"/>
    <w:rsid w:val="00E340A5"/>
    <w:rsid w:val="00E34356"/>
    <w:rsid w:val="00E34442"/>
    <w:rsid w:val="00E345E0"/>
    <w:rsid w:val="00E34AE4"/>
    <w:rsid w:val="00E34B32"/>
    <w:rsid w:val="00E35198"/>
    <w:rsid w:val="00E36381"/>
    <w:rsid w:val="00E365A2"/>
    <w:rsid w:val="00E36B21"/>
    <w:rsid w:val="00E36F28"/>
    <w:rsid w:val="00E371E0"/>
    <w:rsid w:val="00E37208"/>
    <w:rsid w:val="00E37476"/>
    <w:rsid w:val="00E375A6"/>
    <w:rsid w:val="00E375D9"/>
    <w:rsid w:val="00E378F1"/>
    <w:rsid w:val="00E400EF"/>
    <w:rsid w:val="00E40A8E"/>
    <w:rsid w:val="00E40B10"/>
    <w:rsid w:val="00E41327"/>
    <w:rsid w:val="00E41A7E"/>
    <w:rsid w:val="00E42E16"/>
    <w:rsid w:val="00E43282"/>
    <w:rsid w:val="00E440FB"/>
    <w:rsid w:val="00E44167"/>
    <w:rsid w:val="00E44BC1"/>
    <w:rsid w:val="00E45551"/>
    <w:rsid w:val="00E46C37"/>
    <w:rsid w:val="00E47584"/>
    <w:rsid w:val="00E50274"/>
    <w:rsid w:val="00E50B79"/>
    <w:rsid w:val="00E51080"/>
    <w:rsid w:val="00E523E7"/>
    <w:rsid w:val="00E52889"/>
    <w:rsid w:val="00E530D4"/>
    <w:rsid w:val="00E53258"/>
    <w:rsid w:val="00E53998"/>
    <w:rsid w:val="00E56661"/>
    <w:rsid w:val="00E56D5A"/>
    <w:rsid w:val="00E57244"/>
    <w:rsid w:val="00E60F35"/>
    <w:rsid w:val="00E61A70"/>
    <w:rsid w:val="00E61B28"/>
    <w:rsid w:val="00E61BE5"/>
    <w:rsid w:val="00E6284C"/>
    <w:rsid w:val="00E63809"/>
    <w:rsid w:val="00E63F80"/>
    <w:rsid w:val="00E64E66"/>
    <w:rsid w:val="00E6641C"/>
    <w:rsid w:val="00E669DF"/>
    <w:rsid w:val="00E7022E"/>
    <w:rsid w:val="00E70369"/>
    <w:rsid w:val="00E711DA"/>
    <w:rsid w:val="00E71CDD"/>
    <w:rsid w:val="00E72360"/>
    <w:rsid w:val="00E723CB"/>
    <w:rsid w:val="00E728D7"/>
    <w:rsid w:val="00E72FE1"/>
    <w:rsid w:val="00E73119"/>
    <w:rsid w:val="00E74F64"/>
    <w:rsid w:val="00E75085"/>
    <w:rsid w:val="00E750C0"/>
    <w:rsid w:val="00E757E4"/>
    <w:rsid w:val="00E761E3"/>
    <w:rsid w:val="00E7641D"/>
    <w:rsid w:val="00E7690C"/>
    <w:rsid w:val="00E773C9"/>
    <w:rsid w:val="00E77599"/>
    <w:rsid w:val="00E77780"/>
    <w:rsid w:val="00E77813"/>
    <w:rsid w:val="00E8015B"/>
    <w:rsid w:val="00E818A5"/>
    <w:rsid w:val="00E8288C"/>
    <w:rsid w:val="00E84060"/>
    <w:rsid w:val="00E8443A"/>
    <w:rsid w:val="00E84E6C"/>
    <w:rsid w:val="00E85C93"/>
    <w:rsid w:val="00E8609A"/>
    <w:rsid w:val="00E86957"/>
    <w:rsid w:val="00E86B2D"/>
    <w:rsid w:val="00E87C38"/>
    <w:rsid w:val="00E87E71"/>
    <w:rsid w:val="00E90005"/>
    <w:rsid w:val="00E90C0F"/>
    <w:rsid w:val="00E91642"/>
    <w:rsid w:val="00E91B24"/>
    <w:rsid w:val="00E91F60"/>
    <w:rsid w:val="00E93676"/>
    <w:rsid w:val="00E93FF0"/>
    <w:rsid w:val="00E950B5"/>
    <w:rsid w:val="00E95487"/>
    <w:rsid w:val="00E9697A"/>
    <w:rsid w:val="00E96B53"/>
    <w:rsid w:val="00E96B88"/>
    <w:rsid w:val="00E974F5"/>
    <w:rsid w:val="00E97C08"/>
    <w:rsid w:val="00EA00D4"/>
    <w:rsid w:val="00EA04A4"/>
    <w:rsid w:val="00EA0601"/>
    <w:rsid w:val="00EA1382"/>
    <w:rsid w:val="00EA1C6B"/>
    <w:rsid w:val="00EA1D83"/>
    <w:rsid w:val="00EA2341"/>
    <w:rsid w:val="00EA2E28"/>
    <w:rsid w:val="00EA42C7"/>
    <w:rsid w:val="00EA5A4A"/>
    <w:rsid w:val="00EA61D8"/>
    <w:rsid w:val="00EA6561"/>
    <w:rsid w:val="00EA777A"/>
    <w:rsid w:val="00EB0B0A"/>
    <w:rsid w:val="00EB14CD"/>
    <w:rsid w:val="00EB2024"/>
    <w:rsid w:val="00EB34C5"/>
    <w:rsid w:val="00EB3669"/>
    <w:rsid w:val="00EB39E9"/>
    <w:rsid w:val="00EB3C44"/>
    <w:rsid w:val="00EB3CCE"/>
    <w:rsid w:val="00EB4411"/>
    <w:rsid w:val="00EB4562"/>
    <w:rsid w:val="00EB48EA"/>
    <w:rsid w:val="00EB6FF3"/>
    <w:rsid w:val="00EC008F"/>
    <w:rsid w:val="00EC3031"/>
    <w:rsid w:val="00EC309C"/>
    <w:rsid w:val="00EC353F"/>
    <w:rsid w:val="00EC3654"/>
    <w:rsid w:val="00EC546F"/>
    <w:rsid w:val="00EC5691"/>
    <w:rsid w:val="00EC7EA5"/>
    <w:rsid w:val="00ED03C3"/>
    <w:rsid w:val="00ED0B89"/>
    <w:rsid w:val="00ED0FB4"/>
    <w:rsid w:val="00ED10D4"/>
    <w:rsid w:val="00ED1708"/>
    <w:rsid w:val="00ED1A57"/>
    <w:rsid w:val="00ED229E"/>
    <w:rsid w:val="00ED2377"/>
    <w:rsid w:val="00ED26C6"/>
    <w:rsid w:val="00ED2B6E"/>
    <w:rsid w:val="00ED2EFD"/>
    <w:rsid w:val="00ED34A7"/>
    <w:rsid w:val="00ED41B5"/>
    <w:rsid w:val="00ED75DA"/>
    <w:rsid w:val="00ED782D"/>
    <w:rsid w:val="00EE0F43"/>
    <w:rsid w:val="00EE1312"/>
    <w:rsid w:val="00EE21F1"/>
    <w:rsid w:val="00EE2296"/>
    <w:rsid w:val="00EE24C2"/>
    <w:rsid w:val="00EE3BF3"/>
    <w:rsid w:val="00EE41CC"/>
    <w:rsid w:val="00EE47A0"/>
    <w:rsid w:val="00EE4D38"/>
    <w:rsid w:val="00EE59DF"/>
    <w:rsid w:val="00EE667A"/>
    <w:rsid w:val="00EE797D"/>
    <w:rsid w:val="00EF04F3"/>
    <w:rsid w:val="00EF0C64"/>
    <w:rsid w:val="00EF0D69"/>
    <w:rsid w:val="00EF0F6F"/>
    <w:rsid w:val="00EF1454"/>
    <w:rsid w:val="00EF22CE"/>
    <w:rsid w:val="00EF2547"/>
    <w:rsid w:val="00EF25F0"/>
    <w:rsid w:val="00EF2C09"/>
    <w:rsid w:val="00EF305B"/>
    <w:rsid w:val="00EF3064"/>
    <w:rsid w:val="00EF3A48"/>
    <w:rsid w:val="00EF3E4C"/>
    <w:rsid w:val="00EF4308"/>
    <w:rsid w:val="00EF4609"/>
    <w:rsid w:val="00EF54A4"/>
    <w:rsid w:val="00EF7064"/>
    <w:rsid w:val="00EF7281"/>
    <w:rsid w:val="00EF79F4"/>
    <w:rsid w:val="00F0070D"/>
    <w:rsid w:val="00F00E41"/>
    <w:rsid w:val="00F00F93"/>
    <w:rsid w:val="00F01307"/>
    <w:rsid w:val="00F014D7"/>
    <w:rsid w:val="00F02FD6"/>
    <w:rsid w:val="00F0335A"/>
    <w:rsid w:val="00F03DB7"/>
    <w:rsid w:val="00F03DBE"/>
    <w:rsid w:val="00F0408E"/>
    <w:rsid w:val="00F045FD"/>
    <w:rsid w:val="00F04C17"/>
    <w:rsid w:val="00F04F55"/>
    <w:rsid w:val="00F05895"/>
    <w:rsid w:val="00F05C9B"/>
    <w:rsid w:val="00F0632C"/>
    <w:rsid w:val="00F072AB"/>
    <w:rsid w:val="00F07395"/>
    <w:rsid w:val="00F07BDF"/>
    <w:rsid w:val="00F07DE6"/>
    <w:rsid w:val="00F101B7"/>
    <w:rsid w:val="00F10359"/>
    <w:rsid w:val="00F10869"/>
    <w:rsid w:val="00F12704"/>
    <w:rsid w:val="00F1275B"/>
    <w:rsid w:val="00F12C44"/>
    <w:rsid w:val="00F12CE2"/>
    <w:rsid w:val="00F1303A"/>
    <w:rsid w:val="00F13B9B"/>
    <w:rsid w:val="00F14D90"/>
    <w:rsid w:val="00F15444"/>
    <w:rsid w:val="00F15694"/>
    <w:rsid w:val="00F15FAE"/>
    <w:rsid w:val="00F15FF6"/>
    <w:rsid w:val="00F16338"/>
    <w:rsid w:val="00F16647"/>
    <w:rsid w:val="00F1666F"/>
    <w:rsid w:val="00F1793D"/>
    <w:rsid w:val="00F21ECE"/>
    <w:rsid w:val="00F223C4"/>
    <w:rsid w:val="00F22451"/>
    <w:rsid w:val="00F238E0"/>
    <w:rsid w:val="00F23A17"/>
    <w:rsid w:val="00F2550C"/>
    <w:rsid w:val="00F25A53"/>
    <w:rsid w:val="00F26055"/>
    <w:rsid w:val="00F26119"/>
    <w:rsid w:val="00F27034"/>
    <w:rsid w:val="00F270C9"/>
    <w:rsid w:val="00F27663"/>
    <w:rsid w:val="00F27909"/>
    <w:rsid w:val="00F27D75"/>
    <w:rsid w:val="00F30C08"/>
    <w:rsid w:val="00F310D9"/>
    <w:rsid w:val="00F318DF"/>
    <w:rsid w:val="00F3208A"/>
    <w:rsid w:val="00F324B6"/>
    <w:rsid w:val="00F32DBF"/>
    <w:rsid w:val="00F330CB"/>
    <w:rsid w:val="00F33303"/>
    <w:rsid w:val="00F335FB"/>
    <w:rsid w:val="00F33B8E"/>
    <w:rsid w:val="00F347B4"/>
    <w:rsid w:val="00F351D9"/>
    <w:rsid w:val="00F353C4"/>
    <w:rsid w:val="00F36422"/>
    <w:rsid w:val="00F371B5"/>
    <w:rsid w:val="00F37391"/>
    <w:rsid w:val="00F373DA"/>
    <w:rsid w:val="00F376D6"/>
    <w:rsid w:val="00F40D35"/>
    <w:rsid w:val="00F40FAA"/>
    <w:rsid w:val="00F418AD"/>
    <w:rsid w:val="00F41F75"/>
    <w:rsid w:val="00F425D6"/>
    <w:rsid w:val="00F42DCE"/>
    <w:rsid w:val="00F43058"/>
    <w:rsid w:val="00F4322E"/>
    <w:rsid w:val="00F43967"/>
    <w:rsid w:val="00F43FB6"/>
    <w:rsid w:val="00F46F00"/>
    <w:rsid w:val="00F46FE5"/>
    <w:rsid w:val="00F4721F"/>
    <w:rsid w:val="00F4768C"/>
    <w:rsid w:val="00F47B73"/>
    <w:rsid w:val="00F47C5B"/>
    <w:rsid w:val="00F47E9E"/>
    <w:rsid w:val="00F5004F"/>
    <w:rsid w:val="00F50252"/>
    <w:rsid w:val="00F505A3"/>
    <w:rsid w:val="00F51311"/>
    <w:rsid w:val="00F5193B"/>
    <w:rsid w:val="00F51AE6"/>
    <w:rsid w:val="00F51D08"/>
    <w:rsid w:val="00F51FF1"/>
    <w:rsid w:val="00F523A6"/>
    <w:rsid w:val="00F5299D"/>
    <w:rsid w:val="00F52AC1"/>
    <w:rsid w:val="00F52F79"/>
    <w:rsid w:val="00F52FFF"/>
    <w:rsid w:val="00F5366F"/>
    <w:rsid w:val="00F53A8E"/>
    <w:rsid w:val="00F53F16"/>
    <w:rsid w:val="00F5400D"/>
    <w:rsid w:val="00F544BF"/>
    <w:rsid w:val="00F54BA7"/>
    <w:rsid w:val="00F54C7D"/>
    <w:rsid w:val="00F55408"/>
    <w:rsid w:val="00F55FD0"/>
    <w:rsid w:val="00F56042"/>
    <w:rsid w:val="00F56750"/>
    <w:rsid w:val="00F576D7"/>
    <w:rsid w:val="00F6064B"/>
    <w:rsid w:val="00F60683"/>
    <w:rsid w:val="00F607CD"/>
    <w:rsid w:val="00F608D1"/>
    <w:rsid w:val="00F61982"/>
    <w:rsid w:val="00F62D25"/>
    <w:rsid w:val="00F63319"/>
    <w:rsid w:val="00F6333B"/>
    <w:rsid w:val="00F64200"/>
    <w:rsid w:val="00F70776"/>
    <w:rsid w:val="00F708FC"/>
    <w:rsid w:val="00F7114A"/>
    <w:rsid w:val="00F717D7"/>
    <w:rsid w:val="00F718BC"/>
    <w:rsid w:val="00F71E4B"/>
    <w:rsid w:val="00F727FF"/>
    <w:rsid w:val="00F72F89"/>
    <w:rsid w:val="00F73D5A"/>
    <w:rsid w:val="00F73DED"/>
    <w:rsid w:val="00F74521"/>
    <w:rsid w:val="00F74C90"/>
    <w:rsid w:val="00F7536E"/>
    <w:rsid w:val="00F75CEC"/>
    <w:rsid w:val="00F76315"/>
    <w:rsid w:val="00F763CA"/>
    <w:rsid w:val="00F76935"/>
    <w:rsid w:val="00F76E78"/>
    <w:rsid w:val="00F77C6B"/>
    <w:rsid w:val="00F8073C"/>
    <w:rsid w:val="00F80F91"/>
    <w:rsid w:val="00F82066"/>
    <w:rsid w:val="00F83192"/>
    <w:rsid w:val="00F838A8"/>
    <w:rsid w:val="00F83B8B"/>
    <w:rsid w:val="00F84100"/>
    <w:rsid w:val="00F842DE"/>
    <w:rsid w:val="00F84A12"/>
    <w:rsid w:val="00F84C4D"/>
    <w:rsid w:val="00F85B72"/>
    <w:rsid w:val="00F85DB3"/>
    <w:rsid w:val="00F8685C"/>
    <w:rsid w:val="00F87303"/>
    <w:rsid w:val="00F87D9A"/>
    <w:rsid w:val="00F900DF"/>
    <w:rsid w:val="00F910DB"/>
    <w:rsid w:val="00F9333F"/>
    <w:rsid w:val="00F94ABC"/>
    <w:rsid w:val="00F954A5"/>
    <w:rsid w:val="00F9607E"/>
    <w:rsid w:val="00F9665E"/>
    <w:rsid w:val="00F9725A"/>
    <w:rsid w:val="00F97A4B"/>
    <w:rsid w:val="00F97C20"/>
    <w:rsid w:val="00F97E7E"/>
    <w:rsid w:val="00FA07AF"/>
    <w:rsid w:val="00FA088A"/>
    <w:rsid w:val="00FA116B"/>
    <w:rsid w:val="00FA28B4"/>
    <w:rsid w:val="00FA29AC"/>
    <w:rsid w:val="00FA4289"/>
    <w:rsid w:val="00FA4B34"/>
    <w:rsid w:val="00FA4F25"/>
    <w:rsid w:val="00FA5321"/>
    <w:rsid w:val="00FA5D17"/>
    <w:rsid w:val="00FA5DAC"/>
    <w:rsid w:val="00FA5DB4"/>
    <w:rsid w:val="00FA7330"/>
    <w:rsid w:val="00FA7F76"/>
    <w:rsid w:val="00FB0454"/>
    <w:rsid w:val="00FB0685"/>
    <w:rsid w:val="00FB06BB"/>
    <w:rsid w:val="00FB0A2E"/>
    <w:rsid w:val="00FB0CB4"/>
    <w:rsid w:val="00FB0E05"/>
    <w:rsid w:val="00FB10AD"/>
    <w:rsid w:val="00FB1451"/>
    <w:rsid w:val="00FB1D7E"/>
    <w:rsid w:val="00FB2AA4"/>
    <w:rsid w:val="00FB2B28"/>
    <w:rsid w:val="00FB2C03"/>
    <w:rsid w:val="00FB30EA"/>
    <w:rsid w:val="00FB370E"/>
    <w:rsid w:val="00FB3B7B"/>
    <w:rsid w:val="00FB45CA"/>
    <w:rsid w:val="00FB472E"/>
    <w:rsid w:val="00FB4846"/>
    <w:rsid w:val="00FB4B87"/>
    <w:rsid w:val="00FB4C31"/>
    <w:rsid w:val="00FB4E43"/>
    <w:rsid w:val="00FB54A4"/>
    <w:rsid w:val="00FB5636"/>
    <w:rsid w:val="00FB5641"/>
    <w:rsid w:val="00FB5BBA"/>
    <w:rsid w:val="00FB61A7"/>
    <w:rsid w:val="00FB61EE"/>
    <w:rsid w:val="00FB6206"/>
    <w:rsid w:val="00FB6FC3"/>
    <w:rsid w:val="00FB705F"/>
    <w:rsid w:val="00FB7F23"/>
    <w:rsid w:val="00FC1E09"/>
    <w:rsid w:val="00FC217F"/>
    <w:rsid w:val="00FC2F42"/>
    <w:rsid w:val="00FC2F47"/>
    <w:rsid w:val="00FC34B8"/>
    <w:rsid w:val="00FC3777"/>
    <w:rsid w:val="00FC3BFD"/>
    <w:rsid w:val="00FC3F7D"/>
    <w:rsid w:val="00FC4C9B"/>
    <w:rsid w:val="00FC4F38"/>
    <w:rsid w:val="00FC5375"/>
    <w:rsid w:val="00FC554B"/>
    <w:rsid w:val="00FC57B1"/>
    <w:rsid w:val="00FC6907"/>
    <w:rsid w:val="00FD1120"/>
    <w:rsid w:val="00FD1569"/>
    <w:rsid w:val="00FD2D1C"/>
    <w:rsid w:val="00FD2EAA"/>
    <w:rsid w:val="00FD4898"/>
    <w:rsid w:val="00FD5249"/>
    <w:rsid w:val="00FD70FF"/>
    <w:rsid w:val="00FD7564"/>
    <w:rsid w:val="00FD7D10"/>
    <w:rsid w:val="00FE1469"/>
    <w:rsid w:val="00FE2241"/>
    <w:rsid w:val="00FE2405"/>
    <w:rsid w:val="00FE3B5E"/>
    <w:rsid w:val="00FE5493"/>
    <w:rsid w:val="00FE5770"/>
    <w:rsid w:val="00FE5A21"/>
    <w:rsid w:val="00FE600D"/>
    <w:rsid w:val="00FE6789"/>
    <w:rsid w:val="00FE68E1"/>
    <w:rsid w:val="00FE6F34"/>
    <w:rsid w:val="00FE78D8"/>
    <w:rsid w:val="00FF036A"/>
    <w:rsid w:val="00FF0403"/>
    <w:rsid w:val="00FF073C"/>
    <w:rsid w:val="00FF0B16"/>
    <w:rsid w:val="00FF0D27"/>
    <w:rsid w:val="00FF1425"/>
    <w:rsid w:val="00FF1ABB"/>
    <w:rsid w:val="00FF25DA"/>
    <w:rsid w:val="00FF33A6"/>
    <w:rsid w:val="00FF364B"/>
    <w:rsid w:val="00FF3AB0"/>
    <w:rsid w:val="00FF4145"/>
    <w:rsid w:val="00FF4BF3"/>
    <w:rsid w:val="00FF56C5"/>
    <w:rsid w:val="00FF57B8"/>
    <w:rsid w:val="00FF6786"/>
    <w:rsid w:val="00FF79AE"/>
    <w:rsid w:val="00FF7E99"/>
    <w:rsid w:val="019F86C3"/>
    <w:rsid w:val="01B5E863"/>
    <w:rsid w:val="02BE99E2"/>
    <w:rsid w:val="065ECE21"/>
    <w:rsid w:val="0A66DF1E"/>
    <w:rsid w:val="0A94A759"/>
    <w:rsid w:val="0F9C91B5"/>
    <w:rsid w:val="1500083A"/>
    <w:rsid w:val="1FEDDE40"/>
    <w:rsid w:val="2037013C"/>
    <w:rsid w:val="2597DD41"/>
    <w:rsid w:val="269AEE2E"/>
    <w:rsid w:val="270DDC39"/>
    <w:rsid w:val="29C42EFD"/>
    <w:rsid w:val="2E426847"/>
    <w:rsid w:val="2F12C45C"/>
    <w:rsid w:val="37E0B182"/>
    <w:rsid w:val="3A05F469"/>
    <w:rsid w:val="3BB82531"/>
    <w:rsid w:val="42F4B425"/>
    <w:rsid w:val="4345FD2A"/>
    <w:rsid w:val="43A3DDCF"/>
    <w:rsid w:val="4E5A3D04"/>
    <w:rsid w:val="4FB177C9"/>
    <w:rsid w:val="5555A375"/>
    <w:rsid w:val="56160271"/>
    <w:rsid w:val="611CD3C8"/>
    <w:rsid w:val="623C589A"/>
    <w:rsid w:val="63145FF4"/>
    <w:rsid w:val="6858A76D"/>
    <w:rsid w:val="693C9F63"/>
    <w:rsid w:val="6AB64178"/>
    <w:rsid w:val="7117EC80"/>
    <w:rsid w:val="769046C7"/>
    <w:rsid w:val="76F3BAF1"/>
    <w:rsid w:val="78CD3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D8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AB4"/>
    <w:rPr>
      <w:sz w:val="24"/>
      <w:szCs w:val="24"/>
    </w:rPr>
  </w:style>
  <w:style w:type="paragraph" w:styleId="Heading1">
    <w:name w:val="heading 1"/>
    <w:basedOn w:val="Normal"/>
    <w:next w:val="BodyText"/>
    <w:link w:val="Heading1Char"/>
    <w:uiPriority w:val="9"/>
    <w:qFormat/>
    <w:rsid w:val="001F4C4B"/>
    <w:pPr>
      <w:spacing w:line="480" w:lineRule="auto"/>
      <w:jc w:val="center"/>
      <w:outlineLvl w:val="0"/>
    </w:p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0C2B9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004F"/>
    <w:pPr>
      <w:tabs>
        <w:tab w:val="center" w:pos="4320"/>
        <w:tab w:val="right" w:pos="8640"/>
      </w:tabs>
      <w:overflowPunct w:val="0"/>
      <w:autoSpaceDE w:val="0"/>
      <w:autoSpaceDN w:val="0"/>
      <w:adjustRightInd w:val="0"/>
    </w:pPr>
    <w:rPr>
      <w:sz w:val="20"/>
      <w:szCs w:val="20"/>
    </w:rPr>
  </w:style>
  <w:style w:type="paragraph" w:customStyle="1" w:styleId="APA">
    <w:name w:val="APA"/>
    <w:basedOn w:val="BodyText"/>
    <w:rsid w:val="00F5004F"/>
    <w:pPr>
      <w:spacing w:after="0" w:line="480" w:lineRule="auto"/>
      <w:ind w:firstLine="720"/>
    </w:pPr>
    <w:rPr>
      <w:sz w:val="24"/>
    </w:rPr>
  </w:style>
  <w:style w:type="paragraph" w:styleId="BodyText">
    <w:name w:val="Body Text"/>
    <w:basedOn w:val="Normal"/>
    <w:rsid w:val="00F5004F"/>
    <w:pPr>
      <w:overflowPunct w:val="0"/>
      <w:autoSpaceDE w:val="0"/>
      <w:autoSpaceDN w:val="0"/>
      <w:adjustRightInd w:val="0"/>
      <w:spacing w:after="120"/>
    </w:pPr>
    <w:rPr>
      <w:sz w:val="20"/>
      <w:szCs w:val="20"/>
    </w:rPr>
  </w:style>
  <w:style w:type="paragraph" w:styleId="Footer">
    <w:name w:val="footer"/>
    <w:basedOn w:val="Normal"/>
    <w:rsid w:val="00F5004F"/>
    <w:pPr>
      <w:tabs>
        <w:tab w:val="center" w:pos="4320"/>
        <w:tab w:val="right" w:pos="8640"/>
      </w:tabs>
      <w:overflowPunct w:val="0"/>
      <w:autoSpaceDE w:val="0"/>
      <w:autoSpaceDN w:val="0"/>
      <w:adjustRightInd w:val="0"/>
    </w:pPr>
    <w:rPr>
      <w:sz w:val="20"/>
      <w:szCs w:val="20"/>
    </w:rPr>
  </w:style>
  <w:style w:type="character" w:styleId="PageNumber">
    <w:name w:val="page number"/>
    <w:basedOn w:val="DefaultParagraphFont"/>
    <w:rsid w:val="00F5004F"/>
  </w:style>
  <w:style w:type="paragraph" w:customStyle="1" w:styleId="APAHeading1">
    <w:name w:val="APA Heading 1"/>
    <w:basedOn w:val="APA"/>
    <w:next w:val="APA"/>
    <w:rsid w:val="004B26B0"/>
    <w:pPr>
      <w:ind w:firstLine="0"/>
      <w:jc w:val="center"/>
      <w:outlineLvl w:val="0"/>
    </w:pPr>
    <w:rPr>
      <w:b/>
    </w:rPr>
  </w:style>
  <w:style w:type="paragraph" w:customStyle="1" w:styleId="APAHeading2">
    <w:name w:val="APA Heading 2"/>
    <w:basedOn w:val="APAHeading1"/>
    <w:next w:val="APA"/>
    <w:rsid w:val="004B26B0"/>
    <w:pPr>
      <w:jc w:val="left"/>
      <w:outlineLvl w:val="1"/>
    </w:pPr>
  </w:style>
  <w:style w:type="paragraph" w:customStyle="1" w:styleId="APAHeading3">
    <w:name w:val="APA Heading 3"/>
    <w:basedOn w:val="APAHeading1"/>
    <w:next w:val="APA"/>
    <w:rsid w:val="004B26B0"/>
    <w:pPr>
      <w:ind w:firstLine="720"/>
      <w:jc w:val="left"/>
      <w:outlineLvl w:val="2"/>
    </w:pPr>
  </w:style>
  <w:style w:type="paragraph" w:customStyle="1" w:styleId="APAHeading4">
    <w:name w:val="APA Heading 4"/>
    <w:basedOn w:val="APAHeading1"/>
    <w:next w:val="APA"/>
    <w:rsid w:val="000428F1"/>
    <w:pPr>
      <w:ind w:firstLine="720"/>
      <w:jc w:val="left"/>
      <w:outlineLvl w:val="3"/>
    </w:pPr>
    <w:rPr>
      <w:i/>
    </w:rPr>
  </w:style>
  <w:style w:type="paragraph" w:customStyle="1" w:styleId="APAHeading5">
    <w:name w:val="APA Heading 5"/>
    <w:basedOn w:val="APAHeading1"/>
    <w:next w:val="APA"/>
    <w:rsid w:val="00C53F13"/>
    <w:pPr>
      <w:ind w:firstLine="720"/>
      <w:jc w:val="left"/>
      <w:outlineLvl w:val="4"/>
    </w:pPr>
    <w:rPr>
      <w:b w:val="0"/>
      <w:i/>
    </w:rPr>
  </w:style>
  <w:style w:type="paragraph" w:customStyle="1" w:styleId="APABlockQuote1stpara">
    <w:name w:val="APA Block Quote 1st para"/>
    <w:basedOn w:val="APA"/>
    <w:next w:val="APA"/>
    <w:rsid w:val="00F5004F"/>
    <w:pPr>
      <w:ind w:left="720" w:firstLine="0"/>
    </w:pPr>
  </w:style>
  <w:style w:type="paragraph" w:customStyle="1" w:styleId="APABlockQuoteSubsequentPara">
    <w:name w:val="APA Block Quote Subsequent Para"/>
    <w:basedOn w:val="APA"/>
    <w:next w:val="APA"/>
    <w:rsid w:val="00F5004F"/>
    <w:pPr>
      <w:ind w:left="720"/>
    </w:pPr>
  </w:style>
  <w:style w:type="paragraph" w:customStyle="1" w:styleId="APAAbstract">
    <w:name w:val="APA Abstract"/>
    <w:basedOn w:val="APA"/>
    <w:rsid w:val="001E6595"/>
    <w:pPr>
      <w:ind w:firstLine="0"/>
    </w:pPr>
  </w:style>
  <w:style w:type="paragraph" w:customStyle="1" w:styleId="APARunningHead">
    <w:name w:val="APA Running Head"/>
    <w:basedOn w:val="Normal"/>
    <w:rsid w:val="00F5004F"/>
    <w:pPr>
      <w:overflowPunct w:val="0"/>
      <w:autoSpaceDE w:val="0"/>
      <w:autoSpaceDN w:val="0"/>
      <w:adjustRightInd w:val="0"/>
      <w:spacing w:line="480" w:lineRule="auto"/>
    </w:pPr>
    <w:rPr>
      <w:szCs w:val="20"/>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rsid w:val="00F5004F"/>
    <w:pPr>
      <w:ind w:left="720"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pPr>
      <w:spacing w:line="480" w:lineRule="auto"/>
      <w:ind w:firstLine="720"/>
    </w:pPr>
    <w:rPr>
      <w:sz w:val="24"/>
    </w:rPr>
  </w:style>
  <w:style w:type="paragraph" w:customStyle="1" w:styleId="MLAReference">
    <w:name w:val="MLA Reference"/>
    <w:basedOn w:val="MLA"/>
    <w:rsid w:val="00964BF9"/>
    <w:pPr>
      <w:ind w:left="720"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outlineLvl w:val="0"/>
    </w:pPr>
    <w:rPr>
      <w:b/>
      <w:szCs w:val="24"/>
    </w:rPr>
  </w:style>
  <w:style w:type="paragraph" w:customStyle="1" w:styleId="MLASectionHeading2">
    <w:name w:val="MLA Section Heading 2"/>
    <w:basedOn w:val="MLA"/>
    <w:next w:val="MLA"/>
    <w:rsid w:val="00211BF1"/>
    <w:pPr>
      <w:ind w:firstLine="0"/>
      <w:outlineLvl w:val="1"/>
    </w:pPr>
    <w:rPr>
      <w:i/>
      <w:szCs w:val="24"/>
    </w:rPr>
  </w:style>
  <w:style w:type="paragraph" w:customStyle="1" w:styleId="MLASectionHeading3">
    <w:name w:val="MLA Section Heading 3"/>
    <w:basedOn w:val="MLA"/>
    <w:next w:val="MLA"/>
    <w:rsid w:val="00211BF1"/>
    <w:pPr>
      <w:ind w:firstLine="0"/>
      <w:jc w:val="center"/>
      <w:outlineLvl w:val="2"/>
    </w:pPr>
    <w:rPr>
      <w:b/>
      <w:szCs w:val="24"/>
    </w:rPr>
  </w:style>
  <w:style w:type="paragraph" w:customStyle="1" w:styleId="MLASectionHeading4">
    <w:name w:val="MLA Section Heading 4"/>
    <w:basedOn w:val="MLA"/>
    <w:next w:val="MLA"/>
    <w:rsid w:val="00211BF1"/>
    <w:pPr>
      <w:ind w:firstLine="0"/>
      <w:jc w:val="center"/>
      <w:outlineLvl w:val="3"/>
    </w:pPr>
    <w:rPr>
      <w:i/>
      <w:szCs w:val="24"/>
    </w:rPr>
  </w:style>
  <w:style w:type="paragraph" w:customStyle="1" w:styleId="MLASectionHeading5">
    <w:name w:val="MLA Section Heading 5"/>
    <w:basedOn w:val="MLA"/>
    <w:next w:val="MLA"/>
    <w:rsid w:val="00211BF1"/>
    <w:pPr>
      <w:ind w:firstLine="0"/>
      <w:outlineLvl w:val="4"/>
    </w:pPr>
    <w:rPr>
      <w:szCs w:val="24"/>
      <w:u w:val="single"/>
    </w:rPr>
  </w:style>
  <w:style w:type="paragraph" w:customStyle="1" w:styleId="MLATitleInfo">
    <w:name w:val="MLA Title Info"/>
    <w:basedOn w:val="MLA"/>
    <w:next w:val="MLA"/>
    <w:rsid w:val="00035FF6"/>
    <w:pPr>
      <w:ind w:firstLine="0"/>
    </w:pPr>
  </w:style>
  <w:style w:type="paragraph" w:customStyle="1" w:styleId="APAAnnotation">
    <w:name w:val="APA Annotation"/>
    <w:basedOn w:val="APA"/>
    <w:next w:val="APAReference"/>
    <w:link w:val="APAAnnotationChar"/>
    <w:rsid w:val="0014356D"/>
    <w:pPr>
      <w:spacing w:after="240"/>
      <w:ind w:left="720" w:firstLine="0"/>
    </w:pPr>
  </w:style>
  <w:style w:type="character" w:customStyle="1" w:styleId="APAAnnotationChar">
    <w:name w:val="APA Annotation Char"/>
    <w:link w:val="APAAnnotation"/>
    <w:rsid w:val="0014356D"/>
    <w:rPr>
      <w:sz w:val="24"/>
    </w:rPr>
  </w:style>
  <w:style w:type="paragraph" w:customStyle="1" w:styleId="APAHeadingCenterIncludedInTOC">
    <w:name w:val="APA Heading Center Included In TOC"/>
    <w:basedOn w:val="APA"/>
    <w:next w:val="APA"/>
    <w:link w:val="APAHeadingCenterIncludedInTOCChar"/>
    <w:rsid w:val="0014356D"/>
    <w:pPr>
      <w:ind w:firstLine="0"/>
      <w:jc w:val="center"/>
      <w:outlineLvl w:val="0"/>
    </w:pPr>
  </w:style>
  <w:style w:type="character" w:customStyle="1" w:styleId="APAHeadingCenterIncludedInTOCChar">
    <w:name w:val="APA Heading Center Included In TOC Char"/>
    <w:link w:val="APAHeadingCenterIncludedInTOC"/>
    <w:rsid w:val="0014356D"/>
    <w:rPr>
      <w:sz w:val="24"/>
    </w:rPr>
  </w:style>
  <w:style w:type="paragraph" w:customStyle="1" w:styleId="APAOutlineLevel1">
    <w:name w:val="APA Outline Level 1"/>
    <w:basedOn w:val="APA"/>
    <w:next w:val="APA"/>
    <w:link w:val="APAOutlineLevel1Char"/>
    <w:rsid w:val="0014356D"/>
    <w:pPr>
      <w:spacing w:after="240"/>
      <w:ind w:firstLine="0"/>
    </w:pPr>
  </w:style>
  <w:style w:type="character" w:customStyle="1" w:styleId="APAOutlineLevel1Char">
    <w:name w:val="APA Outline Level 1 Char"/>
    <w:link w:val="APAOutlineLevel1"/>
    <w:rsid w:val="0014356D"/>
    <w:rPr>
      <w:sz w:val="24"/>
    </w:rPr>
  </w:style>
  <w:style w:type="paragraph" w:customStyle="1" w:styleId="APAOutlineLevel2">
    <w:name w:val="APA Outline Level 2"/>
    <w:basedOn w:val="APA"/>
    <w:next w:val="APA"/>
    <w:link w:val="APAOutlineLevel2Char"/>
    <w:rsid w:val="0014356D"/>
    <w:pPr>
      <w:spacing w:after="240"/>
      <w:ind w:left="720" w:firstLine="0"/>
    </w:pPr>
  </w:style>
  <w:style w:type="character" w:customStyle="1" w:styleId="APAOutlineLevel2Char">
    <w:name w:val="APA Outline Level 2 Char"/>
    <w:link w:val="APAOutlineLevel2"/>
    <w:rsid w:val="0014356D"/>
    <w:rPr>
      <w:sz w:val="24"/>
    </w:rPr>
  </w:style>
  <w:style w:type="paragraph" w:customStyle="1" w:styleId="APAOutlineLevel3">
    <w:name w:val="APA Outline Level 3"/>
    <w:basedOn w:val="APA"/>
    <w:next w:val="APA"/>
    <w:link w:val="APAOutlineLevel3Char"/>
    <w:rsid w:val="0014356D"/>
    <w:pPr>
      <w:spacing w:after="240"/>
      <w:ind w:left="1440" w:firstLine="0"/>
    </w:pPr>
  </w:style>
  <w:style w:type="character" w:customStyle="1" w:styleId="APAOutlineLevel3Char">
    <w:name w:val="APA Outline Level 3 Char"/>
    <w:link w:val="APAOutlineLevel3"/>
    <w:rsid w:val="0014356D"/>
    <w:rPr>
      <w:sz w:val="24"/>
    </w:rPr>
  </w:style>
  <w:style w:type="paragraph" w:customStyle="1" w:styleId="APAOutlineLevel4">
    <w:name w:val="APA Outline Level 4"/>
    <w:basedOn w:val="APA"/>
    <w:next w:val="APA"/>
    <w:link w:val="APAOutlineLevel4Char"/>
    <w:rsid w:val="0014356D"/>
    <w:pPr>
      <w:spacing w:after="240"/>
      <w:ind w:left="2160" w:firstLine="0"/>
    </w:pPr>
  </w:style>
  <w:style w:type="character" w:customStyle="1" w:styleId="APAOutlineLevel4Char">
    <w:name w:val="APA Outline Level 4 Char"/>
    <w:link w:val="APAOutlineLevel4"/>
    <w:rsid w:val="0014356D"/>
    <w:rPr>
      <w:sz w:val="24"/>
    </w:rPr>
  </w:style>
  <w:style w:type="paragraph" w:customStyle="1" w:styleId="APAOutlineLevel5">
    <w:name w:val="APA Outline Level 5"/>
    <w:basedOn w:val="APA"/>
    <w:next w:val="APA"/>
    <w:link w:val="APAOutlineLevel5Char"/>
    <w:rsid w:val="0014356D"/>
    <w:pPr>
      <w:spacing w:after="240"/>
      <w:ind w:left="2880" w:firstLine="0"/>
    </w:pPr>
  </w:style>
  <w:style w:type="character" w:customStyle="1" w:styleId="APAOutlineLevel5Char">
    <w:name w:val="APA Outline Level 5 Char"/>
    <w:link w:val="APAOutlineLevel5"/>
    <w:rsid w:val="0014356D"/>
    <w:rPr>
      <w:sz w:val="24"/>
    </w:rPr>
  </w:style>
  <w:style w:type="paragraph" w:customStyle="1" w:styleId="APAOutlineLevel6">
    <w:name w:val="APA Outline Level 6"/>
    <w:basedOn w:val="APA"/>
    <w:next w:val="APA"/>
    <w:link w:val="APAOutlineLevel6Char"/>
    <w:rsid w:val="0014356D"/>
    <w:pPr>
      <w:spacing w:after="240"/>
      <w:ind w:left="3600" w:firstLine="0"/>
    </w:pPr>
  </w:style>
  <w:style w:type="character" w:customStyle="1" w:styleId="APAOutlineLevel6Char">
    <w:name w:val="APA Outline Level 6 Char"/>
    <w:link w:val="APAOutlineLevel6"/>
    <w:rsid w:val="0014356D"/>
    <w:rPr>
      <w:sz w:val="24"/>
    </w:rPr>
  </w:style>
  <w:style w:type="paragraph" w:styleId="CommentText">
    <w:name w:val="annotation text"/>
    <w:basedOn w:val="Normal"/>
    <w:link w:val="CommentTextChar"/>
    <w:uiPriority w:val="99"/>
    <w:unhideWhenUsed/>
    <w:rsid w:val="002155CB"/>
    <w:pPr>
      <w:overflowPunct w:val="0"/>
      <w:autoSpaceDE w:val="0"/>
      <w:autoSpaceDN w:val="0"/>
      <w:adjustRightInd w:val="0"/>
    </w:pPr>
    <w:rPr>
      <w:sz w:val="20"/>
      <w:szCs w:val="20"/>
    </w:rPr>
  </w:style>
  <w:style w:type="character" w:customStyle="1" w:styleId="CommentTextChar">
    <w:name w:val="Comment Text Char"/>
    <w:basedOn w:val="DefaultParagraphFont"/>
    <w:link w:val="CommentText"/>
    <w:uiPriority w:val="99"/>
    <w:rsid w:val="002155CB"/>
  </w:style>
  <w:style w:type="character" w:styleId="CommentReference">
    <w:name w:val="annotation reference"/>
    <w:uiPriority w:val="99"/>
    <w:unhideWhenUsed/>
    <w:rsid w:val="002155CB"/>
    <w:rPr>
      <w:sz w:val="16"/>
      <w:szCs w:val="16"/>
    </w:rPr>
  </w:style>
  <w:style w:type="paragraph" w:styleId="BalloonText">
    <w:name w:val="Balloon Text"/>
    <w:basedOn w:val="Normal"/>
    <w:link w:val="BalloonTextChar"/>
    <w:semiHidden/>
    <w:unhideWhenUsed/>
    <w:rsid w:val="002155CB"/>
    <w:pPr>
      <w:overflowPunct w:val="0"/>
      <w:autoSpaceDE w:val="0"/>
      <w:autoSpaceDN w:val="0"/>
      <w:adjustRightInd w:val="0"/>
    </w:pPr>
    <w:rPr>
      <w:rFonts w:ascii="Segoe UI" w:hAnsi="Segoe UI" w:cs="Segoe UI"/>
      <w:sz w:val="18"/>
      <w:szCs w:val="18"/>
    </w:rPr>
  </w:style>
  <w:style w:type="character" w:customStyle="1" w:styleId="BalloonTextChar">
    <w:name w:val="Balloon Text Char"/>
    <w:link w:val="BalloonText"/>
    <w:semiHidden/>
    <w:rsid w:val="002155CB"/>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4F3B06"/>
    <w:rPr>
      <w:b/>
      <w:bCs/>
    </w:rPr>
  </w:style>
  <w:style w:type="character" w:customStyle="1" w:styleId="CommentSubjectChar">
    <w:name w:val="Comment Subject Char"/>
    <w:basedOn w:val="CommentTextChar"/>
    <w:link w:val="CommentSubject"/>
    <w:semiHidden/>
    <w:rsid w:val="004F3B06"/>
    <w:rPr>
      <w:b/>
      <w:bCs/>
    </w:rPr>
  </w:style>
  <w:style w:type="table" w:styleId="TableGrid">
    <w:name w:val="Table Grid"/>
    <w:basedOn w:val="TableNormal"/>
    <w:rsid w:val="00447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474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4746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47460"/>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Accent11">
    <w:name w:val="Light List - Accent 11"/>
    <w:basedOn w:val="TableNormal"/>
    <w:uiPriority w:val="61"/>
    <w:rsid w:val="0019537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19537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Shading1-Accent11">
    <w:name w:val="Medium Shading 1 - Accent 11"/>
    <w:basedOn w:val="TableNormal"/>
    <w:uiPriority w:val="63"/>
    <w:rsid w:val="0019537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290B2D"/>
  </w:style>
  <w:style w:type="paragraph" w:styleId="ListParagraph">
    <w:name w:val="List Paragraph"/>
    <w:basedOn w:val="Normal"/>
    <w:uiPriority w:val="34"/>
    <w:qFormat/>
    <w:rsid w:val="00085EFA"/>
    <w:pPr>
      <w:spacing w:after="200" w:line="480"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9F5462"/>
    <w:rPr>
      <w:b/>
      <w:bCs/>
    </w:rPr>
  </w:style>
  <w:style w:type="paragraph" w:customStyle="1" w:styleId="xmsonormal">
    <w:name w:val="x_msonormal"/>
    <w:basedOn w:val="Normal"/>
    <w:rsid w:val="00884B90"/>
    <w:pPr>
      <w:spacing w:before="100" w:beforeAutospacing="1" w:after="100" w:afterAutospacing="1"/>
    </w:pPr>
  </w:style>
  <w:style w:type="character" w:styleId="Hyperlink">
    <w:name w:val="Hyperlink"/>
    <w:basedOn w:val="DefaultParagraphFont"/>
    <w:uiPriority w:val="99"/>
    <w:unhideWhenUsed/>
    <w:rsid w:val="00ED1708"/>
    <w:rPr>
      <w:color w:val="0000FF"/>
      <w:u w:val="single"/>
    </w:rPr>
  </w:style>
  <w:style w:type="paragraph" w:styleId="NormalWeb">
    <w:name w:val="Normal (Web)"/>
    <w:basedOn w:val="Normal"/>
    <w:uiPriority w:val="99"/>
    <w:unhideWhenUsed/>
    <w:rsid w:val="0054682E"/>
    <w:pPr>
      <w:spacing w:before="100" w:beforeAutospacing="1" w:after="100" w:afterAutospacing="1"/>
    </w:pPr>
  </w:style>
  <w:style w:type="character" w:customStyle="1" w:styleId="Heading1Char">
    <w:name w:val="Heading 1 Char"/>
    <w:basedOn w:val="DefaultParagraphFont"/>
    <w:link w:val="Heading1"/>
    <w:uiPriority w:val="9"/>
    <w:rsid w:val="001F4C4B"/>
    <w:rPr>
      <w:sz w:val="24"/>
      <w:szCs w:val="24"/>
    </w:rPr>
  </w:style>
  <w:style w:type="character" w:styleId="Emphasis">
    <w:name w:val="Emphasis"/>
    <w:basedOn w:val="DefaultParagraphFont"/>
    <w:uiPriority w:val="20"/>
    <w:qFormat/>
    <w:rsid w:val="003A55CE"/>
    <w:rPr>
      <w:i/>
      <w:iCs/>
    </w:rPr>
  </w:style>
  <w:style w:type="character" w:customStyle="1" w:styleId="Heading4Char">
    <w:name w:val="Heading 4 Char"/>
    <w:basedOn w:val="DefaultParagraphFont"/>
    <w:link w:val="Heading4"/>
    <w:rsid w:val="000C2B93"/>
    <w:rPr>
      <w:rFonts w:asciiTheme="majorHAnsi" w:eastAsiaTheme="majorEastAsia" w:hAnsiTheme="majorHAnsi" w:cstheme="majorBidi"/>
      <w:i/>
      <w:iCs/>
      <w:color w:val="365F91" w:themeColor="accent1" w:themeShade="BF"/>
      <w:sz w:val="24"/>
      <w:szCs w:val="24"/>
    </w:rPr>
  </w:style>
  <w:style w:type="character" w:customStyle="1" w:styleId="apple-converted-space">
    <w:name w:val="apple-converted-space"/>
    <w:basedOn w:val="DefaultParagraphFont"/>
    <w:rsid w:val="000C2B93"/>
  </w:style>
  <w:style w:type="character" w:styleId="FollowedHyperlink">
    <w:name w:val="FollowedHyperlink"/>
    <w:basedOn w:val="DefaultParagraphFont"/>
    <w:semiHidden/>
    <w:unhideWhenUsed/>
    <w:rsid w:val="00EB14CD"/>
    <w:rPr>
      <w:color w:val="800080" w:themeColor="followedHyperlink"/>
      <w:u w:val="single"/>
    </w:rPr>
  </w:style>
  <w:style w:type="character" w:customStyle="1" w:styleId="highlight">
    <w:name w:val="highlight"/>
    <w:basedOn w:val="DefaultParagraphFont"/>
    <w:rsid w:val="008F5C4F"/>
  </w:style>
  <w:style w:type="character" w:customStyle="1" w:styleId="current-selection">
    <w:name w:val="current-selection"/>
    <w:basedOn w:val="DefaultParagraphFont"/>
    <w:rsid w:val="00052F41"/>
  </w:style>
  <w:style w:type="paragraph" w:customStyle="1" w:styleId="p">
    <w:name w:val="p"/>
    <w:basedOn w:val="Normal"/>
    <w:rsid w:val="00006015"/>
    <w:pPr>
      <w:spacing w:before="100" w:beforeAutospacing="1" w:after="100" w:afterAutospacing="1"/>
    </w:pPr>
  </w:style>
  <w:style w:type="table" w:styleId="GridTable1Light-Accent1">
    <w:name w:val="Grid Table 1 Light Accent 1"/>
    <w:basedOn w:val="TableNormal"/>
    <w:uiPriority w:val="4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B55750"/>
    <w:rPr>
      <w:color w:val="605E5C"/>
      <w:shd w:val="clear" w:color="auto" w:fill="E1DFDD"/>
    </w:rPr>
  </w:style>
  <w:style w:type="paragraph" w:customStyle="1" w:styleId="paragraph">
    <w:name w:val="paragraph"/>
    <w:basedOn w:val="Normal"/>
    <w:rsid w:val="00610AD2"/>
    <w:pPr>
      <w:spacing w:before="100" w:beforeAutospacing="1" w:after="100" w:afterAutospacing="1"/>
    </w:pPr>
  </w:style>
  <w:style w:type="character" w:customStyle="1" w:styleId="normaltextrun">
    <w:name w:val="normaltextrun"/>
    <w:basedOn w:val="DefaultParagraphFont"/>
    <w:rsid w:val="00610AD2"/>
  </w:style>
  <w:style w:type="character" w:customStyle="1" w:styleId="eop">
    <w:name w:val="eop"/>
    <w:basedOn w:val="DefaultParagraphFont"/>
    <w:rsid w:val="00610AD2"/>
  </w:style>
  <w:style w:type="character" w:customStyle="1" w:styleId="contextualspellingandgrammarerror">
    <w:name w:val="contextualspellingandgrammarerror"/>
    <w:basedOn w:val="DefaultParagraphFont"/>
    <w:rsid w:val="00610AD2"/>
  </w:style>
  <w:style w:type="character" w:customStyle="1" w:styleId="spellingerror">
    <w:name w:val="spellingerror"/>
    <w:basedOn w:val="DefaultParagraphFont"/>
    <w:rsid w:val="00610AD2"/>
  </w:style>
  <w:style w:type="paragraph" w:customStyle="1" w:styleId="DecimalAligned">
    <w:name w:val="Decimal Aligned"/>
    <w:basedOn w:val="Normal"/>
    <w:uiPriority w:val="40"/>
    <w:qFormat/>
    <w:rsid w:val="007F5BB1"/>
    <w:pPr>
      <w:tabs>
        <w:tab w:val="decimal" w:pos="360"/>
      </w:tabs>
      <w:spacing w:after="200" w:line="276" w:lineRule="auto"/>
    </w:pPr>
    <w:rPr>
      <w:rFonts w:asciiTheme="minorHAnsi" w:eastAsiaTheme="minorEastAsia" w:hAnsiTheme="minorHAnsi"/>
      <w:sz w:val="22"/>
      <w:szCs w:val="22"/>
    </w:rPr>
  </w:style>
  <w:style w:type="table" w:styleId="MediumShading2-Accent5">
    <w:name w:val="Medium Shading 2 Accent 5"/>
    <w:basedOn w:val="TableNormal"/>
    <w:uiPriority w:val="64"/>
    <w:rsid w:val="007F5BB1"/>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0">
    <w:name w:val="TableGrid"/>
    <w:rsid w:val="003A38F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7584">
      <w:bodyDiv w:val="1"/>
      <w:marLeft w:val="0"/>
      <w:marRight w:val="0"/>
      <w:marTop w:val="0"/>
      <w:marBottom w:val="0"/>
      <w:divBdr>
        <w:top w:val="none" w:sz="0" w:space="0" w:color="auto"/>
        <w:left w:val="none" w:sz="0" w:space="0" w:color="auto"/>
        <w:bottom w:val="none" w:sz="0" w:space="0" w:color="auto"/>
        <w:right w:val="none" w:sz="0" w:space="0" w:color="auto"/>
      </w:divBdr>
    </w:div>
    <w:div w:id="18749785">
      <w:bodyDiv w:val="1"/>
      <w:marLeft w:val="0"/>
      <w:marRight w:val="0"/>
      <w:marTop w:val="0"/>
      <w:marBottom w:val="0"/>
      <w:divBdr>
        <w:top w:val="none" w:sz="0" w:space="0" w:color="auto"/>
        <w:left w:val="none" w:sz="0" w:space="0" w:color="auto"/>
        <w:bottom w:val="none" w:sz="0" w:space="0" w:color="auto"/>
        <w:right w:val="none" w:sz="0" w:space="0" w:color="auto"/>
      </w:divBdr>
    </w:div>
    <w:div w:id="30112470">
      <w:bodyDiv w:val="1"/>
      <w:marLeft w:val="0"/>
      <w:marRight w:val="0"/>
      <w:marTop w:val="0"/>
      <w:marBottom w:val="0"/>
      <w:divBdr>
        <w:top w:val="none" w:sz="0" w:space="0" w:color="auto"/>
        <w:left w:val="none" w:sz="0" w:space="0" w:color="auto"/>
        <w:bottom w:val="none" w:sz="0" w:space="0" w:color="auto"/>
        <w:right w:val="none" w:sz="0" w:space="0" w:color="auto"/>
      </w:divBdr>
      <w:divsChild>
        <w:div w:id="1976714708">
          <w:marLeft w:val="0"/>
          <w:marRight w:val="0"/>
          <w:marTop w:val="0"/>
          <w:marBottom w:val="0"/>
          <w:divBdr>
            <w:top w:val="none" w:sz="0" w:space="0" w:color="auto"/>
            <w:left w:val="none" w:sz="0" w:space="0" w:color="auto"/>
            <w:bottom w:val="none" w:sz="0" w:space="0" w:color="auto"/>
            <w:right w:val="none" w:sz="0" w:space="0" w:color="auto"/>
          </w:divBdr>
          <w:divsChild>
            <w:div w:id="1647006852">
              <w:marLeft w:val="0"/>
              <w:marRight w:val="0"/>
              <w:marTop w:val="0"/>
              <w:marBottom w:val="0"/>
              <w:divBdr>
                <w:top w:val="none" w:sz="0" w:space="0" w:color="auto"/>
                <w:left w:val="none" w:sz="0" w:space="0" w:color="auto"/>
                <w:bottom w:val="none" w:sz="0" w:space="0" w:color="auto"/>
                <w:right w:val="none" w:sz="0" w:space="0" w:color="auto"/>
              </w:divBdr>
              <w:divsChild>
                <w:div w:id="1856651678">
                  <w:marLeft w:val="0"/>
                  <w:marRight w:val="0"/>
                  <w:marTop w:val="0"/>
                  <w:marBottom w:val="0"/>
                  <w:divBdr>
                    <w:top w:val="none" w:sz="0" w:space="0" w:color="auto"/>
                    <w:left w:val="none" w:sz="0" w:space="0" w:color="auto"/>
                    <w:bottom w:val="none" w:sz="0" w:space="0" w:color="auto"/>
                    <w:right w:val="none" w:sz="0" w:space="0" w:color="auto"/>
                  </w:divBdr>
                  <w:divsChild>
                    <w:div w:id="13545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6799">
      <w:bodyDiv w:val="1"/>
      <w:marLeft w:val="0"/>
      <w:marRight w:val="0"/>
      <w:marTop w:val="0"/>
      <w:marBottom w:val="0"/>
      <w:divBdr>
        <w:top w:val="none" w:sz="0" w:space="0" w:color="auto"/>
        <w:left w:val="none" w:sz="0" w:space="0" w:color="auto"/>
        <w:bottom w:val="none" w:sz="0" w:space="0" w:color="auto"/>
        <w:right w:val="none" w:sz="0" w:space="0" w:color="auto"/>
      </w:divBdr>
      <w:divsChild>
        <w:div w:id="1054694703">
          <w:marLeft w:val="0"/>
          <w:marRight w:val="0"/>
          <w:marTop w:val="0"/>
          <w:marBottom w:val="0"/>
          <w:divBdr>
            <w:top w:val="none" w:sz="0" w:space="0" w:color="auto"/>
            <w:left w:val="none" w:sz="0" w:space="0" w:color="auto"/>
            <w:bottom w:val="none" w:sz="0" w:space="0" w:color="auto"/>
            <w:right w:val="none" w:sz="0" w:space="0" w:color="auto"/>
          </w:divBdr>
          <w:divsChild>
            <w:div w:id="52435751">
              <w:marLeft w:val="0"/>
              <w:marRight w:val="0"/>
              <w:marTop w:val="0"/>
              <w:marBottom w:val="0"/>
              <w:divBdr>
                <w:top w:val="none" w:sz="0" w:space="0" w:color="auto"/>
                <w:left w:val="none" w:sz="0" w:space="0" w:color="auto"/>
                <w:bottom w:val="none" w:sz="0" w:space="0" w:color="auto"/>
                <w:right w:val="none" w:sz="0" w:space="0" w:color="auto"/>
              </w:divBdr>
              <w:divsChild>
                <w:div w:id="1185945395">
                  <w:marLeft w:val="0"/>
                  <w:marRight w:val="0"/>
                  <w:marTop w:val="0"/>
                  <w:marBottom w:val="0"/>
                  <w:divBdr>
                    <w:top w:val="none" w:sz="0" w:space="0" w:color="auto"/>
                    <w:left w:val="none" w:sz="0" w:space="0" w:color="auto"/>
                    <w:bottom w:val="none" w:sz="0" w:space="0" w:color="auto"/>
                    <w:right w:val="none" w:sz="0" w:space="0" w:color="auto"/>
                  </w:divBdr>
                  <w:divsChild>
                    <w:div w:id="20814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8123">
      <w:bodyDiv w:val="1"/>
      <w:marLeft w:val="0"/>
      <w:marRight w:val="0"/>
      <w:marTop w:val="0"/>
      <w:marBottom w:val="0"/>
      <w:divBdr>
        <w:top w:val="none" w:sz="0" w:space="0" w:color="auto"/>
        <w:left w:val="none" w:sz="0" w:space="0" w:color="auto"/>
        <w:bottom w:val="none" w:sz="0" w:space="0" w:color="auto"/>
        <w:right w:val="none" w:sz="0" w:space="0" w:color="auto"/>
      </w:divBdr>
    </w:div>
    <w:div w:id="73940486">
      <w:bodyDiv w:val="1"/>
      <w:marLeft w:val="0"/>
      <w:marRight w:val="0"/>
      <w:marTop w:val="0"/>
      <w:marBottom w:val="0"/>
      <w:divBdr>
        <w:top w:val="none" w:sz="0" w:space="0" w:color="auto"/>
        <w:left w:val="none" w:sz="0" w:space="0" w:color="auto"/>
        <w:bottom w:val="none" w:sz="0" w:space="0" w:color="auto"/>
        <w:right w:val="none" w:sz="0" w:space="0" w:color="auto"/>
      </w:divBdr>
    </w:div>
    <w:div w:id="92942642">
      <w:bodyDiv w:val="1"/>
      <w:marLeft w:val="0"/>
      <w:marRight w:val="0"/>
      <w:marTop w:val="0"/>
      <w:marBottom w:val="0"/>
      <w:divBdr>
        <w:top w:val="none" w:sz="0" w:space="0" w:color="auto"/>
        <w:left w:val="none" w:sz="0" w:space="0" w:color="auto"/>
        <w:bottom w:val="none" w:sz="0" w:space="0" w:color="auto"/>
        <w:right w:val="none" w:sz="0" w:space="0" w:color="auto"/>
      </w:divBdr>
    </w:div>
    <w:div w:id="109209786">
      <w:bodyDiv w:val="1"/>
      <w:marLeft w:val="0"/>
      <w:marRight w:val="0"/>
      <w:marTop w:val="0"/>
      <w:marBottom w:val="0"/>
      <w:divBdr>
        <w:top w:val="none" w:sz="0" w:space="0" w:color="auto"/>
        <w:left w:val="none" w:sz="0" w:space="0" w:color="auto"/>
        <w:bottom w:val="none" w:sz="0" w:space="0" w:color="auto"/>
        <w:right w:val="none" w:sz="0" w:space="0" w:color="auto"/>
      </w:divBdr>
      <w:divsChild>
        <w:div w:id="1876232076">
          <w:marLeft w:val="0"/>
          <w:marRight w:val="0"/>
          <w:marTop w:val="0"/>
          <w:marBottom w:val="0"/>
          <w:divBdr>
            <w:top w:val="none" w:sz="0" w:space="0" w:color="auto"/>
            <w:left w:val="none" w:sz="0" w:space="0" w:color="auto"/>
            <w:bottom w:val="none" w:sz="0" w:space="0" w:color="auto"/>
            <w:right w:val="none" w:sz="0" w:space="0" w:color="auto"/>
          </w:divBdr>
          <w:divsChild>
            <w:div w:id="488592746">
              <w:marLeft w:val="0"/>
              <w:marRight w:val="0"/>
              <w:marTop w:val="0"/>
              <w:marBottom w:val="0"/>
              <w:divBdr>
                <w:top w:val="none" w:sz="0" w:space="0" w:color="auto"/>
                <w:left w:val="none" w:sz="0" w:space="0" w:color="auto"/>
                <w:bottom w:val="none" w:sz="0" w:space="0" w:color="auto"/>
                <w:right w:val="none" w:sz="0" w:space="0" w:color="auto"/>
              </w:divBdr>
              <w:divsChild>
                <w:div w:id="2500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0120">
      <w:bodyDiv w:val="1"/>
      <w:marLeft w:val="0"/>
      <w:marRight w:val="0"/>
      <w:marTop w:val="0"/>
      <w:marBottom w:val="0"/>
      <w:divBdr>
        <w:top w:val="none" w:sz="0" w:space="0" w:color="auto"/>
        <w:left w:val="none" w:sz="0" w:space="0" w:color="auto"/>
        <w:bottom w:val="none" w:sz="0" w:space="0" w:color="auto"/>
        <w:right w:val="none" w:sz="0" w:space="0" w:color="auto"/>
      </w:divBdr>
    </w:div>
    <w:div w:id="162207820">
      <w:bodyDiv w:val="1"/>
      <w:marLeft w:val="0"/>
      <w:marRight w:val="0"/>
      <w:marTop w:val="0"/>
      <w:marBottom w:val="0"/>
      <w:divBdr>
        <w:top w:val="none" w:sz="0" w:space="0" w:color="auto"/>
        <w:left w:val="none" w:sz="0" w:space="0" w:color="auto"/>
        <w:bottom w:val="none" w:sz="0" w:space="0" w:color="auto"/>
        <w:right w:val="none" w:sz="0" w:space="0" w:color="auto"/>
      </w:divBdr>
    </w:div>
    <w:div w:id="181942653">
      <w:bodyDiv w:val="1"/>
      <w:marLeft w:val="0"/>
      <w:marRight w:val="0"/>
      <w:marTop w:val="0"/>
      <w:marBottom w:val="0"/>
      <w:divBdr>
        <w:top w:val="none" w:sz="0" w:space="0" w:color="auto"/>
        <w:left w:val="none" w:sz="0" w:space="0" w:color="auto"/>
        <w:bottom w:val="none" w:sz="0" w:space="0" w:color="auto"/>
        <w:right w:val="none" w:sz="0" w:space="0" w:color="auto"/>
      </w:divBdr>
    </w:div>
    <w:div w:id="187836259">
      <w:bodyDiv w:val="1"/>
      <w:marLeft w:val="0"/>
      <w:marRight w:val="0"/>
      <w:marTop w:val="0"/>
      <w:marBottom w:val="0"/>
      <w:divBdr>
        <w:top w:val="none" w:sz="0" w:space="0" w:color="auto"/>
        <w:left w:val="none" w:sz="0" w:space="0" w:color="auto"/>
        <w:bottom w:val="none" w:sz="0" w:space="0" w:color="auto"/>
        <w:right w:val="none" w:sz="0" w:space="0" w:color="auto"/>
      </w:divBdr>
    </w:div>
    <w:div w:id="189101764">
      <w:bodyDiv w:val="1"/>
      <w:marLeft w:val="0"/>
      <w:marRight w:val="0"/>
      <w:marTop w:val="0"/>
      <w:marBottom w:val="0"/>
      <w:divBdr>
        <w:top w:val="none" w:sz="0" w:space="0" w:color="auto"/>
        <w:left w:val="none" w:sz="0" w:space="0" w:color="auto"/>
        <w:bottom w:val="none" w:sz="0" w:space="0" w:color="auto"/>
        <w:right w:val="none" w:sz="0" w:space="0" w:color="auto"/>
      </w:divBdr>
      <w:divsChild>
        <w:div w:id="2137870006">
          <w:marLeft w:val="0"/>
          <w:marRight w:val="0"/>
          <w:marTop w:val="0"/>
          <w:marBottom w:val="0"/>
          <w:divBdr>
            <w:top w:val="none" w:sz="0" w:space="0" w:color="auto"/>
            <w:left w:val="none" w:sz="0" w:space="0" w:color="auto"/>
            <w:bottom w:val="none" w:sz="0" w:space="0" w:color="auto"/>
            <w:right w:val="none" w:sz="0" w:space="0" w:color="auto"/>
          </w:divBdr>
        </w:div>
        <w:div w:id="1048383648">
          <w:marLeft w:val="0"/>
          <w:marRight w:val="0"/>
          <w:marTop w:val="0"/>
          <w:marBottom w:val="0"/>
          <w:divBdr>
            <w:top w:val="none" w:sz="0" w:space="0" w:color="auto"/>
            <w:left w:val="none" w:sz="0" w:space="0" w:color="auto"/>
            <w:bottom w:val="none" w:sz="0" w:space="0" w:color="auto"/>
            <w:right w:val="none" w:sz="0" w:space="0" w:color="auto"/>
          </w:divBdr>
        </w:div>
        <w:div w:id="1537035509">
          <w:marLeft w:val="0"/>
          <w:marRight w:val="0"/>
          <w:marTop w:val="0"/>
          <w:marBottom w:val="0"/>
          <w:divBdr>
            <w:top w:val="none" w:sz="0" w:space="0" w:color="auto"/>
            <w:left w:val="none" w:sz="0" w:space="0" w:color="auto"/>
            <w:bottom w:val="none" w:sz="0" w:space="0" w:color="auto"/>
            <w:right w:val="none" w:sz="0" w:space="0" w:color="auto"/>
          </w:divBdr>
        </w:div>
        <w:div w:id="2068646480">
          <w:marLeft w:val="0"/>
          <w:marRight w:val="0"/>
          <w:marTop w:val="0"/>
          <w:marBottom w:val="0"/>
          <w:divBdr>
            <w:top w:val="none" w:sz="0" w:space="0" w:color="auto"/>
            <w:left w:val="none" w:sz="0" w:space="0" w:color="auto"/>
            <w:bottom w:val="none" w:sz="0" w:space="0" w:color="auto"/>
            <w:right w:val="none" w:sz="0" w:space="0" w:color="auto"/>
          </w:divBdr>
        </w:div>
        <w:div w:id="859245761">
          <w:marLeft w:val="0"/>
          <w:marRight w:val="0"/>
          <w:marTop w:val="0"/>
          <w:marBottom w:val="0"/>
          <w:divBdr>
            <w:top w:val="none" w:sz="0" w:space="0" w:color="auto"/>
            <w:left w:val="none" w:sz="0" w:space="0" w:color="auto"/>
            <w:bottom w:val="none" w:sz="0" w:space="0" w:color="auto"/>
            <w:right w:val="none" w:sz="0" w:space="0" w:color="auto"/>
          </w:divBdr>
        </w:div>
        <w:div w:id="1476096694">
          <w:marLeft w:val="0"/>
          <w:marRight w:val="0"/>
          <w:marTop w:val="0"/>
          <w:marBottom w:val="0"/>
          <w:divBdr>
            <w:top w:val="none" w:sz="0" w:space="0" w:color="auto"/>
            <w:left w:val="none" w:sz="0" w:space="0" w:color="auto"/>
            <w:bottom w:val="none" w:sz="0" w:space="0" w:color="auto"/>
            <w:right w:val="none" w:sz="0" w:space="0" w:color="auto"/>
          </w:divBdr>
        </w:div>
        <w:div w:id="1564367088">
          <w:marLeft w:val="0"/>
          <w:marRight w:val="0"/>
          <w:marTop w:val="0"/>
          <w:marBottom w:val="0"/>
          <w:divBdr>
            <w:top w:val="none" w:sz="0" w:space="0" w:color="auto"/>
            <w:left w:val="none" w:sz="0" w:space="0" w:color="auto"/>
            <w:bottom w:val="none" w:sz="0" w:space="0" w:color="auto"/>
            <w:right w:val="none" w:sz="0" w:space="0" w:color="auto"/>
          </w:divBdr>
        </w:div>
      </w:divsChild>
    </w:div>
    <w:div w:id="204996908">
      <w:bodyDiv w:val="1"/>
      <w:marLeft w:val="0"/>
      <w:marRight w:val="0"/>
      <w:marTop w:val="0"/>
      <w:marBottom w:val="0"/>
      <w:divBdr>
        <w:top w:val="none" w:sz="0" w:space="0" w:color="auto"/>
        <w:left w:val="none" w:sz="0" w:space="0" w:color="auto"/>
        <w:bottom w:val="none" w:sz="0" w:space="0" w:color="auto"/>
        <w:right w:val="none" w:sz="0" w:space="0" w:color="auto"/>
      </w:divBdr>
    </w:div>
    <w:div w:id="205146152">
      <w:bodyDiv w:val="1"/>
      <w:marLeft w:val="0"/>
      <w:marRight w:val="0"/>
      <w:marTop w:val="0"/>
      <w:marBottom w:val="0"/>
      <w:divBdr>
        <w:top w:val="none" w:sz="0" w:space="0" w:color="auto"/>
        <w:left w:val="none" w:sz="0" w:space="0" w:color="auto"/>
        <w:bottom w:val="none" w:sz="0" w:space="0" w:color="auto"/>
        <w:right w:val="none" w:sz="0" w:space="0" w:color="auto"/>
      </w:divBdr>
    </w:div>
    <w:div w:id="207188346">
      <w:bodyDiv w:val="1"/>
      <w:marLeft w:val="0"/>
      <w:marRight w:val="0"/>
      <w:marTop w:val="0"/>
      <w:marBottom w:val="0"/>
      <w:divBdr>
        <w:top w:val="none" w:sz="0" w:space="0" w:color="auto"/>
        <w:left w:val="none" w:sz="0" w:space="0" w:color="auto"/>
        <w:bottom w:val="none" w:sz="0" w:space="0" w:color="auto"/>
        <w:right w:val="none" w:sz="0" w:space="0" w:color="auto"/>
      </w:divBdr>
    </w:div>
    <w:div w:id="209923332">
      <w:bodyDiv w:val="1"/>
      <w:marLeft w:val="0"/>
      <w:marRight w:val="0"/>
      <w:marTop w:val="0"/>
      <w:marBottom w:val="0"/>
      <w:divBdr>
        <w:top w:val="none" w:sz="0" w:space="0" w:color="auto"/>
        <w:left w:val="none" w:sz="0" w:space="0" w:color="auto"/>
        <w:bottom w:val="none" w:sz="0" w:space="0" w:color="auto"/>
        <w:right w:val="none" w:sz="0" w:space="0" w:color="auto"/>
      </w:divBdr>
      <w:divsChild>
        <w:div w:id="977955281">
          <w:marLeft w:val="0"/>
          <w:marRight w:val="0"/>
          <w:marTop w:val="0"/>
          <w:marBottom w:val="0"/>
          <w:divBdr>
            <w:top w:val="none" w:sz="0" w:space="0" w:color="auto"/>
            <w:left w:val="none" w:sz="0" w:space="0" w:color="auto"/>
            <w:bottom w:val="none" w:sz="0" w:space="0" w:color="auto"/>
            <w:right w:val="none" w:sz="0" w:space="0" w:color="auto"/>
          </w:divBdr>
          <w:divsChild>
            <w:div w:id="637803710">
              <w:marLeft w:val="0"/>
              <w:marRight w:val="0"/>
              <w:marTop w:val="0"/>
              <w:marBottom w:val="0"/>
              <w:divBdr>
                <w:top w:val="none" w:sz="0" w:space="0" w:color="auto"/>
                <w:left w:val="none" w:sz="0" w:space="0" w:color="auto"/>
                <w:bottom w:val="none" w:sz="0" w:space="0" w:color="auto"/>
                <w:right w:val="none" w:sz="0" w:space="0" w:color="auto"/>
              </w:divBdr>
              <w:divsChild>
                <w:div w:id="1865745606">
                  <w:marLeft w:val="0"/>
                  <w:marRight w:val="0"/>
                  <w:marTop w:val="0"/>
                  <w:marBottom w:val="0"/>
                  <w:divBdr>
                    <w:top w:val="none" w:sz="0" w:space="0" w:color="auto"/>
                    <w:left w:val="none" w:sz="0" w:space="0" w:color="auto"/>
                    <w:bottom w:val="none" w:sz="0" w:space="0" w:color="auto"/>
                    <w:right w:val="none" w:sz="0" w:space="0" w:color="auto"/>
                  </w:divBdr>
                  <w:divsChild>
                    <w:div w:id="8160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049">
      <w:bodyDiv w:val="1"/>
      <w:marLeft w:val="0"/>
      <w:marRight w:val="0"/>
      <w:marTop w:val="0"/>
      <w:marBottom w:val="0"/>
      <w:divBdr>
        <w:top w:val="none" w:sz="0" w:space="0" w:color="auto"/>
        <w:left w:val="none" w:sz="0" w:space="0" w:color="auto"/>
        <w:bottom w:val="none" w:sz="0" w:space="0" w:color="auto"/>
        <w:right w:val="none" w:sz="0" w:space="0" w:color="auto"/>
      </w:divBdr>
    </w:div>
    <w:div w:id="229924683">
      <w:bodyDiv w:val="1"/>
      <w:marLeft w:val="0"/>
      <w:marRight w:val="0"/>
      <w:marTop w:val="0"/>
      <w:marBottom w:val="0"/>
      <w:divBdr>
        <w:top w:val="none" w:sz="0" w:space="0" w:color="auto"/>
        <w:left w:val="none" w:sz="0" w:space="0" w:color="auto"/>
        <w:bottom w:val="none" w:sz="0" w:space="0" w:color="auto"/>
        <w:right w:val="none" w:sz="0" w:space="0" w:color="auto"/>
      </w:divBdr>
    </w:div>
    <w:div w:id="232131439">
      <w:bodyDiv w:val="1"/>
      <w:marLeft w:val="0"/>
      <w:marRight w:val="0"/>
      <w:marTop w:val="0"/>
      <w:marBottom w:val="0"/>
      <w:divBdr>
        <w:top w:val="none" w:sz="0" w:space="0" w:color="auto"/>
        <w:left w:val="none" w:sz="0" w:space="0" w:color="auto"/>
        <w:bottom w:val="none" w:sz="0" w:space="0" w:color="auto"/>
        <w:right w:val="none" w:sz="0" w:space="0" w:color="auto"/>
      </w:divBdr>
    </w:div>
    <w:div w:id="261228582">
      <w:bodyDiv w:val="1"/>
      <w:marLeft w:val="0"/>
      <w:marRight w:val="0"/>
      <w:marTop w:val="0"/>
      <w:marBottom w:val="0"/>
      <w:divBdr>
        <w:top w:val="none" w:sz="0" w:space="0" w:color="auto"/>
        <w:left w:val="none" w:sz="0" w:space="0" w:color="auto"/>
        <w:bottom w:val="none" w:sz="0" w:space="0" w:color="auto"/>
        <w:right w:val="none" w:sz="0" w:space="0" w:color="auto"/>
      </w:divBdr>
    </w:div>
    <w:div w:id="263194271">
      <w:bodyDiv w:val="1"/>
      <w:marLeft w:val="0"/>
      <w:marRight w:val="0"/>
      <w:marTop w:val="0"/>
      <w:marBottom w:val="0"/>
      <w:divBdr>
        <w:top w:val="none" w:sz="0" w:space="0" w:color="auto"/>
        <w:left w:val="none" w:sz="0" w:space="0" w:color="auto"/>
        <w:bottom w:val="none" w:sz="0" w:space="0" w:color="auto"/>
        <w:right w:val="none" w:sz="0" w:space="0" w:color="auto"/>
      </w:divBdr>
    </w:div>
    <w:div w:id="268513617">
      <w:bodyDiv w:val="1"/>
      <w:marLeft w:val="0"/>
      <w:marRight w:val="0"/>
      <w:marTop w:val="0"/>
      <w:marBottom w:val="0"/>
      <w:divBdr>
        <w:top w:val="none" w:sz="0" w:space="0" w:color="auto"/>
        <w:left w:val="none" w:sz="0" w:space="0" w:color="auto"/>
        <w:bottom w:val="none" w:sz="0" w:space="0" w:color="auto"/>
        <w:right w:val="none" w:sz="0" w:space="0" w:color="auto"/>
      </w:divBdr>
    </w:div>
    <w:div w:id="297418981">
      <w:bodyDiv w:val="1"/>
      <w:marLeft w:val="0"/>
      <w:marRight w:val="0"/>
      <w:marTop w:val="0"/>
      <w:marBottom w:val="0"/>
      <w:divBdr>
        <w:top w:val="none" w:sz="0" w:space="0" w:color="auto"/>
        <w:left w:val="none" w:sz="0" w:space="0" w:color="auto"/>
        <w:bottom w:val="none" w:sz="0" w:space="0" w:color="auto"/>
        <w:right w:val="none" w:sz="0" w:space="0" w:color="auto"/>
      </w:divBdr>
    </w:div>
    <w:div w:id="312220122">
      <w:bodyDiv w:val="1"/>
      <w:marLeft w:val="0"/>
      <w:marRight w:val="0"/>
      <w:marTop w:val="0"/>
      <w:marBottom w:val="0"/>
      <w:divBdr>
        <w:top w:val="none" w:sz="0" w:space="0" w:color="auto"/>
        <w:left w:val="none" w:sz="0" w:space="0" w:color="auto"/>
        <w:bottom w:val="none" w:sz="0" w:space="0" w:color="auto"/>
        <w:right w:val="none" w:sz="0" w:space="0" w:color="auto"/>
      </w:divBdr>
    </w:div>
    <w:div w:id="326595098">
      <w:bodyDiv w:val="1"/>
      <w:marLeft w:val="0"/>
      <w:marRight w:val="0"/>
      <w:marTop w:val="0"/>
      <w:marBottom w:val="0"/>
      <w:divBdr>
        <w:top w:val="none" w:sz="0" w:space="0" w:color="auto"/>
        <w:left w:val="none" w:sz="0" w:space="0" w:color="auto"/>
        <w:bottom w:val="none" w:sz="0" w:space="0" w:color="auto"/>
        <w:right w:val="none" w:sz="0" w:space="0" w:color="auto"/>
      </w:divBdr>
    </w:div>
    <w:div w:id="326830460">
      <w:bodyDiv w:val="1"/>
      <w:marLeft w:val="0"/>
      <w:marRight w:val="0"/>
      <w:marTop w:val="0"/>
      <w:marBottom w:val="0"/>
      <w:divBdr>
        <w:top w:val="none" w:sz="0" w:space="0" w:color="auto"/>
        <w:left w:val="none" w:sz="0" w:space="0" w:color="auto"/>
        <w:bottom w:val="none" w:sz="0" w:space="0" w:color="auto"/>
        <w:right w:val="none" w:sz="0" w:space="0" w:color="auto"/>
      </w:divBdr>
    </w:div>
    <w:div w:id="329987862">
      <w:bodyDiv w:val="1"/>
      <w:marLeft w:val="0"/>
      <w:marRight w:val="0"/>
      <w:marTop w:val="0"/>
      <w:marBottom w:val="0"/>
      <w:divBdr>
        <w:top w:val="none" w:sz="0" w:space="0" w:color="auto"/>
        <w:left w:val="none" w:sz="0" w:space="0" w:color="auto"/>
        <w:bottom w:val="none" w:sz="0" w:space="0" w:color="auto"/>
        <w:right w:val="none" w:sz="0" w:space="0" w:color="auto"/>
      </w:divBdr>
    </w:div>
    <w:div w:id="332296089">
      <w:bodyDiv w:val="1"/>
      <w:marLeft w:val="0"/>
      <w:marRight w:val="0"/>
      <w:marTop w:val="0"/>
      <w:marBottom w:val="0"/>
      <w:divBdr>
        <w:top w:val="none" w:sz="0" w:space="0" w:color="auto"/>
        <w:left w:val="none" w:sz="0" w:space="0" w:color="auto"/>
        <w:bottom w:val="none" w:sz="0" w:space="0" w:color="auto"/>
        <w:right w:val="none" w:sz="0" w:space="0" w:color="auto"/>
      </w:divBdr>
    </w:div>
    <w:div w:id="357896981">
      <w:bodyDiv w:val="1"/>
      <w:marLeft w:val="0"/>
      <w:marRight w:val="0"/>
      <w:marTop w:val="0"/>
      <w:marBottom w:val="0"/>
      <w:divBdr>
        <w:top w:val="none" w:sz="0" w:space="0" w:color="auto"/>
        <w:left w:val="none" w:sz="0" w:space="0" w:color="auto"/>
        <w:bottom w:val="none" w:sz="0" w:space="0" w:color="auto"/>
        <w:right w:val="none" w:sz="0" w:space="0" w:color="auto"/>
      </w:divBdr>
    </w:div>
    <w:div w:id="367218801">
      <w:bodyDiv w:val="1"/>
      <w:marLeft w:val="0"/>
      <w:marRight w:val="0"/>
      <w:marTop w:val="0"/>
      <w:marBottom w:val="0"/>
      <w:divBdr>
        <w:top w:val="none" w:sz="0" w:space="0" w:color="auto"/>
        <w:left w:val="none" w:sz="0" w:space="0" w:color="auto"/>
        <w:bottom w:val="none" w:sz="0" w:space="0" w:color="auto"/>
        <w:right w:val="none" w:sz="0" w:space="0" w:color="auto"/>
      </w:divBdr>
      <w:divsChild>
        <w:div w:id="359093978">
          <w:marLeft w:val="0"/>
          <w:marRight w:val="0"/>
          <w:marTop w:val="0"/>
          <w:marBottom w:val="0"/>
          <w:divBdr>
            <w:top w:val="none" w:sz="0" w:space="0" w:color="auto"/>
            <w:left w:val="none" w:sz="0" w:space="0" w:color="auto"/>
            <w:bottom w:val="none" w:sz="0" w:space="0" w:color="auto"/>
            <w:right w:val="none" w:sz="0" w:space="0" w:color="auto"/>
          </w:divBdr>
          <w:divsChild>
            <w:div w:id="1033580381">
              <w:marLeft w:val="0"/>
              <w:marRight w:val="0"/>
              <w:marTop w:val="0"/>
              <w:marBottom w:val="0"/>
              <w:divBdr>
                <w:top w:val="none" w:sz="0" w:space="0" w:color="auto"/>
                <w:left w:val="none" w:sz="0" w:space="0" w:color="auto"/>
                <w:bottom w:val="none" w:sz="0" w:space="0" w:color="auto"/>
                <w:right w:val="none" w:sz="0" w:space="0" w:color="auto"/>
              </w:divBdr>
              <w:divsChild>
                <w:div w:id="498736061">
                  <w:marLeft w:val="0"/>
                  <w:marRight w:val="0"/>
                  <w:marTop w:val="0"/>
                  <w:marBottom w:val="0"/>
                  <w:divBdr>
                    <w:top w:val="none" w:sz="0" w:space="0" w:color="auto"/>
                    <w:left w:val="none" w:sz="0" w:space="0" w:color="auto"/>
                    <w:bottom w:val="none" w:sz="0" w:space="0" w:color="auto"/>
                    <w:right w:val="none" w:sz="0" w:space="0" w:color="auto"/>
                  </w:divBdr>
                  <w:divsChild>
                    <w:div w:id="17555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357">
      <w:bodyDiv w:val="1"/>
      <w:marLeft w:val="0"/>
      <w:marRight w:val="0"/>
      <w:marTop w:val="0"/>
      <w:marBottom w:val="0"/>
      <w:divBdr>
        <w:top w:val="none" w:sz="0" w:space="0" w:color="auto"/>
        <w:left w:val="none" w:sz="0" w:space="0" w:color="auto"/>
        <w:bottom w:val="none" w:sz="0" w:space="0" w:color="auto"/>
        <w:right w:val="none" w:sz="0" w:space="0" w:color="auto"/>
      </w:divBdr>
    </w:div>
    <w:div w:id="394738513">
      <w:bodyDiv w:val="1"/>
      <w:marLeft w:val="0"/>
      <w:marRight w:val="0"/>
      <w:marTop w:val="0"/>
      <w:marBottom w:val="0"/>
      <w:divBdr>
        <w:top w:val="none" w:sz="0" w:space="0" w:color="auto"/>
        <w:left w:val="none" w:sz="0" w:space="0" w:color="auto"/>
        <w:bottom w:val="none" w:sz="0" w:space="0" w:color="auto"/>
        <w:right w:val="none" w:sz="0" w:space="0" w:color="auto"/>
      </w:divBdr>
    </w:div>
    <w:div w:id="430517729">
      <w:bodyDiv w:val="1"/>
      <w:marLeft w:val="0"/>
      <w:marRight w:val="0"/>
      <w:marTop w:val="0"/>
      <w:marBottom w:val="0"/>
      <w:divBdr>
        <w:top w:val="none" w:sz="0" w:space="0" w:color="auto"/>
        <w:left w:val="none" w:sz="0" w:space="0" w:color="auto"/>
        <w:bottom w:val="none" w:sz="0" w:space="0" w:color="auto"/>
        <w:right w:val="none" w:sz="0" w:space="0" w:color="auto"/>
      </w:divBdr>
    </w:div>
    <w:div w:id="436096624">
      <w:bodyDiv w:val="1"/>
      <w:marLeft w:val="0"/>
      <w:marRight w:val="0"/>
      <w:marTop w:val="0"/>
      <w:marBottom w:val="0"/>
      <w:divBdr>
        <w:top w:val="none" w:sz="0" w:space="0" w:color="auto"/>
        <w:left w:val="none" w:sz="0" w:space="0" w:color="auto"/>
        <w:bottom w:val="none" w:sz="0" w:space="0" w:color="auto"/>
        <w:right w:val="none" w:sz="0" w:space="0" w:color="auto"/>
      </w:divBdr>
    </w:div>
    <w:div w:id="438528279">
      <w:bodyDiv w:val="1"/>
      <w:marLeft w:val="0"/>
      <w:marRight w:val="0"/>
      <w:marTop w:val="0"/>
      <w:marBottom w:val="0"/>
      <w:divBdr>
        <w:top w:val="none" w:sz="0" w:space="0" w:color="auto"/>
        <w:left w:val="none" w:sz="0" w:space="0" w:color="auto"/>
        <w:bottom w:val="none" w:sz="0" w:space="0" w:color="auto"/>
        <w:right w:val="none" w:sz="0" w:space="0" w:color="auto"/>
      </w:divBdr>
    </w:div>
    <w:div w:id="445663369">
      <w:bodyDiv w:val="1"/>
      <w:marLeft w:val="0"/>
      <w:marRight w:val="0"/>
      <w:marTop w:val="0"/>
      <w:marBottom w:val="0"/>
      <w:divBdr>
        <w:top w:val="none" w:sz="0" w:space="0" w:color="auto"/>
        <w:left w:val="none" w:sz="0" w:space="0" w:color="auto"/>
        <w:bottom w:val="none" w:sz="0" w:space="0" w:color="auto"/>
        <w:right w:val="none" w:sz="0" w:space="0" w:color="auto"/>
      </w:divBdr>
    </w:div>
    <w:div w:id="449132977">
      <w:bodyDiv w:val="1"/>
      <w:marLeft w:val="0"/>
      <w:marRight w:val="0"/>
      <w:marTop w:val="0"/>
      <w:marBottom w:val="0"/>
      <w:divBdr>
        <w:top w:val="none" w:sz="0" w:space="0" w:color="auto"/>
        <w:left w:val="none" w:sz="0" w:space="0" w:color="auto"/>
        <w:bottom w:val="none" w:sz="0" w:space="0" w:color="auto"/>
        <w:right w:val="none" w:sz="0" w:space="0" w:color="auto"/>
      </w:divBdr>
    </w:div>
    <w:div w:id="471025925">
      <w:bodyDiv w:val="1"/>
      <w:marLeft w:val="0"/>
      <w:marRight w:val="0"/>
      <w:marTop w:val="0"/>
      <w:marBottom w:val="0"/>
      <w:divBdr>
        <w:top w:val="none" w:sz="0" w:space="0" w:color="auto"/>
        <w:left w:val="none" w:sz="0" w:space="0" w:color="auto"/>
        <w:bottom w:val="none" w:sz="0" w:space="0" w:color="auto"/>
        <w:right w:val="none" w:sz="0" w:space="0" w:color="auto"/>
      </w:divBdr>
    </w:div>
    <w:div w:id="475490749">
      <w:bodyDiv w:val="1"/>
      <w:marLeft w:val="0"/>
      <w:marRight w:val="0"/>
      <w:marTop w:val="0"/>
      <w:marBottom w:val="0"/>
      <w:divBdr>
        <w:top w:val="none" w:sz="0" w:space="0" w:color="auto"/>
        <w:left w:val="none" w:sz="0" w:space="0" w:color="auto"/>
        <w:bottom w:val="none" w:sz="0" w:space="0" w:color="auto"/>
        <w:right w:val="none" w:sz="0" w:space="0" w:color="auto"/>
      </w:divBdr>
      <w:divsChild>
        <w:div w:id="1278487526">
          <w:marLeft w:val="0"/>
          <w:marRight w:val="0"/>
          <w:marTop w:val="0"/>
          <w:marBottom w:val="0"/>
          <w:divBdr>
            <w:top w:val="none" w:sz="0" w:space="0" w:color="auto"/>
            <w:left w:val="none" w:sz="0" w:space="0" w:color="auto"/>
            <w:bottom w:val="none" w:sz="0" w:space="0" w:color="auto"/>
            <w:right w:val="none" w:sz="0" w:space="0" w:color="auto"/>
          </w:divBdr>
          <w:divsChild>
            <w:div w:id="861434783">
              <w:marLeft w:val="0"/>
              <w:marRight w:val="0"/>
              <w:marTop w:val="0"/>
              <w:marBottom w:val="0"/>
              <w:divBdr>
                <w:top w:val="none" w:sz="0" w:space="0" w:color="auto"/>
                <w:left w:val="none" w:sz="0" w:space="0" w:color="auto"/>
                <w:bottom w:val="none" w:sz="0" w:space="0" w:color="auto"/>
                <w:right w:val="none" w:sz="0" w:space="0" w:color="auto"/>
              </w:divBdr>
              <w:divsChild>
                <w:div w:id="9207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73394">
      <w:bodyDiv w:val="1"/>
      <w:marLeft w:val="0"/>
      <w:marRight w:val="0"/>
      <w:marTop w:val="0"/>
      <w:marBottom w:val="0"/>
      <w:divBdr>
        <w:top w:val="none" w:sz="0" w:space="0" w:color="auto"/>
        <w:left w:val="none" w:sz="0" w:space="0" w:color="auto"/>
        <w:bottom w:val="none" w:sz="0" w:space="0" w:color="auto"/>
        <w:right w:val="none" w:sz="0" w:space="0" w:color="auto"/>
      </w:divBdr>
    </w:div>
    <w:div w:id="526143372">
      <w:bodyDiv w:val="1"/>
      <w:marLeft w:val="0"/>
      <w:marRight w:val="0"/>
      <w:marTop w:val="0"/>
      <w:marBottom w:val="0"/>
      <w:divBdr>
        <w:top w:val="none" w:sz="0" w:space="0" w:color="auto"/>
        <w:left w:val="none" w:sz="0" w:space="0" w:color="auto"/>
        <w:bottom w:val="none" w:sz="0" w:space="0" w:color="auto"/>
        <w:right w:val="none" w:sz="0" w:space="0" w:color="auto"/>
      </w:divBdr>
    </w:div>
    <w:div w:id="573323139">
      <w:bodyDiv w:val="1"/>
      <w:marLeft w:val="0"/>
      <w:marRight w:val="0"/>
      <w:marTop w:val="0"/>
      <w:marBottom w:val="0"/>
      <w:divBdr>
        <w:top w:val="none" w:sz="0" w:space="0" w:color="auto"/>
        <w:left w:val="none" w:sz="0" w:space="0" w:color="auto"/>
        <w:bottom w:val="none" w:sz="0" w:space="0" w:color="auto"/>
        <w:right w:val="none" w:sz="0" w:space="0" w:color="auto"/>
      </w:divBdr>
    </w:div>
    <w:div w:id="580145687">
      <w:bodyDiv w:val="1"/>
      <w:marLeft w:val="0"/>
      <w:marRight w:val="0"/>
      <w:marTop w:val="0"/>
      <w:marBottom w:val="0"/>
      <w:divBdr>
        <w:top w:val="none" w:sz="0" w:space="0" w:color="auto"/>
        <w:left w:val="none" w:sz="0" w:space="0" w:color="auto"/>
        <w:bottom w:val="none" w:sz="0" w:space="0" w:color="auto"/>
        <w:right w:val="none" w:sz="0" w:space="0" w:color="auto"/>
      </w:divBdr>
      <w:divsChild>
        <w:div w:id="882131643">
          <w:marLeft w:val="0"/>
          <w:marRight w:val="0"/>
          <w:marTop w:val="0"/>
          <w:marBottom w:val="0"/>
          <w:divBdr>
            <w:top w:val="none" w:sz="0" w:space="0" w:color="auto"/>
            <w:left w:val="none" w:sz="0" w:space="0" w:color="auto"/>
            <w:bottom w:val="none" w:sz="0" w:space="0" w:color="auto"/>
            <w:right w:val="none" w:sz="0" w:space="0" w:color="auto"/>
          </w:divBdr>
          <w:divsChild>
            <w:div w:id="907346168">
              <w:marLeft w:val="0"/>
              <w:marRight w:val="0"/>
              <w:marTop w:val="0"/>
              <w:marBottom w:val="0"/>
              <w:divBdr>
                <w:top w:val="none" w:sz="0" w:space="0" w:color="auto"/>
                <w:left w:val="none" w:sz="0" w:space="0" w:color="auto"/>
                <w:bottom w:val="none" w:sz="0" w:space="0" w:color="auto"/>
                <w:right w:val="none" w:sz="0" w:space="0" w:color="auto"/>
              </w:divBdr>
              <w:divsChild>
                <w:div w:id="1556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2589">
      <w:bodyDiv w:val="1"/>
      <w:marLeft w:val="0"/>
      <w:marRight w:val="0"/>
      <w:marTop w:val="0"/>
      <w:marBottom w:val="0"/>
      <w:divBdr>
        <w:top w:val="none" w:sz="0" w:space="0" w:color="auto"/>
        <w:left w:val="none" w:sz="0" w:space="0" w:color="auto"/>
        <w:bottom w:val="none" w:sz="0" w:space="0" w:color="auto"/>
        <w:right w:val="none" w:sz="0" w:space="0" w:color="auto"/>
      </w:divBdr>
    </w:div>
    <w:div w:id="596208693">
      <w:bodyDiv w:val="1"/>
      <w:marLeft w:val="0"/>
      <w:marRight w:val="0"/>
      <w:marTop w:val="0"/>
      <w:marBottom w:val="0"/>
      <w:divBdr>
        <w:top w:val="none" w:sz="0" w:space="0" w:color="auto"/>
        <w:left w:val="none" w:sz="0" w:space="0" w:color="auto"/>
        <w:bottom w:val="none" w:sz="0" w:space="0" w:color="auto"/>
        <w:right w:val="none" w:sz="0" w:space="0" w:color="auto"/>
      </w:divBdr>
    </w:div>
    <w:div w:id="600915535">
      <w:bodyDiv w:val="1"/>
      <w:marLeft w:val="0"/>
      <w:marRight w:val="0"/>
      <w:marTop w:val="0"/>
      <w:marBottom w:val="0"/>
      <w:divBdr>
        <w:top w:val="none" w:sz="0" w:space="0" w:color="auto"/>
        <w:left w:val="none" w:sz="0" w:space="0" w:color="auto"/>
        <w:bottom w:val="none" w:sz="0" w:space="0" w:color="auto"/>
        <w:right w:val="none" w:sz="0" w:space="0" w:color="auto"/>
      </w:divBdr>
      <w:divsChild>
        <w:div w:id="1649244062">
          <w:marLeft w:val="0"/>
          <w:marRight w:val="0"/>
          <w:marTop w:val="0"/>
          <w:marBottom w:val="0"/>
          <w:divBdr>
            <w:top w:val="none" w:sz="0" w:space="0" w:color="auto"/>
            <w:left w:val="none" w:sz="0" w:space="0" w:color="auto"/>
            <w:bottom w:val="none" w:sz="0" w:space="0" w:color="auto"/>
            <w:right w:val="none" w:sz="0" w:space="0" w:color="auto"/>
          </w:divBdr>
          <w:divsChild>
            <w:div w:id="1654749055">
              <w:marLeft w:val="0"/>
              <w:marRight w:val="0"/>
              <w:marTop w:val="0"/>
              <w:marBottom w:val="0"/>
              <w:divBdr>
                <w:top w:val="none" w:sz="0" w:space="0" w:color="auto"/>
                <w:left w:val="none" w:sz="0" w:space="0" w:color="auto"/>
                <w:bottom w:val="none" w:sz="0" w:space="0" w:color="auto"/>
                <w:right w:val="none" w:sz="0" w:space="0" w:color="auto"/>
              </w:divBdr>
              <w:divsChild>
                <w:div w:id="1971662727">
                  <w:marLeft w:val="0"/>
                  <w:marRight w:val="0"/>
                  <w:marTop w:val="0"/>
                  <w:marBottom w:val="0"/>
                  <w:divBdr>
                    <w:top w:val="none" w:sz="0" w:space="0" w:color="auto"/>
                    <w:left w:val="none" w:sz="0" w:space="0" w:color="auto"/>
                    <w:bottom w:val="none" w:sz="0" w:space="0" w:color="auto"/>
                    <w:right w:val="none" w:sz="0" w:space="0" w:color="auto"/>
                  </w:divBdr>
                  <w:divsChild>
                    <w:div w:id="3513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50062">
      <w:bodyDiv w:val="1"/>
      <w:marLeft w:val="0"/>
      <w:marRight w:val="0"/>
      <w:marTop w:val="0"/>
      <w:marBottom w:val="0"/>
      <w:divBdr>
        <w:top w:val="none" w:sz="0" w:space="0" w:color="auto"/>
        <w:left w:val="none" w:sz="0" w:space="0" w:color="auto"/>
        <w:bottom w:val="none" w:sz="0" w:space="0" w:color="auto"/>
        <w:right w:val="none" w:sz="0" w:space="0" w:color="auto"/>
      </w:divBdr>
      <w:divsChild>
        <w:div w:id="1728215910">
          <w:marLeft w:val="0"/>
          <w:marRight w:val="0"/>
          <w:marTop w:val="0"/>
          <w:marBottom w:val="0"/>
          <w:divBdr>
            <w:top w:val="none" w:sz="0" w:space="0" w:color="auto"/>
            <w:left w:val="none" w:sz="0" w:space="0" w:color="auto"/>
            <w:bottom w:val="none" w:sz="0" w:space="0" w:color="auto"/>
            <w:right w:val="none" w:sz="0" w:space="0" w:color="auto"/>
          </w:divBdr>
        </w:div>
        <w:div w:id="690257140">
          <w:marLeft w:val="0"/>
          <w:marRight w:val="0"/>
          <w:marTop w:val="0"/>
          <w:marBottom w:val="0"/>
          <w:divBdr>
            <w:top w:val="none" w:sz="0" w:space="0" w:color="auto"/>
            <w:left w:val="none" w:sz="0" w:space="0" w:color="auto"/>
            <w:bottom w:val="none" w:sz="0" w:space="0" w:color="auto"/>
            <w:right w:val="none" w:sz="0" w:space="0" w:color="auto"/>
          </w:divBdr>
        </w:div>
        <w:div w:id="1546720155">
          <w:marLeft w:val="0"/>
          <w:marRight w:val="0"/>
          <w:marTop w:val="0"/>
          <w:marBottom w:val="0"/>
          <w:divBdr>
            <w:top w:val="none" w:sz="0" w:space="0" w:color="auto"/>
            <w:left w:val="none" w:sz="0" w:space="0" w:color="auto"/>
            <w:bottom w:val="none" w:sz="0" w:space="0" w:color="auto"/>
            <w:right w:val="none" w:sz="0" w:space="0" w:color="auto"/>
          </w:divBdr>
        </w:div>
        <w:div w:id="635648273">
          <w:marLeft w:val="0"/>
          <w:marRight w:val="0"/>
          <w:marTop w:val="0"/>
          <w:marBottom w:val="0"/>
          <w:divBdr>
            <w:top w:val="none" w:sz="0" w:space="0" w:color="auto"/>
            <w:left w:val="none" w:sz="0" w:space="0" w:color="auto"/>
            <w:bottom w:val="none" w:sz="0" w:space="0" w:color="auto"/>
            <w:right w:val="none" w:sz="0" w:space="0" w:color="auto"/>
          </w:divBdr>
        </w:div>
        <w:div w:id="1588735669">
          <w:marLeft w:val="0"/>
          <w:marRight w:val="0"/>
          <w:marTop w:val="0"/>
          <w:marBottom w:val="0"/>
          <w:divBdr>
            <w:top w:val="none" w:sz="0" w:space="0" w:color="auto"/>
            <w:left w:val="none" w:sz="0" w:space="0" w:color="auto"/>
            <w:bottom w:val="none" w:sz="0" w:space="0" w:color="auto"/>
            <w:right w:val="none" w:sz="0" w:space="0" w:color="auto"/>
          </w:divBdr>
        </w:div>
        <w:div w:id="2043554861">
          <w:marLeft w:val="0"/>
          <w:marRight w:val="0"/>
          <w:marTop w:val="0"/>
          <w:marBottom w:val="0"/>
          <w:divBdr>
            <w:top w:val="none" w:sz="0" w:space="0" w:color="auto"/>
            <w:left w:val="none" w:sz="0" w:space="0" w:color="auto"/>
            <w:bottom w:val="none" w:sz="0" w:space="0" w:color="auto"/>
            <w:right w:val="none" w:sz="0" w:space="0" w:color="auto"/>
          </w:divBdr>
        </w:div>
        <w:div w:id="1617522887">
          <w:marLeft w:val="0"/>
          <w:marRight w:val="0"/>
          <w:marTop w:val="0"/>
          <w:marBottom w:val="0"/>
          <w:divBdr>
            <w:top w:val="none" w:sz="0" w:space="0" w:color="auto"/>
            <w:left w:val="none" w:sz="0" w:space="0" w:color="auto"/>
            <w:bottom w:val="none" w:sz="0" w:space="0" w:color="auto"/>
            <w:right w:val="none" w:sz="0" w:space="0" w:color="auto"/>
          </w:divBdr>
        </w:div>
      </w:divsChild>
    </w:div>
    <w:div w:id="619266791">
      <w:bodyDiv w:val="1"/>
      <w:marLeft w:val="0"/>
      <w:marRight w:val="0"/>
      <w:marTop w:val="0"/>
      <w:marBottom w:val="0"/>
      <w:divBdr>
        <w:top w:val="none" w:sz="0" w:space="0" w:color="auto"/>
        <w:left w:val="none" w:sz="0" w:space="0" w:color="auto"/>
        <w:bottom w:val="none" w:sz="0" w:space="0" w:color="auto"/>
        <w:right w:val="none" w:sz="0" w:space="0" w:color="auto"/>
      </w:divBdr>
      <w:divsChild>
        <w:div w:id="709377416">
          <w:marLeft w:val="0"/>
          <w:marRight w:val="0"/>
          <w:marTop w:val="0"/>
          <w:marBottom w:val="0"/>
          <w:divBdr>
            <w:top w:val="none" w:sz="0" w:space="0" w:color="auto"/>
            <w:left w:val="none" w:sz="0" w:space="0" w:color="auto"/>
            <w:bottom w:val="none" w:sz="0" w:space="0" w:color="auto"/>
            <w:right w:val="none" w:sz="0" w:space="0" w:color="auto"/>
          </w:divBdr>
          <w:divsChild>
            <w:div w:id="1362784065">
              <w:marLeft w:val="0"/>
              <w:marRight w:val="0"/>
              <w:marTop w:val="0"/>
              <w:marBottom w:val="0"/>
              <w:divBdr>
                <w:top w:val="none" w:sz="0" w:space="0" w:color="auto"/>
                <w:left w:val="none" w:sz="0" w:space="0" w:color="auto"/>
                <w:bottom w:val="none" w:sz="0" w:space="0" w:color="auto"/>
                <w:right w:val="none" w:sz="0" w:space="0" w:color="auto"/>
              </w:divBdr>
              <w:divsChild>
                <w:div w:id="1235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55446">
      <w:bodyDiv w:val="1"/>
      <w:marLeft w:val="0"/>
      <w:marRight w:val="0"/>
      <w:marTop w:val="0"/>
      <w:marBottom w:val="0"/>
      <w:divBdr>
        <w:top w:val="none" w:sz="0" w:space="0" w:color="auto"/>
        <w:left w:val="none" w:sz="0" w:space="0" w:color="auto"/>
        <w:bottom w:val="none" w:sz="0" w:space="0" w:color="auto"/>
        <w:right w:val="none" w:sz="0" w:space="0" w:color="auto"/>
      </w:divBdr>
    </w:div>
    <w:div w:id="651451177">
      <w:bodyDiv w:val="1"/>
      <w:marLeft w:val="0"/>
      <w:marRight w:val="0"/>
      <w:marTop w:val="0"/>
      <w:marBottom w:val="0"/>
      <w:divBdr>
        <w:top w:val="none" w:sz="0" w:space="0" w:color="auto"/>
        <w:left w:val="none" w:sz="0" w:space="0" w:color="auto"/>
        <w:bottom w:val="none" w:sz="0" w:space="0" w:color="auto"/>
        <w:right w:val="none" w:sz="0" w:space="0" w:color="auto"/>
      </w:divBdr>
    </w:div>
    <w:div w:id="685522078">
      <w:bodyDiv w:val="1"/>
      <w:marLeft w:val="0"/>
      <w:marRight w:val="0"/>
      <w:marTop w:val="0"/>
      <w:marBottom w:val="0"/>
      <w:divBdr>
        <w:top w:val="none" w:sz="0" w:space="0" w:color="auto"/>
        <w:left w:val="none" w:sz="0" w:space="0" w:color="auto"/>
        <w:bottom w:val="none" w:sz="0" w:space="0" w:color="auto"/>
        <w:right w:val="none" w:sz="0" w:space="0" w:color="auto"/>
      </w:divBdr>
    </w:div>
    <w:div w:id="688335594">
      <w:bodyDiv w:val="1"/>
      <w:marLeft w:val="0"/>
      <w:marRight w:val="0"/>
      <w:marTop w:val="0"/>
      <w:marBottom w:val="0"/>
      <w:divBdr>
        <w:top w:val="none" w:sz="0" w:space="0" w:color="auto"/>
        <w:left w:val="none" w:sz="0" w:space="0" w:color="auto"/>
        <w:bottom w:val="none" w:sz="0" w:space="0" w:color="auto"/>
        <w:right w:val="none" w:sz="0" w:space="0" w:color="auto"/>
      </w:divBdr>
    </w:div>
    <w:div w:id="698118867">
      <w:bodyDiv w:val="1"/>
      <w:marLeft w:val="0"/>
      <w:marRight w:val="0"/>
      <w:marTop w:val="0"/>
      <w:marBottom w:val="0"/>
      <w:divBdr>
        <w:top w:val="none" w:sz="0" w:space="0" w:color="auto"/>
        <w:left w:val="none" w:sz="0" w:space="0" w:color="auto"/>
        <w:bottom w:val="none" w:sz="0" w:space="0" w:color="auto"/>
        <w:right w:val="none" w:sz="0" w:space="0" w:color="auto"/>
      </w:divBdr>
    </w:div>
    <w:div w:id="705132222">
      <w:bodyDiv w:val="1"/>
      <w:marLeft w:val="0"/>
      <w:marRight w:val="0"/>
      <w:marTop w:val="0"/>
      <w:marBottom w:val="0"/>
      <w:divBdr>
        <w:top w:val="none" w:sz="0" w:space="0" w:color="auto"/>
        <w:left w:val="none" w:sz="0" w:space="0" w:color="auto"/>
        <w:bottom w:val="none" w:sz="0" w:space="0" w:color="auto"/>
        <w:right w:val="none" w:sz="0" w:space="0" w:color="auto"/>
      </w:divBdr>
    </w:div>
    <w:div w:id="717970159">
      <w:bodyDiv w:val="1"/>
      <w:marLeft w:val="0"/>
      <w:marRight w:val="0"/>
      <w:marTop w:val="0"/>
      <w:marBottom w:val="0"/>
      <w:divBdr>
        <w:top w:val="none" w:sz="0" w:space="0" w:color="auto"/>
        <w:left w:val="none" w:sz="0" w:space="0" w:color="auto"/>
        <w:bottom w:val="none" w:sz="0" w:space="0" w:color="auto"/>
        <w:right w:val="none" w:sz="0" w:space="0" w:color="auto"/>
      </w:divBdr>
    </w:div>
    <w:div w:id="719010710">
      <w:bodyDiv w:val="1"/>
      <w:marLeft w:val="0"/>
      <w:marRight w:val="0"/>
      <w:marTop w:val="0"/>
      <w:marBottom w:val="0"/>
      <w:divBdr>
        <w:top w:val="none" w:sz="0" w:space="0" w:color="auto"/>
        <w:left w:val="none" w:sz="0" w:space="0" w:color="auto"/>
        <w:bottom w:val="none" w:sz="0" w:space="0" w:color="auto"/>
        <w:right w:val="none" w:sz="0" w:space="0" w:color="auto"/>
      </w:divBdr>
    </w:div>
    <w:div w:id="726102553">
      <w:bodyDiv w:val="1"/>
      <w:marLeft w:val="0"/>
      <w:marRight w:val="0"/>
      <w:marTop w:val="0"/>
      <w:marBottom w:val="0"/>
      <w:divBdr>
        <w:top w:val="none" w:sz="0" w:space="0" w:color="auto"/>
        <w:left w:val="none" w:sz="0" w:space="0" w:color="auto"/>
        <w:bottom w:val="none" w:sz="0" w:space="0" w:color="auto"/>
        <w:right w:val="none" w:sz="0" w:space="0" w:color="auto"/>
      </w:divBdr>
    </w:div>
    <w:div w:id="726686968">
      <w:bodyDiv w:val="1"/>
      <w:marLeft w:val="0"/>
      <w:marRight w:val="0"/>
      <w:marTop w:val="0"/>
      <w:marBottom w:val="0"/>
      <w:divBdr>
        <w:top w:val="none" w:sz="0" w:space="0" w:color="auto"/>
        <w:left w:val="none" w:sz="0" w:space="0" w:color="auto"/>
        <w:bottom w:val="none" w:sz="0" w:space="0" w:color="auto"/>
        <w:right w:val="none" w:sz="0" w:space="0" w:color="auto"/>
      </w:divBdr>
    </w:div>
    <w:div w:id="750733582">
      <w:bodyDiv w:val="1"/>
      <w:marLeft w:val="0"/>
      <w:marRight w:val="0"/>
      <w:marTop w:val="0"/>
      <w:marBottom w:val="0"/>
      <w:divBdr>
        <w:top w:val="none" w:sz="0" w:space="0" w:color="auto"/>
        <w:left w:val="none" w:sz="0" w:space="0" w:color="auto"/>
        <w:bottom w:val="none" w:sz="0" w:space="0" w:color="auto"/>
        <w:right w:val="none" w:sz="0" w:space="0" w:color="auto"/>
      </w:divBdr>
    </w:div>
    <w:div w:id="758866840">
      <w:bodyDiv w:val="1"/>
      <w:marLeft w:val="0"/>
      <w:marRight w:val="0"/>
      <w:marTop w:val="0"/>
      <w:marBottom w:val="0"/>
      <w:divBdr>
        <w:top w:val="none" w:sz="0" w:space="0" w:color="auto"/>
        <w:left w:val="none" w:sz="0" w:space="0" w:color="auto"/>
        <w:bottom w:val="none" w:sz="0" w:space="0" w:color="auto"/>
        <w:right w:val="none" w:sz="0" w:space="0" w:color="auto"/>
      </w:divBdr>
    </w:div>
    <w:div w:id="778640867">
      <w:bodyDiv w:val="1"/>
      <w:marLeft w:val="0"/>
      <w:marRight w:val="0"/>
      <w:marTop w:val="0"/>
      <w:marBottom w:val="0"/>
      <w:divBdr>
        <w:top w:val="none" w:sz="0" w:space="0" w:color="auto"/>
        <w:left w:val="none" w:sz="0" w:space="0" w:color="auto"/>
        <w:bottom w:val="none" w:sz="0" w:space="0" w:color="auto"/>
        <w:right w:val="none" w:sz="0" w:space="0" w:color="auto"/>
      </w:divBdr>
      <w:divsChild>
        <w:div w:id="1490753979">
          <w:marLeft w:val="0"/>
          <w:marRight w:val="0"/>
          <w:marTop w:val="0"/>
          <w:marBottom w:val="0"/>
          <w:divBdr>
            <w:top w:val="none" w:sz="0" w:space="0" w:color="auto"/>
            <w:left w:val="none" w:sz="0" w:space="0" w:color="auto"/>
            <w:bottom w:val="none" w:sz="0" w:space="0" w:color="auto"/>
            <w:right w:val="none" w:sz="0" w:space="0" w:color="auto"/>
          </w:divBdr>
        </w:div>
        <w:div w:id="627004434">
          <w:marLeft w:val="0"/>
          <w:marRight w:val="0"/>
          <w:marTop w:val="0"/>
          <w:marBottom w:val="0"/>
          <w:divBdr>
            <w:top w:val="none" w:sz="0" w:space="0" w:color="auto"/>
            <w:left w:val="none" w:sz="0" w:space="0" w:color="auto"/>
            <w:bottom w:val="none" w:sz="0" w:space="0" w:color="auto"/>
            <w:right w:val="none" w:sz="0" w:space="0" w:color="auto"/>
          </w:divBdr>
        </w:div>
        <w:div w:id="1451317369">
          <w:marLeft w:val="0"/>
          <w:marRight w:val="0"/>
          <w:marTop w:val="0"/>
          <w:marBottom w:val="0"/>
          <w:divBdr>
            <w:top w:val="none" w:sz="0" w:space="0" w:color="auto"/>
            <w:left w:val="none" w:sz="0" w:space="0" w:color="auto"/>
            <w:bottom w:val="none" w:sz="0" w:space="0" w:color="auto"/>
            <w:right w:val="none" w:sz="0" w:space="0" w:color="auto"/>
          </w:divBdr>
        </w:div>
        <w:div w:id="1224563895">
          <w:marLeft w:val="0"/>
          <w:marRight w:val="0"/>
          <w:marTop w:val="0"/>
          <w:marBottom w:val="0"/>
          <w:divBdr>
            <w:top w:val="none" w:sz="0" w:space="0" w:color="auto"/>
            <w:left w:val="none" w:sz="0" w:space="0" w:color="auto"/>
            <w:bottom w:val="none" w:sz="0" w:space="0" w:color="auto"/>
            <w:right w:val="none" w:sz="0" w:space="0" w:color="auto"/>
          </w:divBdr>
        </w:div>
        <w:div w:id="1856728115">
          <w:marLeft w:val="0"/>
          <w:marRight w:val="0"/>
          <w:marTop w:val="0"/>
          <w:marBottom w:val="0"/>
          <w:divBdr>
            <w:top w:val="none" w:sz="0" w:space="0" w:color="auto"/>
            <w:left w:val="none" w:sz="0" w:space="0" w:color="auto"/>
            <w:bottom w:val="none" w:sz="0" w:space="0" w:color="auto"/>
            <w:right w:val="none" w:sz="0" w:space="0" w:color="auto"/>
          </w:divBdr>
        </w:div>
        <w:div w:id="213011727">
          <w:marLeft w:val="0"/>
          <w:marRight w:val="0"/>
          <w:marTop w:val="0"/>
          <w:marBottom w:val="0"/>
          <w:divBdr>
            <w:top w:val="none" w:sz="0" w:space="0" w:color="auto"/>
            <w:left w:val="none" w:sz="0" w:space="0" w:color="auto"/>
            <w:bottom w:val="none" w:sz="0" w:space="0" w:color="auto"/>
            <w:right w:val="none" w:sz="0" w:space="0" w:color="auto"/>
          </w:divBdr>
        </w:div>
        <w:div w:id="1202400007">
          <w:marLeft w:val="0"/>
          <w:marRight w:val="0"/>
          <w:marTop w:val="0"/>
          <w:marBottom w:val="0"/>
          <w:divBdr>
            <w:top w:val="none" w:sz="0" w:space="0" w:color="auto"/>
            <w:left w:val="none" w:sz="0" w:space="0" w:color="auto"/>
            <w:bottom w:val="none" w:sz="0" w:space="0" w:color="auto"/>
            <w:right w:val="none" w:sz="0" w:space="0" w:color="auto"/>
          </w:divBdr>
        </w:div>
      </w:divsChild>
    </w:div>
    <w:div w:id="778724305">
      <w:bodyDiv w:val="1"/>
      <w:marLeft w:val="0"/>
      <w:marRight w:val="0"/>
      <w:marTop w:val="0"/>
      <w:marBottom w:val="0"/>
      <w:divBdr>
        <w:top w:val="none" w:sz="0" w:space="0" w:color="auto"/>
        <w:left w:val="none" w:sz="0" w:space="0" w:color="auto"/>
        <w:bottom w:val="none" w:sz="0" w:space="0" w:color="auto"/>
        <w:right w:val="none" w:sz="0" w:space="0" w:color="auto"/>
      </w:divBdr>
      <w:divsChild>
        <w:div w:id="1101561062">
          <w:marLeft w:val="0"/>
          <w:marRight w:val="0"/>
          <w:marTop w:val="0"/>
          <w:marBottom w:val="0"/>
          <w:divBdr>
            <w:top w:val="none" w:sz="0" w:space="0" w:color="auto"/>
            <w:left w:val="none" w:sz="0" w:space="0" w:color="auto"/>
            <w:bottom w:val="none" w:sz="0" w:space="0" w:color="auto"/>
            <w:right w:val="none" w:sz="0" w:space="0" w:color="auto"/>
          </w:divBdr>
          <w:divsChild>
            <w:div w:id="937643899">
              <w:marLeft w:val="0"/>
              <w:marRight w:val="0"/>
              <w:marTop w:val="0"/>
              <w:marBottom w:val="0"/>
              <w:divBdr>
                <w:top w:val="none" w:sz="0" w:space="0" w:color="auto"/>
                <w:left w:val="none" w:sz="0" w:space="0" w:color="auto"/>
                <w:bottom w:val="none" w:sz="0" w:space="0" w:color="auto"/>
                <w:right w:val="none" w:sz="0" w:space="0" w:color="auto"/>
              </w:divBdr>
              <w:divsChild>
                <w:div w:id="1332753029">
                  <w:marLeft w:val="0"/>
                  <w:marRight w:val="0"/>
                  <w:marTop w:val="0"/>
                  <w:marBottom w:val="0"/>
                  <w:divBdr>
                    <w:top w:val="none" w:sz="0" w:space="0" w:color="auto"/>
                    <w:left w:val="none" w:sz="0" w:space="0" w:color="auto"/>
                    <w:bottom w:val="none" w:sz="0" w:space="0" w:color="auto"/>
                    <w:right w:val="none" w:sz="0" w:space="0" w:color="auto"/>
                  </w:divBdr>
                  <w:divsChild>
                    <w:div w:id="20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20120">
      <w:bodyDiv w:val="1"/>
      <w:marLeft w:val="0"/>
      <w:marRight w:val="0"/>
      <w:marTop w:val="0"/>
      <w:marBottom w:val="0"/>
      <w:divBdr>
        <w:top w:val="none" w:sz="0" w:space="0" w:color="auto"/>
        <w:left w:val="none" w:sz="0" w:space="0" w:color="auto"/>
        <w:bottom w:val="none" w:sz="0" w:space="0" w:color="auto"/>
        <w:right w:val="none" w:sz="0" w:space="0" w:color="auto"/>
      </w:divBdr>
    </w:div>
    <w:div w:id="804129781">
      <w:bodyDiv w:val="1"/>
      <w:marLeft w:val="0"/>
      <w:marRight w:val="0"/>
      <w:marTop w:val="0"/>
      <w:marBottom w:val="0"/>
      <w:divBdr>
        <w:top w:val="none" w:sz="0" w:space="0" w:color="auto"/>
        <w:left w:val="none" w:sz="0" w:space="0" w:color="auto"/>
        <w:bottom w:val="none" w:sz="0" w:space="0" w:color="auto"/>
        <w:right w:val="none" w:sz="0" w:space="0" w:color="auto"/>
      </w:divBdr>
    </w:div>
    <w:div w:id="806507976">
      <w:bodyDiv w:val="1"/>
      <w:marLeft w:val="0"/>
      <w:marRight w:val="0"/>
      <w:marTop w:val="0"/>
      <w:marBottom w:val="0"/>
      <w:divBdr>
        <w:top w:val="none" w:sz="0" w:space="0" w:color="auto"/>
        <w:left w:val="none" w:sz="0" w:space="0" w:color="auto"/>
        <w:bottom w:val="none" w:sz="0" w:space="0" w:color="auto"/>
        <w:right w:val="none" w:sz="0" w:space="0" w:color="auto"/>
      </w:divBdr>
    </w:div>
    <w:div w:id="815953669">
      <w:bodyDiv w:val="1"/>
      <w:marLeft w:val="0"/>
      <w:marRight w:val="0"/>
      <w:marTop w:val="0"/>
      <w:marBottom w:val="0"/>
      <w:divBdr>
        <w:top w:val="none" w:sz="0" w:space="0" w:color="auto"/>
        <w:left w:val="none" w:sz="0" w:space="0" w:color="auto"/>
        <w:bottom w:val="none" w:sz="0" w:space="0" w:color="auto"/>
        <w:right w:val="none" w:sz="0" w:space="0" w:color="auto"/>
      </w:divBdr>
    </w:div>
    <w:div w:id="855465607">
      <w:bodyDiv w:val="1"/>
      <w:marLeft w:val="0"/>
      <w:marRight w:val="0"/>
      <w:marTop w:val="0"/>
      <w:marBottom w:val="0"/>
      <w:divBdr>
        <w:top w:val="none" w:sz="0" w:space="0" w:color="auto"/>
        <w:left w:val="none" w:sz="0" w:space="0" w:color="auto"/>
        <w:bottom w:val="none" w:sz="0" w:space="0" w:color="auto"/>
        <w:right w:val="none" w:sz="0" w:space="0" w:color="auto"/>
      </w:divBdr>
    </w:div>
    <w:div w:id="880435388">
      <w:bodyDiv w:val="1"/>
      <w:marLeft w:val="0"/>
      <w:marRight w:val="0"/>
      <w:marTop w:val="0"/>
      <w:marBottom w:val="0"/>
      <w:divBdr>
        <w:top w:val="none" w:sz="0" w:space="0" w:color="auto"/>
        <w:left w:val="none" w:sz="0" w:space="0" w:color="auto"/>
        <w:bottom w:val="none" w:sz="0" w:space="0" w:color="auto"/>
        <w:right w:val="none" w:sz="0" w:space="0" w:color="auto"/>
      </w:divBdr>
    </w:div>
    <w:div w:id="901253391">
      <w:bodyDiv w:val="1"/>
      <w:marLeft w:val="0"/>
      <w:marRight w:val="0"/>
      <w:marTop w:val="0"/>
      <w:marBottom w:val="0"/>
      <w:divBdr>
        <w:top w:val="none" w:sz="0" w:space="0" w:color="auto"/>
        <w:left w:val="none" w:sz="0" w:space="0" w:color="auto"/>
        <w:bottom w:val="none" w:sz="0" w:space="0" w:color="auto"/>
        <w:right w:val="none" w:sz="0" w:space="0" w:color="auto"/>
      </w:divBdr>
    </w:div>
    <w:div w:id="925268970">
      <w:bodyDiv w:val="1"/>
      <w:marLeft w:val="0"/>
      <w:marRight w:val="0"/>
      <w:marTop w:val="0"/>
      <w:marBottom w:val="0"/>
      <w:divBdr>
        <w:top w:val="none" w:sz="0" w:space="0" w:color="auto"/>
        <w:left w:val="none" w:sz="0" w:space="0" w:color="auto"/>
        <w:bottom w:val="none" w:sz="0" w:space="0" w:color="auto"/>
        <w:right w:val="none" w:sz="0" w:space="0" w:color="auto"/>
      </w:divBdr>
    </w:div>
    <w:div w:id="936061121">
      <w:bodyDiv w:val="1"/>
      <w:marLeft w:val="0"/>
      <w:marRight w:val="0"/>
      <w:marTop w:val="0"/>
      <w:marBottom w:val="0"/>
      <w:divBdr>
        <w:top w:val="none" w:sz="0" w:space="0" w:color="auto"/>
        <w:left w:val="none" w:sz="0" w:space="0" w:color="auto"/>
        <w:bottom w:val="none" w:sz="0" w:space="0" w:color="auto"/>
        <w:right w:val="none" w:sz="0" w:space="0" w:color="auto"/>
      </w:divBdr>
    </w:div>
    <w:div w:id="943655984">
      <w:bodyDiv w:val="1"/>
      <w:marLeft w:val="0"/>
      <w:marRight w:val="0"/>
      <w:marTop w:val="0"/>
      <w:marBottom w:val="0"/>
      <w:divBdr>
        <w:top w:val="none" w:sz="0" w:space="0" w:color="auto"/>
        <w:left w:val="none" w:sz="0" w:space="0" w:color="auto"/>
        <w:bottom w:val="none" w:sz="0" w:space="0" w:color="auto"/>
        <w:right w:val="none" w:sz="0" w:space="0" w:color="auto"/>
      </w:divBdr>
    </w:div>
    <w:div w:id="946742642">
      <w:bodyDiv w:val="1"/>
      <w:marLeft w:val="0"/>
      <w:marRight w:val="0"/>
      <w:marTop w:val="0"/>
      <w:marBottom w:val="0"/>
      <w:divBdr>
        <w:top w:val="none" w:sz="0" w:space="0" w:color="auto"/>
        <w:left w:val="none" w:sz="0" w:space="0" w:color="auto"/>
        <w:bottom w:val="none" w:sz="0" w:space="0" w:color="auto"/>
        <w:right w:val="none" w:sz="0" w:space="0" w:color="auto"/>
      </w:divBdr>
    </w:div>
    <w:div w:id="949043913">
      <w:bodyDiv w:val="1"/>
      <w:marLeft w:val="0"/>
      <w:marRight w:val="0"/>
      <w:marTop w:val="0"/>
      <w:marBottom w:val="0"/>
      <w:divBdr>
        <w:top w:val="none" w:sz="0" w:space="0" w:color="auto"/>
        <w:left w:val="none" w:sz="0" w:space="0" w:color="auto"/>
        <w:bottom w:val="none" w:sz="0" w:space="0" w:color="auto"/>
        <w:right w:val="none" w:sz="0" w:space="0" w:color="auto"/>
      </w:divBdr>
    </w:div>
    <w:div w:id="951398977">
      <w:bodyDiv w:val="1"/>
      <w:marLeft w:val="0"/>
      <w:marRight w:val="0"/>
      <w:marTop w:val="0"/>
      <w:marBottom w:val="0"/>
      <w:divBdr>
        <w:top w:val="none" w:sz="0" w:space="0" w:color="auto"/>
        <w:left w:val="none" w:sz="0" w:space="0" w:color="auto"/>
        <w:bottom w:val="none" w:sz="0" w:space="0" w:color="auto"/>
        <w:right w:val="none" w:sz="0" w:space="0" w:color="auto"/>
      </w:divBdr>
    </w:div>
    <w:div w:id="960575847">
      <w:bodyDiv w:val="1"/>
      <w:marLeft w:val="0"/>
      <w:marRight w:val="0"/>
      <w:marTop w:val="0"/>
      <w:marBottom w:val="0"/>
      <w:divBdr>
        <w:top w:val="none" w:sz="0" w:space="0" w:color="auto"/>
        <w:left w:val="none" w:sz="0" w:space="0" w:color="auto"/>
        <w:bottom w:val="none" w:sz="0" w:space="0" w:color="auto"/>
        <w:right w:val="none" w:sz="0" w:space="0" w:color="auto"/>
      </w:divBdr>
      <w:divsChild>
        <w:div w:id="1348672575">
          <w:marLeft w:val="0"/>
          <w:marRight w:val="0"/>
          <w:marTop w:val="0"/>
          <w:marBottom w:val="0"/>
          <w:divBdr>
            <w:top w:val="none" w:sz="0" w:space="0" w:color="auto"/>
            <w:left w:val="none" w:sz="0" w:space="0" w:color="auto"/>
            <w:bottom w:val="none" w:sz="0" w:space="0" w:color="auto"/>
            <w:right w:val="none" w:sz="0" w:space="0" w:color="auto"/>
          </w:divBdr>
          <w:divsChild>
            <w:div w:id="2071690441">
              <w:marLeft w:val="0"/>
              <w:marRight w:val="0"/>
              <w:marTop w:val="0"/>
              <w:marBottom w:val="0"/>
              <w:divBdr>
                <w:top w:val="none" w:sz="0" w:space="0" w:color="auto"/>
                <w:left w:val="none" w:sz="0" w:space="0" w:color="auto"/>
                <w:bottom w:val="none" w:sz="0" w:space="0" w:color="auto"/>
                <w:right w:val="none" w:sz="0" w:space="0" w:color="auto"/>
              </w:divBdr>
              <w:divsChild>
                <w:div w:id="1176576833">
                  <w:marLeft w:val="0"/>
                  <w:marRight w:val="0"/>
                  <w:marTop w:val="0"/>
                  <w:marBottom w:val="0"/>
                  <w:divBdr>
                    <w:top w:val="none" w:sz="0" w:space="0" w:color="auto"/>
                    <w:left w:val="none" w:sz="0" w:space="0" w:color="auto"/>
                    <w:bottom w:val="none" w:sz="0" w:space="0" w:color="auto"/>
                    <w:right w:val="none" w:sz="0" w:space="0" w:color="auto"/>
                  </w:divBdr>
                  <w:divsChild>
                    <w:div w:id="16457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842728">
      <w:bodyDiv w:val="1"/>
      <w:marLeft w:val="0"/>
      <w:marRight w:val="0"/>
      <w:marTop w:val="0"/>
      <w:marBottom w:val="0"/>
      <w:divBdr>
        <w:top w:val="none" w:sz="0" w:space="0" w:color="auto"/>
        <w:left w:val="none" w:sz="0" w:space="0" w:color="auto"/>
        <w:bottom w:val="none" w:sz="0" w:space="0" w:color="auto"/>
        <w:right w:val="none" w:sz="0" w:space="0" w:color="auto"/>
      </w:divBdr>
    </w:div>
    <w:div w:id="981345723">
      <w:bodyDiv w:val="1"/>
      <w:marLeft w:val="0"/>
      <w:marRight w:val="0"/>
      <w:marTop w:val="0"/>
      <w:marBottom w:val="0"/>
      <w:divBdr>
        <w:top w:val="none" w:sz="0" w:space="0" w:color="auto"/>
        <w:left w:val="none" w:sz="0" w:space="0" w:color="auto"/>
        <w:bottom w:val="none" w:sz="0" w:space="0" w:color="auto"/>
        <w:right w:val="none" w:sz="0" w:space="0" w:color="auto"/>
      </w:divBdr>
    </w:div>
    <w:div w:id="1007320257">
      <w:bodyDiv w:val="1"/>
      <w:marLeft w:val="0"/>
      <w:marRight w:val="0"/>
      <w:marTop w:val="0"/>
      <w:marBottom w:val="0"/>
      <w:divBdr>
        <w:top w:val="none" w:sz="0" w:space="0" w:color="auto"/>
        <w:left w:val="none" w:sz="0" w:space="0" w:color="auto"/>
        <w:bottom w:val="none" w:sz="0" w:space="0" w:color="auto"/>
        <w:right w:val="none" w:sz="0" w:space="0" w:color="auto"/>
      </w:divBdr>
    </w:div>
    <w:div w:id="1019814212">
      <w:bodyDiv w:val="1"/>
      <w:marLeft w:val="0"/>
      <w:marRight w:val="0"/>
      <w:marTop w:val="0"/>
      <w:marBottom w:val="0"/>
      <w:divBdr>
        <w:top w:val="none" w:sz="0" w:space="0" w:color="auto"/>
        <w:left w:val="none" w:sz="0" w:space="0" w:color="auto"/>
        <w:bottom w:val="none" w:sz="0" w:space="0" w:color="auto"/>
        <w:right w:val="none" w:sz="0" w:space="0" w:color="auto"/>
      </w:divBdr>
    </w:div>
    <w:div w:id="1036613994">
      <w:bodyDiv w:val="1"/>
      <w:marLeft w:val="0"/>
      <w:marRight w:val="0"/>
      <w:marTop w:val="0"/>
      <w:marBottom w:val="0"/>
      <w:divBdr>
        <w:top w:val="none" w:sz="0" w:space="0" w:color="auto"/>
        <w:left w:val="none" w:sz="0" w:space="0" w:color="auto"/>
        <w:bottom w:val="none" w:sz="0" w:space="0" w:color="auto"/>
        <w:right w:val="none" w:sz="0" w:space="0" w:color="auto"/>
      </w:divBdr>
      <w:divsChild>
        <w:div w:id="1419791435">
          <w:marLeft w:val="0"/>
          <w:marRight w:val="0"/>
          <w:marTop w:val="0"/>
          <w:marBottom w:val="0"/>
          <w:divBdr>
            <w:top w:val="none" w:sz="0" w:space="0" w:color="auto"/>
            <w:left w:val="none" w:sz="0" w:space="0" w:color="auto"/>
            <w:bottom w:val="none" w:sz="0" w:space="0" w:color="auto"/>
            <w:right w:val="none" w:sz="0" w:space="0" w:color="auto"/>
          </w:divBdr>
        </w:div>
        <w:div w:id="1804229939">
          <w:marLeft w:val="0"/>
          <w:marRight w:val="0"/>
          <w:marTop w:val="0"/>
          <w:marBottom w:val="0"/>
          <w:divBdr>
            <w:top w:val="none" w:sz="0" w:space="0" w:color="auto"/>
            <w:left w:val="none" w:sz="0" w:space="0" w:color="auto"/>
            <w:bottom w:val="none" w:sz="0" w:space="0" w:color="auto"/>
            <w:right w:val="none" w:sz="0" w:space="0" w:color="auto"/>
          </w:divBdr>
        </w:div>
        <w:div w:id="326785604">
          <w:marLeft w:val="0"/>
          <w:marRight w:val="0"/>
          <w:marTop w:val="0"/>
          <w:marBottom w:val="0"/>
          <w:divBdr>
            <w:top w:val="none" w:sz="0" w:space="0" w:color="auto"/>
            <w:left w:val="none" w:sz="0" w:space="0" w:color="auto"/>
            <w:bottom w:val="none" w:sz="0" w:space="0" w:color="auto"/>
            <w:right w:val="none" w:sz="0" w:space="0" w:color="auto"/>
          </w:divBdr>
        </w:div>
        <w:div w:id="200942831">
          <w:marLeft w:val="0"/>
          <w:marRight w:val="0"/>
          <w:marTop w:val="0"/>
          <w:marBottom w:val="0"/>
          <w:divBdr>
            <w:top w:val="none" w:sz="0" w:space="0" w:color="auto"/>
            <w:left w:val="none" w:sz="0" w:space="0" w:color="auto"/>
            <w:bottom w:val="none" w:sz="0" w:space="0" w:color="auto"/>
            <w:right w:val="none" w:sz="0" w:space="0" w:color="auto"/>
          </w:divBdr>
        </w:div>
        <w:div w:id="69541302">
          <w:marLeft w:val="0"/>
          <w:marRight w:val="0"/>
          <w:marTop w:val="0"/>
          <w:marBottom w:val="0"/>
          <w:divBdr>
            <w:top w:val="none" w:sz="0" w:space="0" w:color="auto"/>
            <w:left w:val="none" w:sz="0" w:space="0" w:color="auto"/>
            <w:bottom w:val="none" w:sz="0" w:space="0" w:color="auto"/>
            <w:right w:val="none" w:sz="0" w:space="0" w:color="auto"/>
          </w:divBdr>
        </w:div>
        <w:div w:id="1430545583">
          <w:marLeft w:val="0"/>
          <w:marRight w:val="0"/>
          <w:marTop w:val="0"/>
          <w:marBottom w:val="0"/>
          <w:divBdr>
            <w:top w:val="none" w:sz="0" w:space="0" w:color="auto"/>
            <w:left w:val="none" w:sz="0" w:space="0" w:color="auto"/>
            <w:bottom w:val="none" w:sz="0" w:space="0" w:color="auto"/>
            <w:right w:val="none" w:sz="0" w:space="0" w:color="auto"/>
          </w:divBdr>
        </w:div>
        <w:div w:id="776481740">
          <w:marLeft w:val="0"/>
          <w:marRight w:val="0"/>
          <w:marTop w:val="0"/>
          <w:marBottom w:val="0"/>
          <w:divBdr>
            <w:top w:val="none" w:sz="0" w:space="0" w:color="auto"/>
            <w:left w:val="none" w:sz="0" w:space="0" w:color="auto"/>
            <w:bottom w:val="none" w:sz="0" w:space="0" w:color="auto"/>
            <w:right w:val="none" w:sz="0" w:space="0" w:color="auto"/>
          </w:divBdr>
        </w:div>
      </w:divsChild>
    </w:div>
    <w:div w:id="1036614420">
      <w:bodyDiv w:val="1"/>
      <w:marLeft w:val="0"/>
      <w:marRight w:val="0"/>
      <w:marTop w:val="0"/>
      <w:marBottom w:val="0"/>
      <w:divBdr>
        <w:top w:val="none" w:sz="0" w:space="0" w:color="auto"/>
        <w:left w:val="none" w:sz="0" w:space="0" w:color="auto"/>
        <w:bottom w:val="none" w:sz="0" w:space="0" w:color="auto"/>
        <w:right w:val="none" w:sz="0" w:space="0" w:color="auto"/>
      </w:divBdr>
    </w:div>
    <w:div w:id="1046367524">
      <w:bodyDiv w:val="1"/>
      <w:marLeft w:val="0"/>
      <w:marRight w:val="0"/>
      <w:marTop w:val="0"/>
      <w:marBottom w:val="0"/>
      <w:divBdr>
        <w:top w:val="none" w:sz="0" w:space="0" w:color="auto"/>
        <w:left w:val="none" w:sz="0" w:space="0" w:color="auto"/>
        <w:bottom w:val="none" w:sz="0" w:space="0" w:color="auto"/>
        <w:right w:val="none" w:sz="0" w:space="0" w:color="auto"/>
      </w:divBdr>
    </w:div>
    <w:div w:id="1070737303">
      <w:bodyDiv w:val="1"/>
      <w:marLeft w:val="0"/>
      <w:marRight w:val="0"/>
      <w:marTop w:val="0"/>
      <w:marBottom w:val="0"/>
      <w:divBdr>
        <w:top w:val="none" w:sz="0" w:space="0" w:color="auto"/>
        <w:left w:val="none" w:sz="0" w:space="0" w:color="auto"/>
        <w:bottom w:val="none" w:sz="0" w:space="0" w:color="auto"/>
        <w:right w:val="none" w:sz="0" w:space="0" w:color="auto"/>
      </w:divBdr>
    </w:div>
    <w:div w:id="1095831035">
      <w:bodyDiv w:val="1"/>
      <w:marLeft w:val="0"/>
      <w:marRight w:val="0"/>
      <w:marTop w:val="0"/>
      <w:marBottom w:val="0"/>
      <w:divBdr>
        <w:top w:val="none" w:sz="0" w:space="0" w:color="auto"/>
        <w:left w:val="none" w:sz="0" w:space="0" w:color="auto"/>
        <w:bottom w:val="none" w:sz="0" w:space="0" w:color="auto"/>
        <w:right w:val="none" w:sz="0" w:space="0" w:color="auto"/>
      </w:divBdr>
    </w:div>
    <w:div w:id="1145199750">
      <w:bodyDiv w:val="1"/>
      <w:marLeft w:val="0"/>
      <w:marRight w:val="0"/>
      <w:marTop w:val="0"/>
      <w:marBottom w:val="0"/>
      <w:divBdr>
        <w:top w:val="none" w:sz="0" w:space="0" w:color="auto"/>
        <w:left w:val="none" w:sz="0" w:space="0" w:color="auto"/>
        <w:bottom w:val="none" w:sz="0" w:space="0" w:color="auto"/>
        <w:right w:val="none" w:sz="0" w:space="0" w:color="auto"/>
      </w:divBdr>
    </w:div>
    <w:div w:id="1146167688">
      <w:bodyDiv w:val="1"/>
      <w:marLeft w:val="0"/>
      <w:marRight w:val="0"/>
      <w:marTop w:val="0"/>
      <w:marBottom w:val="0"/>
      <w:divBdr>
        <w:top w:val="none" w:sz="0" w:space="0" w:color="auto"/>
        <w:left w:val="none" w:sz="0" w:space="0" w:color="auto"/>
        <w:bottom w:val="none" w:sz="0" w:space="0" w:color="auto"/>
        <w:right w:val="none" w:sz="0" w:space="0" w:color="auto"/>
      </w:divBdr>
    </w:div>
    <w:div w:id="1159031696">
      <w:bodyDiv w:val="1"/>
      <w:marLeft w:val="0"/>
      <w:marRight w:val="0"/>
      <w:marTop w:val="0"/>
      <w:marBottom w:val="0"/>
      <w:divBdr>
        <w:top w:val="none" w:sz="0" w:space="0" w:color="auto"/>
        <w:left w:val="none" w:sz="0" w:space="0" w:color="auto"/>
        <w:bottom w:val="none" w:sz="0" w:space="0" w:color="auto"/>
        <w:right w:val="none" w:sz="0" w:space="0" w:color="auto"/>
      </w:divBdr>
    </w:div>
    <w:div w:id="1159150092">
      <w:bodyDiv w:val="1"/>
      <w:marLeft w:val="0"/>
      <w:marRight w:val="0"/>
      <w:marTop w:val="0"/>
      <w:marBottom w:val="0"/>
      <w:divBdr>
        <w:top w:val="none" w:sz="0" w:space="0" w:color="auto"/>
        <w:left w:val="none" w:sz="0" w:space="0" w:color="auto"/>
        <w:bottom w:val="none" w:sz="0" w:space="0" w:color="auto"/>
        <w:right w:val="none" w:sz="0" w:space="0" w:color="auto"/>
      </w:divBdr>
    </w:div>
    <w:div w:id="1171603730">
      <w:bodyDiv w:val="1"/>
      <w:marLeft w:val="0"/>
      <w:marRight w:val="0"/>
      <w:marTop w:val="0"/>
      <w:marBottom w:val="0"/>
      <w:divBdr>
        <w:top w:val="none" w:sz="0" w:space="0" w:color="auto"/>
        <w:left w:val="none" w:sz="0" w:space="0" w:color="auto"/>
        <w:bottom w:val="none" w:sz="0" w:space="0" w:color="auto"/>
        <w:right w:val="none" w:sz="0" w:space="0" w:color="auto"/>
      </w:divBdr>
    </w:div>
    <w:div w:id="1198204824">
      <w:bodyDiv w:val="1"/>
      <w:marLeft w:val="0"/>
      <w:marRight w:val="0"/>
      <w:marTop w:val="0"/>
      <w:marBottom w:val="0"/>
      <w:divBdr>
        <w:top w:val="none" w:sz="0" w:space="0" w:color="auto"/>
        <w:left w:val="none" w:sz="0" w:space="0" w:color="auto"/>
        <w:bottom w:val="none" w:sz="0" w:space="0" w:color="auto"/>
        <w:right w:val="none" w:sz="0" w:space="0" w:color="auto"/>
      </w:divBdr>
    </w:div>
    <w:div w:id="1209682927">
      <w:bodyDiv w:val="1"/>
      <w:marLeft w:val="0"/>
      <w:marRight w:val="0"/>
      <w:marTop w:val="0"/>
      <w:marBottom w:val="0"/>
      <w:divBdr>
        <w:top w:val="none" w:sz="0" w:space="0" w:color="auto"/>
        <w:left w:val="none" w:sz="0" w:space="0" w:color="auto"/>
        <w:bottom w:val="none" w:sz="0" w:space="0" w:color="auto"/>
        <w:right w:val="none" w:sz="0" w:space="0" w:color="auto"/>
      </w:divBdr>
    </w:div>
    <w:div w:id="1236935053">
      <w:bodyDiv w:val="1"/>
      <w:marLeft w:val="0"/>
      <w:marRight w:val="0"/>
      <w:marTop w:val="0"/>
      <w:marBottom w:val="0"/>
      <w:divBdr>
        <w:top w:val="none" w:sz="0" w:space="0" w:color="auto"/>
        <w:left w:val="none" w:sz="0" w:space="0" w:color="auto"/>
        <w:bottom w:val="none" w:sz="0" w:space="0" w:color="auto"/>
        <w:right w:val="none" w:sz="0" w:space="0" w:color="auto"/>
      </w:divBdr>
    </w:div>
    <w:div w:id="1260724190">
      <w:bodyDiv w:val="1"/>
      <w:marLeft w:val="0"/>
      <w:marRight w:val="0"/>
      <w:marTop w:val="0"/>
      <w:marBottom w:val="0"/>
      <w:divBdr>
        <w:top w:val="none" w:sz="0" w:space="0" w:color="auto"/>
        <w:left w:val="none" w:sz="0" w:space="0" w:color="auto"/>
        <w:bottom w:val="none" w:sz="0" w:space="0" w:color="auto"/>
        <w:right w:val="none" w:sz="0" w:space="0" w:color="auto"/>
      </w:divBdr>
    </w:div>
    <w:div w:id="1260796050">
      <w:bodyDiv w:val="1"/>
      <w:marLeft w:val="0"/>
      <w:marRight w:val="0"/>
      <w:marTop w:val="0"/>
      <w:marBottom w:val="0"/>
      <w:divBdr>
        <w:top w:val="none" w:sz="0" w:space="0" w:color="auto"/>
        <w:left w:val="none" w:sz="0" w:space="0" w:color="auto"/>
        <w:bottom w:val="none" w:sz="0" w:space="0" w:color="auto"/>
        <w:right w:val="none" w:sz="0" w:space="0" w:color="auto"/>
      </w:divBdr>
    </w:div>
    <w:div w:id="1278873301">
      <w:bodyDiv w:val="1"/>
      <w:marLeft w:val="0"/>
      <w:marRight w:val="0"/>
      <w:marTop w:val="0"/>
      <w:marBottom w:val="0"/>
      <w:divBdr>
        <w:top w:val="none" w:sz="0" w:space="0" w:color="auto"/>
        <w:left w:val="none" w:sz="0" w:space="0" w:color="auto"/>
        <w:bottom w:val="none" w:sz="0" w:space="0" w:color="auto"/>
        <w:right w:val="none" w:sz="0" w:space="0" w:color="auto"/>
      </w:divBdr>
    </w:div>
    <w:div w:id="1279801070">
      <w:bodyDiv w:val="1"/>
      <w:marLeft w:val="0"/>
      <w:marRight w:val="0"/>
      <w:marTop w:val="0"/>
      <w:marBottom w:val="0"/>
      <w:divBdr>
        <w:top w:val="none" w:sz="0" w:space="0" w:color="auto"/>
        <w:left w:val="none" w:sz="0" w:space="0" w:color="auto"/>
        <w:bottom w:val="none" w:sz="0" w:space="0" w:color="auto"/>
        <w:right w:val="none" w:sz="0" w:space="0" w:color="auto"/>
      </w:divBdr>
    </w:div>
    <w:div w:id="1285113795">
      <w:bodyDiv w:val="1"/>
      <w:marLeft w:val="0"/>
      <w:marRight w:val="0"/>
      <w:marTop w:val="0"/>
      <w:marBottom w:val="0"/>
      <w:divBdr>
        <w:top w:val="none" w:sz="0" w:space="0" w:color="auto"/>
        <w:left w:val="none" w:sz="0" w:space="0" w:color="auto"/>
        <w:bottom w:val="none" w:sz="0" w:space="0" w:color="auto"/>
        <w:right w:val="none" w:sz="0" w:space="0" w:color="auto"/>
      </w:divBdr>
    </w:div>
    <w:div w:id="1286422801">
      <w:bodyDiv w:val="1"/>
      <w:marLeft w:val="0"/>
      <w:marRight w:val="0"/>
      <w:marTop w:val="0"/>
      <w:marBottom w:val="0"/>
      <w:divBdr>
        <w:top w:val="none" w:sz="0" w:space="0" w:color="auto"/>
        <w:left w:val="none" w:sz="0" w:space="0" w:color="auto"/>
        <w:bottom w:val="none" w:sz="0" w:space="0" w:color="auto"/>
        <w:right w:val="none" w:sz="0" w:space="0" w:color="auto"/>
      </w:divBdr>
    </w:div>
    <w:div w:id="1297222081">
      <w:bodyDiv w:val="1"/>
      <w:marLeft w:val="0"/>
      <w:marRight w:val="0"/>
      <w:marTop w:val="0"/>
      <w:marBottom w:val="0"/>
      <w:divBdr>
        <w:top w:val="none" w:sz="0" w:space="0" w:color="auto"/>
        <w:left w:val="none" w:sz="0" w:space="0" w:color="auto"/>
        <w:bottom w:val="none" w:sz="0" w:space="0" w:color="auto"/>
        <w:right w:val="none" w:sz="0" w:space="0" w:color="auto"/>
      </w:divBdr>
    </w:div>
    <w:div w:id="1298729851">
      <w:bodyDiv w:val="1"/>
      <w:marLeft w:val="0"/>
      <w:marRight w:val="0"/>
      <w:marTop w:val="0"/>
      <w:marBottom w:val="0"/>
      <w:divBdr>
        <w:top w:val="none" w:sz="0" w:space="0" w:color="auto"/>
        <w:left w:val="none" w:sz="0" w:space="0" w:color="auto"/>
        <w:bottom w:val="none" w:sz="0" w:space="0" w:color="auto"/>
        <w:right w:val="none" w:sz="0" w:space="0" w:color="auto"/>
      </w:divBdr>
    </w:div>
    <w:div w:id="1300300574">
      <w:bodyDiv w:val="1"/>
      <w:marLeft w:val="0"/>
      <w:marRight w:val="0"/>
      <w:marTop w:val="0"/>
      <w:marBottom w:val="0"/>
      <w:divBdr>
        <w:top w:val="none" w:sz="0" w:space="0" w:color="auto"/>
        <w:left w:val="none" w:sz="0" w:space="0" w:color="auto"/>
        <w:bottom w:val="none" w:sz="0" w:space="0" w:color="auto"/>
        <w:right w:val="none" w:sz="0" w:space="0" w:color="auto"/>
      </w:divBdr>
    </w:div>
    <w:div w:id="1307274764">
      <w:bodyDiv w:val="1"/>
      <w:marLeft w:val="0"/>
      <w:marRight w:val="0"/>
      <w:marTop w:val="0"/>
      <w:marBottom w:val="0"/>
      <w:divBdr>
        <w:top w:val="none" w:sz="0" w:space="0" w:color="auto"/>
        <w:left w:val="none" w:sz="0" w:space="0" w:color="auto"/>
        <w:bottom w:val="none" w:sz="0" w:space="0" w:color="auto"/>
        <w:right w:val="none" w:sz="0" w:space="0" w:color="auto"/>
      </w:divBdr>
      <w:divsChild>
        <w:div w:id="1923828656">
          <w:marLeft w:val="0"/>
          <w:marRight w:val="0"/>
          <w:marTop w:val="0"/>
          <w:marBottom w:val="0"/>
          <w:divBdr>
            <w:top w:val="none" w:sz="0" w:space="0" w:color="auto"/>
            <w:left w:val="none" w:sz="0" w:space="0" w:color="auto"/>
            <w:bottom w:val="none" w:sz="0" w:space="0" w:color="auto"/>
            <w:right w:val="none" w:sz="0" w:space="0" w:color="auto"/>
          </w:divBdr>
          <w:divsChild>
            <w:div w:id="382602677">
              <w:marLeft w:val="0"/>
              <w:marRight w:val="0"/>
              <w:marTop w:val="0"/>
              <w:marBottom w:val="0"/>
              <w:divBdr>
                <w:top w:val="none" w:sz="0" w:space="0" w:color="auto"/>
                <w:left w:val="none" w:sz="0" w:space="0" w:color="auto"/>
                <w:bottom w:val="none" w:sz="0" w:space="0" w:color="auto"/>
                <w:right w:val="none" w:sz="0" w:space="0" w:color="auto"/>
              </w:divBdr>
              <w:divsChild>
                <w:div w:id="499782418">
                  <w:marLeft w:val="0"/>
                  <w:marRight w:val="0"/>
                  <w:marTop w:val="0"/>
                  <w:marBottom w:val="0"/>
                  <w:divBdr>
                    <w:top w:val="none" w:sz="0" w:space="0" w:color="auto"/>
                    <w:left w:val="none" w:sz="0" w:space="0" w:color="auto"/>
                    <w:bottom w:val="none" w:sz="0" w:space="0" w:color="auto"/>
                    <w:right w:val="none" w:sz="0" w:space="0" w:color="auto"/>
                  </w:divBdr>
                  <w:divsChild>
                    <w:div w:id="10840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57600">
      <w:bodyDiv w:val="1"/>
      <w:marLeft w:val="0"/>
      <w:marRight w:val="0"/>
      <w:marTop w:val="0"/>
      <w:marBottom w:val="0"/>
      <w:divBdr>
        <w:top w:val="none" w:sz="0" w:space="0" w:color="auto"/>
        <w:left w:val="none" w:sz="0" w:space="0" w:color="auto"/>
        <w:bottom w:val="none" w:sz="0" w:space="0" w:color="auto"/>
        <w:right w:val="none" w:sz="0" w:space="0" w:color="auto"/>
      </w:divBdr>
    </w:div>
    <w:div w:id="1312245417">
      <w:bodyDiv w:val="1"/>
      <w:marLeft w:val="0"/>
      <w:marRight w:val="0"/>
      <w:marTop w:val="0"/>
      <w:marBottom w:val="0"/>
      <w:divBdr>
        <w:top w:val="none" w:sz="0" w:space="0" w:color="auto"/>
        <w:left w:val="none" w:sz="0" w:space="0" w:color="auto"/>
        <w:bottom w:val="none" w:sz="0" w:space="0" w:color="auto"/>
        <w:right w:val="none" w:sz="0" w:space="0" w:color="auto"/>
      </w:divBdr>
    </w:div>
    <w:div w:id="1321621321">
      <w:bodyDiv w:val="1"/>
      <w:marLeft w:val="0"/>
      <w:marRight w:val="0"/>
      <w:marTop w:val="0"/>
      <w:marBottom w:val="0"/>
      <w:divBdr>
        <w:top w:val="none" w:sz="0" w:space="0" w:color="auto"/>
        <w:left w:val="none" w:sz="0" w:space="0" w:color="auto"/>
        <w:bottom w:val="none" w:sz="0" w:space="0" w:color="auto"/>
        <w:right w:val="none" w:sz="0" w:space="0" w:color="auto"/>
      </w:divBdr>
    </w:div>
    <w:div w:id="1322465830">
      <w:bodyDiv w:val="1"/>
      <w:marLeft w:val="0"/>
      <w:marRight w:val="0"/>
      <w:marTop w:val="0"/>
      <w:marBottom w:val="0"/>
      <w:divBdr>
        <w:top w:val="none" w:sz="0" w:space="0" w:color="auto"/>
        <w:left w:val="none" w:sz="0" w:space="0" w:color="auto"/>
        <w:bottom w:val="none" w:sz="0" w:space="0" w:color="auto"/>
        <w:right w:val="none" w:sz="0" w:space="0" w:color="auto"/>
      </w:divBdr>
      <w:divsChild>
        <w:div w:id="1144127967">
          <w:marLeft w:val="0"/>
          <w:marRight w:val="0"/>
          <w:marTop w:val="0"/>
          <w:marBottom w:val="0"/>
          <w:divBdr>
            <w:top w:val="none" w:sz="0" w:space="0" w:color="auto"/>
            <w:left w:val="none" w:sz="0" w:space="0" w:color="auto"/>
            <w:bottom w:val="none" w:sz="0" w:space="0" w:color="auto"/>
            <w:right w:val="none" w:sz="0" w:space="0" w:color="auto"/>
          </w:divBdr>
          <w:divsChild>
            <w:div w:id="6445644">
              <w:marLeft w:val="0"/>
              <w:marRight w:val="0"/>
              <w:marTop w:val="0"/>
              <w:marBottom w:val="0"/>
              <w:divBdr>
                <w:top w:val="none" w:sz="0" w:space="0" w:color="auto"/>
                <w:left w:val="none" w:sz="0" w:space="0" w:color="auto"/>
                <w:bottom w:val="none" w:sz="0" w:space="0" w:color="auto"/>
                <w:right w:val="none" w:sz="0" w:space="0" w:color="auto"/>
              </w:divBdr>
              <w:divsChild>
                <w:div w:id="10672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7833">
      <w:bodyDiv w:val="1"/>
      <w:marLeft w:val="0"/>
      <w:marRight w:val="0"/>
      <w:marTop w:val="0"/>
      <w:marBottom w:val="0"/>
      <w:divBdr>
        <w:top w:val="none" w:sz="0" w:space="0" w:color="auto"/>
        <w:left w:val="none" w:sz="0" w:space="0" w:color="auto"/>
        <w:bottom w:val="none" w:sz="0" w:space="0" w:color="auto"/>
        <w:right w:val="none" w:sz="0" w:space="0" w:color="auto"/>
      </w:divBdr>
    </w:div>
    <w:div w:id="1365402750">
      <w:bodyDiv w:val="1"/>
      <w:marLeft w:val="0"/>
      <w:marRight w:val="0"/>
      <w:marTop w:val="0"/>
      <w:marBottom w:val="0"/>
      <w:divBdr>
        <w:top w:val="none" w:sz="0" w:space="0" w:color="auto"/>
        <w:left w:val="none" w:sz="0" w:space="0" w:color="auto"/>
        <w:bottom w:val="none" w:sz="0" w:space="0" w:color="auto"/>
        <w:right w:val="none" w:sz="0" w:space="0" w:color="auto"/>
      </w:divBdr>
    </w:div>
    <w:div w:id="1375886289">
      <w:bodyDiv w:val="1"/>
      <w:marLeft w:val="0"/>
      <w:marRight w:val="0"/>
      <w:marTop w:val="0"/>
      <w:marBottom w:val="0"/>
      <w:divBdr>
        <w:top w:val="none" w:sz="0" w:space="0" w:color="auto"/>
        <w:left w:val="none" w:sz="0" w:space="0" w:color="auto"/>
        <w:bottom w:val="none" w:sz="0" w:space="0" w:color="auto"/>
        <w:right w:val="none" w:sz="0" w:space="0" w:color="auto"/>
      </w:divBdr>
    </w:div>
    <w:div w:id="1378434152">
      <w:bodyDiv w:val="1"/>
      <w:marLeft w:val="0"/>
      <w:marRight w:val="0"/>
      <w:marTop w:val="0"/>
      <w:marBottom w:val="0"/>
      <w:divBdr>
        <w:top w:val="none" w:sz="0" w:space="0" w:color="auto"/>
        <w:left w:val="none" w:sz="0" w:space="0" w:color="auto"/>
        <w:bottom w:val="none" w:sz="0" w:space="0" w:color="auto"/>
        <w:right w:val="none" w:sz="0" w:space="0" w:color="auto"/>
      </w:divBdr>
      <w:divsChild>
        <w:div w:id="140461974">
          <w:marLeft w:val="0"/>
          <w:marRight w:val="0"/>
          <w:marTop w:val="0"/>
          <w:marBottom w:val="0"/>
          <w:divBdr>
            <w:top w:val="none" w:sz="0" w:space="0" w:color="auto"/>
            <w:left w:val="none" w:sz="0" w:space="0" w:color="auto"/>
            <w:bottom w:val="none" w:sz="0" w:space="0" w:color="auto"/>
            <w:right w:val="none" w:sz="0" w:space="0" w:color="auto"/>
          </w:divBdr>
          <w:divsChild>
            <w:div w:id="1044140982">
              <w:marLeft w:val="0"/>
              <w:marRight w:val="0"/>
              <w:marTop w:val="0"/>
              <w:marBottom w:val="0"/>
              <w:divBdr>
                <w:top w:val="none" w:sz="0" w:space="0" w:color="auto"/>
                <w:left w:val="none" w:sz="0" w:space="0" w:color="auto"/>
                <w:bottom w:val="none" w:sz="0" w:space="0" w:color="auto"/>
                <w:right w:val="none" w:sz="0" w:space="0" w:color="auto"/>
              </w:divBdr>
              <w:divsChild>
                <w:div w:id="17352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23980">
      <w:bodyDiv w:val="1"/>
      <w:marLeft w:val="0"/>
      <w:marRight w:val="0"/>
      <w:marTop w:val="0"/>
      <w:marBottom w:val="0"/>
      <w:divBdr>
        <w:top w:val="none" w:sz="0" w:space="0" w:color="auto"/>
        <w:left w:val="none" w:sz="0" w:space="0" w:color="auto"/>
        <w:bottom w:val="none" w:sz="0" w:space="0" w:color="auto"/>
        <w:right w:val="none" w:sz="0" w:space="0" w:color="auto"/>
      </w:divBdr>
      <w:divsChild>
        <w:div w:id="1556971154">
          <w:marLeft w:val="0"/>
          <w:marRight w:val="0"/>
          <w:marTop w:val="0"/>
          <w:marBottom w:val="0"/>
          <w:divBdr>
            <w:top w:val="none" w:sz="0" w:space="0" w:color="auto"/>
            <w:left w:val="none" w:sz="0" w:space="0" w:color="auto"/>
            <w:bottom w:val="none" w:sz="0" w:space="0" w:color="auto"/>
            <w:right w:val="none" w:sz="0" w:space="0" w:color="auto"/>
          </w:divBdr>
          <w:divsChild>
            <w:div w:id="1205949518">
              <w:marLeft w:val="0"/>
              <w:marRight w:val="0"/>
              <w:marTop w:val="0"/>
              <w:marBottom w:val="0"/>
              <w:divBdr>
                <w:top w:val="none" w:sz="0" w:space="0" w:color="auto"/>
                <w:left w:val="none" w:sz="0" w:space="0" w:color="auto"/>
                <w:bottom w:val="none" w:sz="0" w:space="0" w:color="auto"/>
                <w:right w:val="none" w:sz="0" w:space="0" w:color="auto"/>
              </w:divBdr>
              <w:divsChild>
                <w:div w:id="5727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5164">
      <w:bodyDiv w:val="1"/>
      <w:marLeft w:val="0"/>
      <w:marRight w:val="0"/>
      <w:marTop w:val="0"/>
      <w:marBottom w:val="0"/>
      <w:divBdr>
        <w:top w:val="none" w:sz="0" w:space="0" w:color="auto"/>
        <w:left w:val="none" w:sz="0" w:space="0" w:color="auto"/>
        <w:bottom w:val="none" w:sz="0" w:space="0" w:color="auto"/>
        <w:right w:val="none" w:sz="0" w:space="0" w:color="auto"/>
      </w:divBdr>
    </w:div>
    <w:div w:id="1430853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4633">
          <w:marLeft w:val="0"/>
          <w:marRight w:val="0"/>
          <w:marTop w:val="0"/>
          <w:marBottom w:val="0"/>
          <w:divBdr>
            <w:top w:val="none" w:sz="0" w:space="0" w:color="auto"/>
            <w:left w:val="none" w:sz="0" w:space="0" w:color="auto"/>
            <w:bottom w:val="none" w:sz="0" w:space="0" w:color="auto"/>
            <w:right w:val="none" w:sz="0" w:space="0" w:color="auto"/>
          </w:divBdr>
          <w:divsChild>
            <w:div w:id="1024598972">
              <w:marLeft w:val="0"/>
              <w:marRight w:val="0"/>
              <w:marTop w:val="0"/>
              <w:marBottom w:val="0"/>
              <w:divBdr>
                <w:top w:val="none" w:sz="0" w:space="0" w:color="auto"/>
                <w:left w:val="none" w:sz="0" w:space="0" w:color="auto"/>
                <w:bottom w:val="none" w:sz="0" w:space="0" w:color="auto"/>
                <w:right w:val="none" w:sz="0" w:space="0" w:color="auto"/>
              </w:divBdr>
              <w:divsChild>
                <w:div w:id="1101341503">
                  <w:marLeft w:val="0"/>
                  <w:marRight w:val="0"/>
                  <w:marTop w:val="0"/>
                  <w:marBottom w:val="0"/>
                  <w:divBdr>
                    <w:top w:val="none" w:sz="0" w:space="0" w:color="auto"/>
                    <w:left w:val="none" w:sz="0" w:space="0" w:color="auto"/>
                    <w:bottom w:val="none" w:sz="0" w:space="0" w:color="auto"/>
                    <w:right w:val="none" w:sz="0" w:space="0" w:color="auto"/>
                  </w:divBdr>
                  <w:divsChild>
                    <w:div w:id="12111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4231">
      <w:bodyDiv w:val="1"/>
      <w:marLeft w:val="0"/>
      <w:marRight w:val="0"/>
      <w:marTop w:val="0"/>
      <w:marBottom w:val="0"/>
      <w:divBdr>
        <w:top w:val="none" w:sz="0" w:space="0" w:color="auto"/>
        <w:left w:val="none" w:sz="0" w:space="0" w:color="auto"/>
        <w:bottom w:val="none" w:sz="0" w:space="0" w:color="auto"/>
        <w:right w:val="none" w:sz="0" w:space="0" w:color="auto"/>
      </w:divBdr>
    </w:div>
    <w:div w:id="1475218493">
      <w:bodyDiv w:val="1"/>
      <w:marLeft w:val="0"/>
      <w:marRight w:val="0"/>
      <w:marTop w:val="0"/>
      <w:marBottom w:val="0"/>
      <w:divBdr>
        <w:top w:val="none" w:sz="0" w:space="0" w:color="auto"/>
        <w:left w:val="none" w:sz="0" w:space="0" w:color="auto"/>
        <w:bottom w:val="none" w:sz="0" w:space="0" w:color="auto"/>
        <w:right w:val="none" w:sz="0" w:space="0" w:color="auto"/>
      </w:divBdr>
    </w:div>
    <w:div w:id="1485899679">
      <w:bodyDiv w:val="1"/>
      <w:marLeft w:val="0"/>
      <w:marRight w:val="0"/>
      <w:marTop w:val="0"/>
      <w:marBottom w:val="0"/>
      <w:divBdr>
        <w:top w:val="none" w:sz="0" w:space="0" w:color="auto"/>
        <w:left w:val="none" w:sz="0" w:space="0" w:color="auto"/>
        <w:bottom w:val="none" w:sz="0" w:space="0" w:color="auto"/>
        <w:right w:val="none" w:sz="0" w:space="0" w:color="auto"/>
      </w:divBdr>
      <w:divsChild>
        <w:div w:id="1795517576">
          <w:marLeft w:val="0"/>
          <w:marRight w:val="0"/>
          <w:marTop w:val="0"/>
          <w:marBottom w:val="0"/>
          <w:divBdr>
            <w:top w:val="none" w:sz="0" w:space="0" w:color="auto"/>
            <w:left w:val="none" w:sz="0" w:space="0" w:color="auto"/>
            <w:bottom w:val="none" w:sz="0" w:space="0" w:color="auto"/>
            <w:right w:val="none" w:sz="0" w:space="0" w:color="auto"/>
          </w:divBdr>
          <w:divsChild>
            <w:div w:id="944078780">
              <w:marLeft w:val="0"/>
              <w:marRight w:val="0"/>
              <w:marTop w:val="0"/>
              <w:marBottom w:val="0"/>
              <w:divBdr>
                <w:top w:val="none" w:sz="0" w:space="0" w:color="auto"/>
                <w:left w:val="none" w:sz="0" w:space="0" w:color="auto"/>
                <w:bottom w:val="none" w:sz="0" w:space="0" w:color="auto"/>
                <w:right w:val="none" w:sz="0" w:space="0" w:color="auto"/>
              </w:divBdr>
              <w:divsChild>
                <w:div w:id="7592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92240">
      <w:bodyDiv w:val="1"/>
      <w:marLeft w:val="0"/>
      <w:marRight w:val="0"/>
      <w:marTop w:val="0"/>
      <w:marBottom w:val="0"/>
      <w:divBdr>
        <w:top w:val="none" w:sz="0" w:space="0" w:color="auto"/>
        <w:left w:val="none" w:sz="0" w:space="0" w:color="auto"/>
        <w:bottom w:val="none" w:sz="0" w:space="0" w:color="auto"/>
        <w:right w:val="none" w:sz="0" w:space="0" w:color="auto"/>
      </w:divBdr>
    </w:div>
    <w:div w:id="1503282382">
      <w:bodyDiv w:val="1"/>
      <w:marLeft w:val="0"/>
      <w:marRight w:val="0"/>
      <w:marTop w:val="0"/>
      <w:marBottom w:val="0"/>
      <w:divBdr>
        <w:top w:val="none" w:sz="0" w:space="0" w:color="auto"/>
        <w:left w:val="none" w:sz="0" w:space="0" w:color="auto"/>
        <w:bottom w:val="none" w:sz="0" w:space="0" w:color="auto"/>
        <w:right w:val="none" w:sz="0" w:space="0" w:color="auto"/>
      </w:divBdr>
      <w:divsChild>
        <w:div w:id="1817061570">
          <w:marLeft w:val="0"/>
          <w:marRight w:val="0"/>
          <w:marTop w:val="0"/>
          <w:marBottom w:val="0"/>
          <w:divBdr>
            <w:top w:val="none" w:sz="0" w:space="0" w:color="auto"/>
            <w:left w:val="none" w:sz="0" w:space="0" w:color="auto"/>
            <w:bottom w:val="none" w:sz="0" w:space="0" w:color="auto"/>
            <w:right w:val="none" w:sz="0" w:space="0" w:color="auto"/>
          </w:divBdr>
        </w:div>
        <w:div w:id="514392835">
          <w:marLeft w:val="0"/>
          <w:marRight w:val="0"/>
          <w:marTop w:val="0"/>
          <w:marBottom w:val="0"/>
          <w:divBdr>
            <w:top w:val="none" w:sz="0" w:space="0" w:color="auto"/>
            <w:left w:val="none" w:sz="0" w:space="0" w:color="auto"/>
            <w:bottom w:val="none" w:sz="0" w:space="0" w:color="auto"/>
            <w:right w:val="none" w:sz="0" w:space="0" w:color="auto"/>
          </w:divBdr>
        </w:div>
        <w:div w:id="458644042">
          <w:marLeft w:val="0"/>
          <w:marRight w:val="0"/>
          <w:marTop w:val="0"/>
          <w:marBottom w:val="0"/>
          <w:divBdr>
            <w:top w:val="none" w:sz="0" w:space="0" w:color="auto"/>
            <w:left w:val="none" w:sz="0" w:space="0" w:color="auto"/>
            <w:bottom w:val="none" w:sz="0" w:space="0" w:color="auto"/>
            <w:right w:val="none" w:sz="0" w:space="0" w:color="auto"/>
          </w:divBdr>
        </w:div>
        <w:div w:id="1854417570">
          <w:marLeft w:val="0"/>
          <w:marRight w:val="0"/>
          <w:marTop w:val="0"/>
          <w:marBottom w:val="0"/>
          <w:divBdr>
            <w:top w:val="none" w:sz="0" w:space="0" w:color="auto"/>
            <w:left w:val="none" w:sz="0" w:space="0" w:color="auto"/>
            <w:bottom w:val="none" w:sz="0" w:space="0" w:color="auto"/>
            <w:right w:val="none" w:sz="0" w:space="0" w:color="auto"/>
          </w:divBdr>
        </w:div>
        <w:div w:id="496267972">
          <w:marLeft w:val="0"/>
          <w:marRight w:val="0"/>
          <w:marTop w:val="0"/>
          <w:marBottom w:val="0"/>
          <w:divBdr>
            <w:top w:val="none" w:sz="0" w:space="0" w:color="auto"/>
            <w:left w:val="none" w:sz="0" w:space="0" w:color="auto"/>
            <w:bottom w:val="none" w:sz="0" w:space="0" w:color="auto"/>
            <w:right w:val="none" w:sz="0" w:space="0" w:color="auto"/>
          </w:divBdr>
        </w:div>
        <w:div w:id="2014529636">
          <w:marLeft w:val="0"/>
          <w:marRight w:val="0"/>
          <w:marTop w:val="0"/>
          <w:marBottom w:val="0"/>
          <w:divBdr>
            <w:top w:val="none" w:sz="0" w:space="0" w:color="auto"/>
            <w:left w:val="none" w:sz="0" w:space="0" w:color="auto"/>
            <w:bottom w:val="none" w:sz="0" w:space="0" w:color="auto"/>
            <w:right w:val="none" w:sz="0" w:space="0" w:color="auto"/>
          </w:divBdr>
        </w:div>
        <w:div w:id="1027103895">
          <w:marLeft w:val="0"/>
          <w:marRight w:val="0"/>
          <w:marTop w:val="0"/>
          <w:marBottom w:val="0"/>
          <w:divBdr>
            <w:top w:val="none" w:sz="0" w:space="0" w:color="auto"/>
            <w:left w:val="none" w:sz="0" w:space="0" w:color="auto"/>
            <w:bottom w:val="none" w:sz="0" w:space="0" w:color="auto"/>
            <w:right w:val="none" w:sz="0" w:space="0" w:color="auto"/>
          </w:divBdr>
        </w:div>
        <w:div w:id="984747815">
          <w:marLeft w:val="0"/>
          <w:marRight w:val="0"/>
          <w:marTop w:val="0"/>
          <w:marBottom w:val="0"/>
          <w:divBdr>
            <w:top w:val="none" w:sz="0" w:space="0" w:color="auto"/>
            <w:left w:val="none" w:sz="0" w:space="0" w:color="auto"/>
            <w:bottom w:val="none" w:sz="0" w:space="0" w:color="auto"/>
            <w:right w:val="none" w:sz="0" w:space="0" w:color="auto"/>
          </w:divBdr>
        </w:div>
      </w:divsChild>
    </w:div>
    <w:div w:id="1509906153">
      <w:bodyDiv w:val="1"/>
      <w:marLeft w:val="0"/>
      <w:marRight w:val="0"/>
      <w:marTop w:val="0"/>
      <w:marBottom w:val="0"/>
      <w:divBdr>
        <w:top w:val="none" w:sz="0" w:space="0" w:color="auto"/>
        <w:left w:val="none" w:sz="0" w:space="0" w:color="auto"/>
        <w:bottom w:val="none" w:sz="0" w:space="0" w:color="auto"/>
        <w:right w:val="none" w:sz="0" w:space="0" w:color="auto"/>
      </w:divBdr>
    </w:div>
    <w:div w:id="1521628803">
      <w:bodyDiv w:val="1"/>
      <w:marLeft w:val="0"/>
      <w:marRight w:val="0"/>
      <w:marTop w:val="0"/>
      <w:marBottom w:val="0"/>
      <w:divBdr>
        <w:top w:val="none" w:sz="0" w:space="0" w:color="auto"/>
        <w:left w:val="none" w:sz="0" w:space="0" w:color="auto"/>
        <w:bottom w:val="none" w:sz="0" w:space="0" w:color="auto"/>
        <w:right w:val="none" w:sz="0" w:space="0" w:color="auto"/>
      </w:divBdr>
      <w:divsChild>
        <w:div w:id="639653670">
          <w:marLeft w:val="0"/>
          <w:marRight w:val="0"/>
          <w:marTop w:val="0"/>
          <w:marBottom w:val="0"/>
          <w:divBdr>
            <w:top w:val="none" w:sz="0" w:space="0" w:color="auto"/>
            <w:left w:val="none" w:sz="0" w:space="0" w:color="auto"/>
            <w:bottom w:val="none" w:sz="0" w:space="0" w:color="auto"/>
            <w:right w:val="none" w:sz="0" w:space="0" w:color="auto"/>
          </w:divBdr>
        </w:div>
        <w:div w:id="1579899291">
          <w:marLeft w:val="0"/>
          <w:marRight w:val="0"/>
          <w:marTop w:val="0"/>
          <w:marBottom w:val="0"/>
          <w:divBdr>
            <w:top w:val="none" w:sz="0" w:space="0" w:color="auto"/>
            <w:left w:val="none" w:sz="0" w:space="0" w:color="auto"/>
            <w:bottom w:val="none" w:sz="0" w:space="0" w:color="auto"/>
            <w:right w:val="none" w:sz="0" w:space="0" w:color="auto"/>
          </w:divBdr>
        </w:div>
        <w:div w:id="922759142">
          <w:marLeft w:val="0"/>
          <w:marRight w:val="0"/>
          <w:marTop w:val="0"/>
          <w:marBottom w:val="0"/>
          <w:divBdr>
            <w:top w:val="none" w:sz="0" w:space="0" w:color="auto"/>
            <w:left w:val="none" w:sz="0" w:space="0" w:color="auto"/>
            <w:bottom w:val="none" w:sz="0" w:space="0" w:color="auto"/>
            <w:right w:val="none" w:sz="0" w:space="0" w:color="auto"/>
          </w:divBdr>
        </w:div>
        <w:div w:id="553152536">
          <w:marLeft w:val="0"/>
          <w:marRight w:val="0"/>
          <w:marTop w:val="0"/>
          <w:marBottom w:val="0"/>
          <w:divBdr>
            <w:top w:val="none" w:sz="0" w:space="0" w:color="auto"/>
            <w:left w:val="none" w:sz="0" w:space="0" w:color="auto"/>
            <w:bottom w:val="none" w:sz="0" w:space="0" w:color="auto"/>
            <w:right w:val="none" w:sz="0" w:space="0" w:color="auto"/>
          </w:divBdr>
        </w:div>
        <w:div w:id="1916235292">
          <w:marLeft w:val="0"/>
          <w:marRight w:val="0"/>
          <w:marTop w:val="0"/>
          <w:marBottom w:val="0"/>
          <w:divBdr>
            <w:top w:val="none" w:sz="0" w:space="0" w:color="auto"/>
            <w:left w:val="none" w:sz="0" w:space="0" w:color="auto"/>
            <w:bottom w:val="none" w:sz="0" w:space="0" w:color="auto"/>
            <w:right w:val="none" w:sz="0" w:space="0" w:color="auto"/>
          </w:divBdr>
        </w:div>
        <w:div w:id="1252853434">
          <w:marLeft w:val="0"/>
          <w:marRight w:val="0"/>
          <w:marTop w:val="0"/>
          <w:marBottom w:val="0"/>
          <w:divBdr>
            <w:top w:val="none" w:sz="0" w:space="0" w:color="auto"/>
            <w:left w:val="none" w:sz="0" w:space="0" w:color="auto"/>
            <w:bottom w:val="none" w:sz="0" w:space="0" w:color="auto"/>
            <w:right w:val="none" w:sz="0" w:space="0" w:color="auto"/>
          </w:divBdr>
        </w:div>
        <w:div w:id="274215528">
          <w:marLeft w:val="0"/>
          <w:marRight w:val="0"/>
          <w:marTop w:val="0"/>
          <w:marBottom w:val="0"/>
          <w:divBdr>
            <w:top w:val="none" w:sz="0" w:space="0" w:color="auto"/>
            <w:left w:val="none" w:sz="0" w:space="0" w:color="auto"/>
            <w:bottom w:val="none" w:sz="0" w:space="0" w:color="auto"/>
            <w:right w:val="none" w:sz="0" w:space="0" w:color="auto"/>
          </w:divBdr>
        </w:div>
      </w:divsChild>
    </w:div>
    <w:div w:id="1523133678">
      <w:bodyDiv w:val="1"/>
      <w:marLeft w:val="0"/>
      <w:marRight w:val="0"/>
      <w:marTop w:val="0"/>
      <w:marBottom w:val="0"/>
      <w:divBdr>
        <w:top w:val="none" w:sz="0" w:space="0" w:color="auto"/>
        <w:left w:val="none" w:sz="0" w:space="0" w:color="auto"/>
        <w:bottom w:val="none" w:sz="0" w:space="0" w:color="auto"/>
        <w:right w:val="none" w:sz="0" w:space="0" w:color="auto"/>
      </w:divBdr>
    </w:div>
    <w:div w:id="1529027582">
      <w:bodyDiv w:val="1"/>
      <w:marLeft w:val="0"/>
      <w:marRight w:val="0"/>
      <w:marTop w:val="0"/>
      <w:marBottom w:val="0"/>
      <w:divBdr>
        <w:top w:val="none" w:sz="0" w:space="0" w:color="auto"/>
        <w:left w:val="none" w:sz="0" w:space="0" w:color="auto"/>
        <w:bottom w:val="none" w:sz="0" w:space="0" w:color="auto"/>
        <w:right w:val="none" w:sz="0" w:space="0" w:color="auto"/>
      </w:divBdr>
    </w:div>
    <w:div w:id="1563177789">
      <w:bodyDiv w:val="1"/>
      <w:marLeft w:val="0"/>
      <w:marRight w:val="0"/>
      <w:marTop w:val="0"/>
      <w:marBottom w:val="0"/>
      <w:divBdr>
        <w:top w:val="none" w:sz="0" w:space="0" w:color="auto"/>
        <w:left w:val="none" w:sz="0" w:space="0" w:color="auto"/>
        <w:bottom w:val="none" w:sz="0" w:space="0" w:color="auto"/>
        <w:right w:val="none" w:sz="0" w:space="0" w:color="auto"/>
      </w:divBdr>
      <w:divsChild>
        <w:div w:id="1479764939">
          <w:marLeft w:val="0"/>
          <w:marRight w:val="0"/>
          <w:marTop w:val="0"/>
          <w:marBottom w:val="0"/>
          <w:divBdr>
            <w:top w:val="none" w:sz="0" w:space="0" w:color="auto"/>
            <w:left w:val="none" w:sz="0" w:space="0" w:color="auto"/>
            <w:bottom w:val="none" w:sz="0" w:space="0" w:color="auto"/>
            <w:right w:val="none" w:sz="0" w:space="0" w:color="auto"/>
          </w:divBdr>
        </w:div>
        <w:div w:id="2003122594">
          <w:marLeft w:val="0"/>
          <w:marRight w:val="0"/>
          <w:marTop w:val="0"/>
          <w:marBottom w:val="0"/>
          <w:divBdr>
            <w:top w:val="none" w:sz="0" w:space="0" w:color="auto"/>
            <w:left w:val="none" w:sz="0" w:space="0" w:color="auto"/>
            <w:bottom w:val="none" w:sz="0" w:space="0" w:color="auto"/>
            <w:right w:val="none" w:sz="0" w:space="0" w:color="auto"/>
          </w:divBdr>
        </w:div>
        <w:div w:id="358163355">
          <w:marLeft w:val="0"/>
          <w:marRight w:val="0"/>
          <w:marTop w:val="0"/>
          <w:marBottom w:val="0"/>
          <w:divBdr>
            <w:top w:val="none" w:sz="0" w:space="0" w:color="auto"/>
            <w:left w:val="none" w:sz="0" w:space="0" w:color="auto"/>
            <w:bottom w:val="none" w:sz="0" w:space="0" w:color="auto"/>
            <w:right w:val="none" w:sz="0" w:space="0" w:color="auto"/>
          </w:divBdr>
        </w:div>
        <w:div w:id="1894148931">
          <w:marLeft w:val="0"/>
          <w:marRight w:val="0"/>
          <w:marTop w:val="0"/>
          <w:marBottom w:val="0"/>
          <w:divBdr>
            <w:top w:val="none" w:sz="0" w:space="0" w:color="auto"/>
            <w:left w:val="none" w:sz="0" w:space="0" w:color="auto"/>
            <w:bottom w:val="none" w:sz="0" w:space="0" w:color="auto"/>
            <w:right w:val="none" w:sz="0" w:space="0" w:color="auto"/>
          </w:divBdr>
        </w:div>
        <w:div w:id="576093679">
          <w:marLeft w:val="0"/>
          <w:marRight w:val="0"/>
          <w:marTop w:val="0"/>
          <w:marBottom w:val="0"/>
          <w:divBdr>
            <w:top w:val="none" w:sz="0" w:space="0" w:color="auto"/>
            <w:left w:val="none" w:sz="0" w:space="0" w:color="auto"/>
            <w:bottom w:val="none" w:sz="0" w:space="0" w:color="auto"/>
            <w:right w:val="none" w:sz="0" w:space="0" w:color="auto"/>
          </w:divBdr>
        </w:div>
        <w:div w:id="1706758605">
          <w:marLeft w:val="0"/>
          <w:marRight w:val="0"/>
          <w:marTop w:val="0"/>
          <w:marBottom w:val="0"/>
          <w:divBdr>
            <w:top w:val="none" w:sz="0" w:space="0" w:color="auto"/>
            <w:left w:val="none" w:sz="0" w:space="0" w:color="auto"/>
            <w:bottom w:val="none" w:sz="0" w:space="0" w:color="auto"/>
            <w:right w:val="none" w:sz="0" w:space="0" w:color="auto"/>
          </w:divBdr>
        </w:div>
        <w:div w:id="1639801059">
          <w:marLeft w:val="0"/>
          <w:marRight w:val="0"/>
          <w:marTop w:val="0"/>
          <w:marBottom w:val="0"/>
          <w:divBdr>
            <w:top w:val="none" w:sz="0" w:space="0" w:color="auto"/>
            <w:left w:val="none" w:sz="0" w:space="0" w:color="auto"/>
            <w:bottom w:val="none" w:sz="0" w:space="0" w:color="auto"/>
            <w:right w:val="none" w:sz="0" w:space="0" w:color="auto"/>
          </w:divBdr>
        </w:div>
        <w:div w:id="229660253">
          <w:marLeft w:val="0"/>
          <w:marRight w:val="0"/>
          <w:marTop w:val="0"/>
          <w:marBottom w:val="0"/>
          <w:divBdr>
            <w:top w:val="none" w:sz="0" w:space="0" w:color="auto"/>
            <w:left w:val="none" w:sz="0" w:space="0" w:color="auto"/>
            <w:bottom w:val="none" w:sz="0" w:space="0" w:color="auto"/>
            <w:right w:val="none" w:sz="0" w:space="0" w:color="auto"/>
          </w:divBdr>
        </w:div>
      </w:divsChild>
    </w:div>
    <w:div w:id="1563636241">
      <w:bodyDiv w:val="1"/>
      <w:marLeft w:val="0"/>
      <w:marRight w:val="0"/>
      <w:marTop w:val="0"/>
      <w:marBottom w:val="0"/>
      <w:divBdr>
        <w:top w:val="none" w:sz="0" w:space="0" w:color="auto"/>
        <w:left w:val="none" w:sz="0" w:space="0" w:color="auto"/>
        <w:bottom w:val="none" w:sz="0" w:space="0" w:color="auto"/>
        <w:right w:val="none" w:sz="0" w:space="0" w:color="auto"/>
      </w:divBdr>
    </w:div>
    <w:div w:id="1571575871">
      <w:bodyDiv w:val="1"/>
      <w:marLeft w:val="0"/>
      <w:marRight w:val="0"/>
      <w:marTop w:val="0"/>
      <w:marBottom w:val="0"/>
      <w:divBdr>
        <w:top w:val="none" w:sz="0" w:space="0" w:color="auto"/>
        <w:left w:val="none" w:sz="0" w:space="0" w:color="auto"/>
        <w:bottom w:val="none" w:sz="0" w:space="0" w:color="auto"/>
        <w:right w:val="none" w:sz="0" w:space="0" w:color="auto"/>
      </w:divBdr>
      <w:divsChild>
        <w:div w:id="2134442373">
          <w:marLeft w:val="0"/>
          <w:marRight w:val="0"/>
          <w:marTop w:val="0"/>
          <w:marBottom w:val="0"/>
          <w:divBdr>
            <w:top w:val="none" w:sz="0" w:space="0" w:color="auto"/>
            <w:left w:val="none" w:sz="0" w:space="0" w:color="auto"/>
            <w:bottom w:val="none" w:sz="0" w:space="0" w:color="auto"/>
            <w:right w:val="none" w:sz="0" w:space="0" w:color="auto"/>
          </w:divBdr>
          <w:divsChild>
            <w:div w:id="737484208">
              <w:marLeft w:val="0"/>
              <w:marRight w:val="0"/>
              <w:marTop w:val="0"/>
              <w:marBottom w:val="0"/>
              <w:divBdr>
                <w:top w:val="none" w:sz="0" w:space="0" w:color="auto"/>
                <w:left w:val="none" w:sz="0" w:space="0" w:color="auto"/>
                <w:bottom w:val="none" w:sz="0" w:space="0" w:color="auto"/>
                <w:right w:val="none" w:sz="0" w:space="0" w:color="auto"/>
              </w:divBdr>
              <w:divsChild>
                <w:div w:id="186598289">
                  <w:marLeft w:val="0"/>
                  <w:marRight w:val="0"/>
                  <w:marTop w:val="0"/>
                  <w:marBottom w:val="0"/>
                  <w:divBdr>
                    <w:top w:val="none" w:sz="0" w:space="0" w:color="auto"/>
                    <w:left w:val="none" w:sz="0" w:space="0" w:color="auto"/>
                    <w:bottom w:val="none" w:sz="0" w:space="0" w:color="auto"/>
                    <w:right w:val="none" w:sz="0" w:space="0" w:color="auto"/>
                  </w:divBdr>
                  <w:divsChild>
                    <w:div w:id="21363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96678">
      <w:bodyDiv w:val="1"/>
      <w:marLeft w:val="0"/>
      <w:marRight w:val="0"/>
      <w:marTop w:val="0"/>
      <w:marBottom w:val="0"/>
      <w:divBdr>
        <w:top w:val="none" w:sz="0" w:space="0" w:color="auto"/>
        <w:left w:val="none" w:sz="0" w:space="0" w:color="auto"/>
        <w:bottom w:val="none" w:sz="0" w:space="0" w:color="auto"/>
        <w:right w:val="none" w:sz="0" w:space="0" w:color="auto"/>
      </w:divBdr>
    </w:div>
    <w:div w:id="1600941834">
      <w:bodyDiv w:val="1"/>
      <w:marLeft w:val="0"/>
      <w:marRight w:val="0"/>
      <w:marTop w:val="0"/>
      <w:marBottom w:val="0"/>
      <w:divBdr>
        <w:top w:val="none" w:sz="0" w:space="0" w:color="auto"/>
        <w:left w:val="none" w:sz="0" w:space="0" w:color="auto"/>
        <w:bottom w:val="none" w:sz="0" w:space="0" w:color="auto"/>
        <w:right w:val="none" w:sz="0" w:space="0" w:color="auto"/>
      </w:divBdr>
    </w:div>
    <w:div w:id="1613852965">
      <w:bodyDiv w:val="1"/>
      <w:marLeft w:val="0"/>
      <w:marRight w:val="0"/>
      <w:marTop w:val="0"/>
      <w:marBottom w:val="0"/>
      <w:divBdr>
        <w:top w:val="none" w:sz="0" w:space="0" w:color="auto"/>
        <w:left w:val="none" w:sz="0" w:space="0" w:color="auto"/>
        <w:bottom w:val="none" w:sz="0" w:space="0" w:color="auto"/>
        <w:right w:val="none" w:sz="0" w:space="0" w:color="auto"/>
      </w:divBdr>
      <w:divsChild>
        <w:div w:id="1803110818">
          <w:marLeft w:val="0"/>
          <w:marRight w:val="0"/>
          <w:marTop w:val="0"/>
          <w:marBottom w:val="0"/>
          <w:divBdr>
            <w:top w:val="none" w:sz="0" w:space="0" w:color="auto"/>
            <w:left w:val="none" w:sz="0" w:space="0" w:color="auto"/>
            <w:bottom w:val="none" w:sz="0" w:space="0" w:color="auto"/>
            <w:right w:val="none" w:sz="0" w:space="0" w:color="auto"/>
          </w:divBdr>
          <w:divsChild>
            <w:div w:id="1193956891">
              <w:marLeft w:val="0"/>
              <w:marRight w:val="0"/>
              <w:marTop w:val="0"/>
              <w:marBottom w:val="0"/>
              <w:divBdr>
                <w:top w:val="none" w:sz="0" w:space="0" w:color="auto"/>
                <w:left w:val="none" w:sz="0" w:space="0" w:color="auto"/>
                <w:bottom w:val="none" w:sz="0" w:space="0" w:color="auto"/>
                <w:right w:val="none" w:sz="0" w:space="0" w:color="auto"/>
              </w:divBdr>
              <w:divsChild>
                <w:div w:id="1154956220">
                  <w:marLeft w:val="0"/>
                  <w:marRight w:val="0"/>
                  <w:marTop w:val="0"/>
                  <w:marBottom w:val="0"/>
                  <w:divBdr>
                    <w:top w:val="none" w:sz="0" w:space="0" w:color="auto"/>
                    <w:left w:val="none" w:sz="0" w:space="0" w:color="auto"/>
                    <w:bottom w:val="none" w:sz="0" w:space="0" w:color="auto"/>
                    <w:right w:val="none" w:sz="0" w:space="0" w:color="auto"/>
                  </w:divBdr>
                  <w:divsChild>
                    <w:div w:id="321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26699">
      <w:bodyDiv w:val="1"/>
      <w:marLeft w:val="0"/>
      <w:marRight w:val="0"/>
      <w:marTop w:val="0"/>
      <w:marBottom w:val="0"/>
      <w:divBdr>
        <w:top w:val="none" w:sz="0" w:space="0" w:color="auto"/>
        <w:left w:val="none" w:sz="0" w:space="0" w:color="auto"/>
        <w:bottom w:val="none" w:sz="0" w:space="0" w:color="auto"/>
        <w:right w:val="none" w:sz="0" w:space="0" w:color="auto"/>
      </w:divBdr>
    </w:div>
    <w:div w:id="1673871889">
      <w:bodyDiv w:val="1"/>
      <w:marLeft w:val="0"/>
      <w:marRight w:val="0"/>
      <w:marTop w:val="0"/>
      <w:marBottom w:val="0"/>
      <w:divBdr>
        <w:top w:val="none" w:sz="0" w:space="0" w:color="auto"/>
        <w:left w:val="none" w:sz="0" w:space="0" w:color="auto"/>
        <w:bottom w:val="none" w:sz="0" w:space="0" w:color="auto"/>
        <w:right w:val="none" w:sz="0" w:space="0" w:color="auto"/>
      </w:divBdr>
    </w:div>
    <w:div w:id="1687058524">
      <w:bodyDiv w:val="1"/>
      <w:marLeft w:val="0"/>
      <w:marRight w:val="0"/>
      <w:marTop w:val="0"/>
      <w:marBottom w:val="0"/>
      <w:divBdr>
        <w:top w:val="none" w:sz="0" w:space="0" w:color="auto"/>
        <w:left w:val="none" w:sz="0" w:space="0" w:color="auto"/>
        <w:bottom w:val="none" w:sz="0" w:space="0" w:color="auto"/>
        <w:right w:val="none" w:sz="0" w:space="0" w:color="auto"/>
      </w:divBdr>
      <w:divsChild>
        <w:div w:id="125048836">
          <w:marLeft w:val="0"/>
          <w:marRight w:val="0"/>
          <w:marTop w:val="0"/>
          <w:marBottom w:val="0"/>
          <w:divBdr>
            <w:top w:val="none" w:sz="0" w:space="0" w:color="auto"/>
            <w:left w:val="none" w:sz="0" w:space="0" w:color="auto"/>
            <w:bottom w:val="none" w:sz="0" w:space="0" w:color="auto"/>
            <w:right w:val="none" w:sz="0" w:space="0" w:color="auto"/>
          </w:divBdr>
          <w:divsChild>
            <w:div w:id="1011251289">
              <w:marLeft w:val="0"/>
              <w:marRight w:val="0"/>
              <w:marTop w:val="0"/>
              <w:marBottom w:val="0"/>
              <w:divBdr>
                <w:top w:val="none" w:sz="0" w:space="0" w:color="auto"/>
                <w:left w:val="none" w:sz="0" w:space="0" w:color="auto"/>
                <w:bottom w:val="none" w:sz="0" w:space="0" w:color="auto"/>
                <w:right w:val="none" w:sz="0" w:space="0" w:color="auto"/>
              </w:divBdr>
              <w:divsChild>
                <w:div w:id="1839881995">
                  <w:marLeft w:val="0"/>
                  <w:marRight w:val="0"/>
                  <w:marTop w:val="0"/>
                  <w:marBottom w:val="0"/>
                  <w:divBdr>
                    <w:top w:val="none" w:sz="0" w:space="0" w:color="auto"/>
                    <w:left w:val="none" w:sz="0" w:space="0" w:color="auto"/>
                    <w:bottom w:val="none" w:sz="0" w:space="0" w:color="auto"/>
                    <w:right w:val="none" w:sz="0" w:space="0" w:color="auto"/>
                  </w:divBdr>
                  <w:divsChild>
                    <w:div w:id="881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32102">
      <w:bodyDiv w:val="1"/>
      <w:marLeft w:val="0"/>
      <w:marRight w:val="0"/>
      <w:marTop w:val="0"/>
      <w:marBottom w:val="0"/>
      <w:divBdr>
        <w:top w:val="none" w:sz="0" w:space="0" w:color="auto"/>
        <w:left w:val="none" w:sz="0" w:space="0" w:color="auto"/>
        <w:bottom w:val="none" w:sz="0" w:space="0" w:color="auto"/>
        <w:right w:val="none" w:sz="0" w:space="0" w:color="auto"/>
      </w:divBdr>
    </w:div>
    <w:div w:id="1691295190">
      <w:bodyDiv w:val="1"/>
      <w:marLeft w:val="0"/>
      <w:marRight w:val="0"/>
      <w:marTop w:val="0"/>
      <w:marBottom w:val="0"/>
      <w:divBdr>
        <w:top w:val="none" w:sz="0" w:space="0" w:color="auto"/>
        <w:left w:val="none" w:sz="0" w:space="0" w:color="auto"/>
        <w:bottom w:val="none" w:sz="0" w:space="0" w:color="auto"/>
        <w:right w:val="none" w:sz="0" w:space="0" w:color="auto"/>
      </w:divBdr>
    </w:div>
    <w:div w:id="1707631805">
      <w:bodyDiv w:val="1"/>
      <w:marLeft w:val="0"/>
      <w:marRight w:val="0"/>
      <w:marTop w:val="0"/>
      <w:marBottom w:val="0"/>
      <w:divBdr>
        <w:top w:val="none" w:sz="0" w:space="0" w:color="auto"/>
        <w:left w:val="none" w:sz="0" w:space="0" w:color="auto"/>
        <w:bottom w:val="none" w:sz="0" w:space="0" w:color="auto"/>
        <w:right w:val="none" w:sz="0" w:space="0" w:color="auto"/>
      </w:divBdr>
    </w:div>
    <w:div w:id="1707755809">
      <w:bodyDiv w:val="1"/>
      <w:marLeft w:val="0"/>
      <w:marRight w:val="0"/>
      <w:marTop w:val="0"/>
      <w:marBottom w:val="0"/>
      <w:divBdr>
        <w:top w:val="none" w:sz="0" w:space="0" w:color="auto"/>
        <w:left w:val="none" w:sz="0" w:space="0" w:color="auto"/>
        <w:bottom w:val="none" w:sz="0" w:space="0" w:color="auto"/>
        <w:right w:val="none" w:sz="0" w:space="0" w:color="auto"/>
      </w:divBdr>
    </w:div>
    <w:div w:id="1717116495">
      <w:bodyDiv w:val="1"/>
      <w:marLeft w:val="0"/>
      <w:marRight w:val="0"/>
      <w:marTop w:val="0"/>
      <w:marBottom w:val="0"/>
      <w:divBdr>
        <w:top w:val="none" w:sz="0" w:space="0" w:color="auto"/>
        <w:left w:val="none" w:sz="0" w:space="0" w:color="auto"/>
        <w:bottom w:val="none" w:sz="0" w:space="0" w:color="auto"/>
        <w:right w:val="none" w:sz="0" w:space="0" w:color="auto"/>
      </w:divBdr>
    </w:div>
    <w:div w:id="1720587692">
      <w:bodyDiv w:val="1"/>
      <w:marLeft w:val="0"/>
      <w:marRight w:val="0"/>
      <w:marTop w:val="0"/>
      <w:marBottom w:val="0"/>
      <w:divBdr>
        <w:top w:val="none" w:sz="0" w:space="0" w:color="auto"/>
        <w:left w:val="none" w:sz="0" w:space="0" w:color="auto"/>
        <w:bottom w:val="none" w:sz="0" w:space="0" w:color="auto"/>
        <w:right w:val="none" w:sz="0" w:space="0" w:color="auto"/>
      </w:divBdr>
    </w:div>
    <w:div w:id="1735464958">
      <w:bodyDiv w:val="1"/>
      <w:marLeft w:val="0"/>
      <w:marRight w:val="0"/>
      <w:marTop w:val="0"/>
      <w:marBottom w:val="0"/>
      <w:divBdr>
        <w:top w:val="none" w:sz="0" w:space="0" w:color="auto"/>
        <w:left w:val="none" w:sz="0" w:space="0" w:color="auto"/>
        <w:bottom w:val="none" w:sz="0" w:space="0" w:color="auto"/>
        <w:right w:val="none" w:sz="0" w:space="0" w:color="auto"/>
      </w:divBdr>
    </w:div>
    <w:div w:id="1741365925">
      <w:bodyDiv w:val="1"/>
      <w:marLeft w:val="0"/>
      <w:marRight w:val="0"/>
      <w:marTop w:val="0"/>
      <w:marBottom w:val="0"/>
      <w:divBdr>
        <w:top w:val="none" w:sz="0" w:space="0" w:color="auto"/>
        <w:left w:val="none" w:sz="0" w:space="0" w:color="auto"/>
        <w:bottom w:val="none" w:sz="0" w:space="0" w:color="auto"/>
        <w:right w:val="none" w:sz="0" w:space="0" w:color="auto"/>
      </w:divBdr>
    </w:div>
    <w:div w:id="1753701447">
      <w:bodyDiv w:val="1"/>
      <w:marLeft w:val="0"/>
      <w:marRight w:val="0"/>
      <w:marTop w:val="0"/>
      <w:marBottom w:val="0"/>
      <w:divBdr>
        <w:top w:val="none" w:sz="0" w:space="0" w:color="auto"/>
        <w:left w:val="none" w:sz="0" w:space="0" w:color="auto"/>
        <w:bottom w:val="none" w:sz="0" w:space="0" w:color="auto"/>
        <w:right w:val="none" w:sz="0" w:space="0" w:color="auto"/>
      </w:divBdr>
      <w:divsChild>
        <w:div w:id="243152959">
          <w:marLeft w:val="0"/>
          <w:marRight w:val="0"/>
          <w:marTop w:val="0"/>
          <w:marBottom w:val="0"/>
          <w:divBdr>
            <w:top w:val="none" w:sz="0" w:space="0" w:color="auto"/>
            <w:left w:val="none" w:sz="0" w:space="0" w:color="auto"/>
            <w:bottom w:val="none" w:sz="0" w:space="0" w:color="auto"/>
            <w:right w:val="none" w:sz="0" w:space="0" w:color="auto"/>
          </w:divBdr>
          <w:divsChild>
            <w:div w:id="732316086">
              <w:marLeft w:val="0"/>
              <w:marRight w:val="0"/>
              <w:marTop w:val="0"/>
              <w:marBottom w:val="0"/>
              <w:divBdr>
                <w:top w:val="none" w:sz="0" w:space="0" w:color="auto"/>
                <w:left w:val="none" w:sz="0" w:space="0" w:color="auto"/>
                <w:bottom w:val="none" w:sz="0" w:space="0" w:color="auto"/>
                <w:right w:val="none" w:sz="0" w:space="0" w:color="auto"/>
              </w:divBdr>
              <w:divsChild>
                <w:div w:id="1835761540">
                  <w:marLeft w:val="0"/>
                  <w:marRight w:val="0"/>
                  <w:marTop w:val="0"/>
                  <w:marBottom w:val="0"/>
                  <w:divBdr>
                    <w:top w:val="none" w:sz="0" w:space="0" w:color="auto"/>
                    <w:left w:val="none" w:sz="0" w:space="0" w:color="auto"/>
                    <w:bottom w:val="none" w:sz="0" w:space="0" w:color="auto"/>
                    <w:right w:val="none" w:sz="0" w:space="0" w:color="auto"/>
                  </w:divBdr>
                  <w:divsChild>
                    <w:div w:id="6206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72545">
      <w:bodyDiv w:val="1"/>
      <w:marLeft w:val="0"/>
      <w:marRight w:val="0"/>
      <w:marTop w:val="0"/>
      <w:marBottom w:val="0"/>
      <w:divBdr>
        <w:top w:val="none" w:sz="0" w:space="0" w:color="auto"/>
        <w:left w:val="none" w:sz="0" w:space="0" w:color="auto"/>
        <w:bottom w:val="none" w:sz="0" w:space="0" w:color="auto"/>
        <w:right w:val="none" w:sz="0" w:space="0" w:color="auto"/>
      </w:divBdr>
    </w:div>
    <w:div w:id="1807355549">
      <w:bodyDiv w:val="1"/>
      <w:marLeft w:val="0"/>
      <w:marRight w:val="0"/>
      <w:marTop w:val="0"/>
      <w:marBottom w:val="0"/>
      <w:divBdr>
        <w:top w:val="none" w:sz="0" w:space="0" w:color="auto"/>
        <w:left w:val="none" w:sz="0" w:space="0" w:color="auto"/>
        <w:bottom w:val="none" w:sz="0" w:space="0" w:color="auto"/>
        <w:right w:val="none" w:sz="0" w:space="0" w:color="auto"/>
      </w:divBdr>
    </w:div>
    <w:div w:id="1832987219">
      <w:bodyDiv w:val="1"/>
      <w:marLeft w:val="0"/>
      <w:marRight w:val="0"/>
      <w:marTop w:val="0"/>
      <w:marBottom w:val="0"/>
      <w:divBdr>
        <w:top w:val="none" w:sz="0" w:space="0" w:color="auto"/>
        <w:left w:val="none" w:sz="0" w:space="0" w:color="auto"/>
        <w:bottom w:val="none" w:sz="0" w:space="0" w:color="auto"/>
        <w:right w:val="none" w:sz="0" w:space="0" w:color="auto"/>
      </w:divBdr>
    </w:div>
    <w:div w:id="1837917825">
      <w:bodyDiv w:val="1"/>
      <w:marLeft w:val="0"/>
      <w:marRight w:val="0"/>
      <w:marTop w:val="0"/>
      <w:marBottom w:val="0"/>
      <w:divBdr>
        <w:top w:val="none" w:sz="0" w:space="0" w:color="auto"/>
        <w:left w:val="none" w:sz="0" w:space="0" w:color="auto"/>
        <w:bottom w:val="none" w:sz="0" w:space="0" w:color="auto"/>
        <w:right w:val="none" w:sz="0" w:space="0" w:color="auto"/>
      </w:divBdr>
      <w:divsChild>
        <w:div w:id="1016689921">
          <w:marLeft w:val="0"/>
          <w:marRight w:val="0"/>
          <w:marTop w:val="0"/>
          <w:marBottom w:val="0"/>
          <w:divBdr>
            <w:top w:val="none" w:sz="0" w:space="0" w:color="auto"/>
            <w:left w:val="none" w:sz="0" w:space="0" w:color="auto"/>
            <w:bottom w:val="none" w:sz="0" w:space="0" w:color="auto"/>
            <w:right w:val="none" w:sz="0" w:space="0" w:color="auto"/>
          </w:divBdr>
        </w:div>
        <w:div w:id="1204489514">
          <w:marLeft w:val="0"/>
          <w:marRight w:val="0"/>
          <w:marTop w:val="0"/>
          <w:marBottom w:val="0"/>
          <w:divBdr>
            <w:top w:val="none" w:sz="0" w:space="0" w:color="auto"/>
            <w:left w:val="none" w:sz="0" w:space="0" w:color="auto"/>
            <w:bottom w:val="none" w:sz="0" w:space="0" w:color="auto"/>
            <w:right w:val="none" w:sz="0" w:space="0" w:color="auto"/>
          </w:divBdr>
        </w:div>
        <w:div w:id="121047849">
          <w:marLeft w:val="0"/>
          <w:marRight w:val="0"/>
          <w:marTop w:val="0"/>
          <w:marBottom w:val="0"/>
          <w:divBdr>
            <w:top w:val="none" w:sz="0" w:space="0" w:color="auto"/>
            <w:left w:val="none" w:sz="0" w:space="0" w:color="auto"/>
            <w:bottom w:val="none" w:sz="0" w:space="0" w:color="auto"/>
            <w:right w:val="none" w:sz="0" w:space="0" w:color="auto"/>
          </w:divBdr>
        </w:div>
        <w:div w:id="680550551">
          <w:marLeft w:val="0"/>
          <w:marRight w:val="0"/>
          <w:marTop w:val="0"/>
          <w:marBottom w:val="0"/>
          <w:divBdr>
            <w:top w:val="none" w:sz="0" w:space="0" w:color="auto"/>
            <w:left w:val="none" w:sz="0" w:space="0" w:color="auto"/>
            <w:bottom w:val="none" w:sz="0" w:space="0" w:color="auto"/>
            <w:right w:val="none" w:sz="0" w:space="0" w:color="auto"/>
          </w:divBdr>
        </w:div>
        <w:div w:id="523637945">
          <w:marLeft w:val="0"/>
          <w:marRight w:val="0"/>
          <w:marTop w:val="0"/>
          <w:marBottom w:val="0"/>
          <w:divBdr>
            <w:top w:val="none" w:sz="0" w:space="0" w:color="auto"/>
            <w:left w:val="none" w:sz="0" w:space="0" w:color="auto"/>
            <w:bottom w:val="none" w:sz="0" w:space="0" w:color="auto"/>
            <w:right w:val="none" w:sz="0" w:space="0" w:color="auto"/>
          </w:divBdr>
        </w:div>
        <w:div w:id="502628160">
          <w:marLeft w:val="0"/>
          <w:marRight w:val="0"/>
          <w:marTop w:val="0"/>
          <w:marBottom w:val="0"/>
          <w:divBdr>
            <w:top w:val="none" w:sz="0" w:space="0" w:color="auto"/>
            <w:left w:val="none" w:sz="0" w:space="0" w:color="auto"/>
            <w:bottom w:val="none" w:sz="0" w:space="0" w:color="auto"/>
            <w:right w:val="none" w:sz="0" w:space="0" w:color="auto"/>
          </w:divBdr>
        </w:div>
      </w:divsChild>
    </w:div>
    <w:div w:id="1898204555">
      <w:bodyDiv w:val="1"/>
      <w:marLeft w:val="0"/>
      <w:marRight w:val="0"/>
      <w:marTop w:val="0"/>
      <w:marBottom w:val="0"/>
      <w:divBdr>
        <w:top w:val="none" w:sz="0" w:space="0" w:color="auto"/>
        <w:left w:val="none" w:sz="0" w:space="0" w:color="auto"/>
        <w:bottom w:val="none" w:sz="0" w:space="0" w:color="auto"/>
        <w:right w:val="none" w:sz="0" w:space="0" w:color="auto"/>
      </w:divBdr>
    </w:div>
    <w:div w:id="1910117234">
      <w:bodyDiv w:val="1"/>
      <w:marLeft w:val="0"/>
      <w:marRight w:val="0"/>
      <w:marTop w:val="0"/>
      <w:marBottom w:val="0"/>
      <w:divBdr>
        <w:top w:val="none" w:sz="0" w:space="0" w:color="auto"/>
        <w:left w:val="none" w:sz="0" w:space="0" w:color="auto"/>
        <w:bottom w:val="none" w:sz="0" w:space="0" w:color="auto"/>
        <w:right w:val="none" w:sz="0" w:space="0" w:color="auto"/>
      </w:divBdr>
      <w:divsChild>
        <w:div w:id="1668051137">
          <w:marLeft w:val="0"/>
          <w:marRight w:val="0"/>
          <w:marTop w:val="0"/>
          <w:marBottom w:val="0"/>
          <w:divBdr>
            <w:top w:val="none" w:sz="0" w:space="0" w:color="auto"/>
            <w:left w:val="none" w:sz="0" w:space="0" w:color="auto"/>
            <w:bottom w:val="none" w:sz="0" w:space="0" w:color="auto"/>
            <w:right w:val="none" w:sz="0" w:space="0" w:color="auto"/>
          </w:divBdr>
        </w:div>
        <w:div w:id="934872483">
          <w:marLeft w:val="0"/>
          <w:marRight w:val="0"/>
          <w:marTop w:val="0"/>
          <w:marBottom w:val="0"/>
          <w:divBdr>
            <w:top w:val="none" w:sz="0" w:space="0" w:color="auto"/>
            <w:left w:val="none" w:sz="0" w:space="0" w:color="auto"/>
            <w:bottom w:val="none" w:sz="0" w:space="0" w:color="auto"/>
            <w:right w:val="none" w:sz="0" w:space="0" w:color="auto"/>
          </w:divBdr>
        </w:div>
        <w:div w:id="1239679849">
          <w:marLeft w:val="0"/>
          <w:marRight w:val="0"/>
          <w:marTop w:val="0"/>
          <w:marBottom w:val="0"/>
          <w:divBdr>
            <w:top w:val="none" w:sz="0" w:space="0" w:color="auto"/>
            <w:left w:val="none" w:sz="0" w:space="0" w:color="auto"/>
            <w:bottom w:val="none" w:sz="0" w:space="0" w:color="auto"/>
            <w:right w:val="none" w:sz="0" w:space="0" w:color="auto"/>
          </w:divBdr>
        </w:div>
        <w:div w:id="1824276413">
          <w:marLeft w:val="0"/>
          <w:marRight w:val="0"/>
          <w:marTop w:val="0"/>
          <w:marBottom w:val="0"/>
          <w:divBdr>
            <w:top w:val="none" w:sz="0" w:space="0" w:color="auto"/>
            <w:left w:val="none" w:sz="0" w:space="0" w:color="auto"/>
            <w:bottom w:val="none" w:sz="0" w:space="0" w:color="auto"/>
            <w:right w:val="none" w:sz="0" w:space="0" w:color="auto"/>
          </w:divBdr>
        </w:div>
        <w:div w:id="1060054640">
          <w:marLeft w:val="0"/>
          <w:marRight w:val="0"/>
          <w:marTop w:val="0"/>
          <w:marBottom w:val="0"/>
          <w:divBdr>
            <w:top w:val="none" w:sz="0" w:space="0" w:color="auto"/>
            <w:left w:val="none" w:sz="0" w:space="0" w:color="auto"/>
            <w:bottom w:val="none" w:sz="0" w:space="0" w:color="auto"/>
            <w:right w:val="none" w:sz="0" w:space="0" w:color="auto"/>
          </w:divBdr>
        </w:div>
        <w:div w:id="567423072">
          <w:marLeft w:val="0"/>
          <w:marRight w:val="0"/>
          <w:marTop w:val="0"/>
          <w:marBottom w:val="0"/>
          <w:divBdr>
            <w:top w:val="none" w:sz="0" w:space="0" w:color="auto"/>
            <w:left w:val="none" w:sz="0" w:space="0" w:color="auto"/>
            <w:bottom w:val="none" w:sz="0" w:space="0" w:color="auto"/>
            <w:right w:val="none" w:sz="0" w:space="0" w:color="auto"/>
          </w:divBdr>
        </w:div>
      </w:divsChild>
    </w:div>
    <w:div w:id="1922329307">
      <w:bodyDiv w:val="1"/>
      <w:marLeft w:val="0"/>
      <w:marRight w:val="0"/>
      <w:marTop w:val="0"/>
      <w:marBottom w:val="0"/>
      <w:divBdr>
        <w:top w:val="none" w:sz="0" w:space="0" w:color="auto"/>
        <w:left w:val="none" w:sz="0" w:space="0" w:color="auto"/>
        <w:bottom w:val="none" w:sz="0" w:space="0" w:color="auto"/>
        <w:right w:val="none" w:sz="0" w:space="0" w:color="auto"/>
      </w:divBdr>
    </w:div>
    <w:div w:id="1924022806">
      <w:bodyDiv w:val="1"/>
      <w:marLeft w:val="0"/>
      <w:marRight w:val="0"/>
      <w:marTop w:val="0"/>
      <w:marBottom w:val="0"/>
      <w:divBdr>
        <w:top w:val="none" w:sz="0" w:space="0" w:color="auto"/>
        <w:left w:val="none" w:sz="0" w:space="0" w:color="auto"/>
        <w:bottom w:val="none" w:sz="0" w:space="0" w:color="auto"/>
        <w:right w:val="none" w:sz="0" w:space="0" w:color="auto"/>
      </w:divBdr>
    </w:div>
    <w:div w:id="1941646397">
      <w:bodyDiv w:val="1"/>
      <w:marLeft w:val="0"/>
      <w:marRight w:val="0"/>
      <w:marTop w:val="0"/>
      <w:marBottom w:val="0"/>
      <w:divBdr>
        <w:top w:val="none" w:sz="0" w:space="0" w:color="auto"/>
        <w:left w:val="none" w:sz="0" w:space="0" w:color="auto"/>
        <w:bottom w:val="none" w:sz="0" w:space="0" w:color="auto"/>
        <w:right w:val="none" w:sz="0" w:space="0" w:color="auto"/>
      </w:divBdr>
      <w:divsChild>
        <w:div w:id="435440395">
          <w:marLeft w:val="1238"/>
          <w:marRight w:val="0"/>
          <w:marTop w:val="50"/>
          <w:marBottom w:val="0"/>
          <w:divBdr>
            <w:top w:val="none" w:sz="0" w:space="0" w:color="auto"/>
            <w:left w:val="none" w:sz="0" w:space="0" w:color="auto"/>
            <w:bottom w:val="none" w:sz="0" w:space="0" w:color="auto"/>
            <w:right w:val="none" w:sz="0" w:space="0" w:color="auto"/>
          </w:divBdr>
        </w:div>
      </w:divsChild>
    </w:div>
    <w:div w:id="1942764672">
      <w:bodyDiv w:val="1"/>
      <w:marLeft w:val="0"/>
      <w:marRight w:val="0"/>
      <w:marTop w:val="0"/>
      <w:marBottom w:val="0"/>
      <w:divBdr>
        <w:top w:val="none" w:sz="0" w:space="0" w:color="auto"/>
        <w:left w:val="none" w:sz="0" w:space="0" w:color="auto"/>
        <w:bottom w:val="none" w:sz="0" w:space="0" w:color="auto"/>
        <w:right w:val="none" w:sz="0" w:space="0" w:color="auto"/>
      </w:divBdr>
    </w:div>
    <w:div w:id="1945964439">
      <w:bodyDiv w:val="1"/>
      <w:marLeft w:val="0"/>
      <w:marRight w:val="0"/>
      <w:marTop w:val="0"/>
      <w:marBottom w:val="0"/>
      <w:divBdr>
        <w:top w:val="none" w:sz="0" w:space="0" w:color="auto"/>
        <w:left w:val="none" w:sz="0" w:space="0" w:color="auto"/>
        <w:bottom w:val="none" w:sz="0" w:space="0" w:color="auto"/>
        <w:right w:val="none" w:sz="0" w:space="0" w:color="auto"/>
      </w:divBdr>
      <w:divsChild>
        <w:div w:id="968973111">
          <w:marLeft w:val="0"/>
          <w:marRight w:val="0"/>
          <w:marTop w:val="0"/>
          <w:marBottom w:val="0"/>
          <w:divBdr>
            <w:top w:val="none" w:sz="0" w:space="0" w:color="auto"/>
            <w:left w:val="none" w:sz="0" w:space="0" w:color="auto"/>
            <w:bottom w:val="none" w:sz="0" w:space="0" w:color="auto"/>
            <w:right w:val="none" w:sz="0" w:space="0" w:color="auto"/>
          </w:divBdr>
          <w:divsChild>
            <w:div w:id="2021003577">
              <w:marLeft w:val="0"/>
              <w:marRight w:val="0"/>
              <w:marTop w:val="0"/>
              <w:marBottom w:val="0"/>
              <w:divBdr>
                <w:top w:val="none" w:sz="0" w:space="0" w:color="auto"/>
                <w:left w:val="none" w:sz="0" w:space="0" w:color="auto"/>
                <w:bottom w:val="none" w:sz="0" w:space="0" w:color="auto"/>
                <w:right w:val="none" w:sz="0" w:space="0" w:color="auto"/>
              </w:divBdr>
              <w:divsChild>
                <w:div w:id="1470780942">
                  <w:marLeft w:val="0"/>
                  <w:marRight w:val="0"/>
                  <w:marTop w:val="0"/>
                  <w:marBottom w:val="0"/>
                  <w:divBdr>
                    <w:top w:val="none" w:sz="0" w:space="0" w:color="auto"/>
                    <w:left w:val="none" w:sz="0" w:space="0" w:color="auto"/>
                    <w:bottom w:val="none" w:sz="0" w:space="0" w:color="auto"/>
                    <w:right w:val="none" w:sz="0" w:space="0" w:color="auto"/>
                  </w:divBdr>
                  <w:divsChild>
                    <w:div w:id="19764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888">
      <w:bodyDiv w:val="1"/>
      <w:marLeft w:val="0"/>
      <w:marRight w:val="0"/>
      <w:marTop w:val="0"/>
      <w:marBottom w:val="0"/>
      <w:divBdr>
        <w:top w:val="none" w:sz="0" w:space="0" w:color="auto"/>
        <w:left w:val="none" w:sz="0" w:space="0" w:color="auto"/>
        <w:bottom w:val="none" w:sz="0" w:space="0" w:color="auto"/>
        <w:right w:val="none" w:sz="0" w:space="0" w:color="auto"/>
      </w:divBdr>
    </w:div>
    <w:div w:id="1977877150">
      <w:bodyDiv w:val="1"/>
      <w:marLeft w:val="0"/>
      <w:marRight w:val="0"/>
      <w:marTop w:val="0"/>
      <w:marBottom w:val="0"/>
      <w:divBdr>
        <w:top w:val="none" w:sz="0" w:space="0" w:color="auto"/>
        <w:left w:val="none" w:sz="0" w:space="0" w:color="auto"/>
        <w:bottom w:val="none" w:sz="0" w:space="0" w:color="auto"/>
        <w:right w:val="none" w:sz="0" w:space="0" w:color="auto"/>
      </w:divBdr>
    </w:div>
    <w:div w:id="1986473872">
      <w:bodyDiv w:val="1"/>
      <w:marLeft w:val="0"/>
      <w:marRight w:val="0"/>
      <w:marTop w:val="0"/>
      <w:marBottom w:val="0"/>
      <w:divBdr>
        <w:top w:val="none" w:sz="0" w:space="0" w:color="auto"/>
        <w:left w:val="none" w:sz="0" w:space="0" w:color="auto"/>
        <w:bottom w:val="none" w:sz="0" w:space="0" w:color="auto"/>
        <w:right w:val="none" w:sz="0" w:space="0" w:color="auto"/>
      </w:divBdr>
    </w:div>
    <w:div w:id="1992707601">
      <w:bodyDiv w:val="1"/>
      <w:marLeft w:val="0"/>
      <w:marRight w:val="0"/>
      <w:marTop w:val="0"/>
      <w:marBottom w:val="0"/>
      <w:divBdr>
        <w:top w:val="none" w:sz="0" w:space="0" w:color="auto"/>
        <w:left w:val="none" w:sz="0" w:space="0" w:color="auto"/>
        <w:bottom w:val="none" w:sz="0" w:space="0" w:color="auto"/>
        <w:right w:val="none" w:sz="0" w:space="0" w:color="auto"/>
      </w:divBdr>
    </w:div>
    <w:div w:id="1995599973">
      <w:bodyDiv w:val="1"/>
      <w:marLeft w:val="0"/>
      <w:marRight w:val="0"/>
      <w:marTop w:val="0"/>
      <w:marBottom w:val="0"/>
      <w:divBdr>
        <w:top w:val="none" w:sz="0" w:space="0" w:color="auto"/>
        <w:left w:val="none" w:sz="0" w:space="0" w:color="auto"/>
        <w:bottom w:val="none" w:sz="0" w:space="0" w:color="auto"/>
        <w:right w:val="none" w:sz="0" w:space="0" w:color="auto"/>
      </w:divBdr>
    </w:div>
    <w:div w:id="1997687130">
      <w:bodyDiv w:val="1"/>
      <w:marLeft w:val="0"/>
      <w:marRight w:val="0"/>
      <w:marTop w:val="0"/>
      <w:marBottom w:val="0"/>
      <w:divBdr>
        <w:top w:val="none" w:sz="0" w:space="0" w:color="auto"/>
        <w:left w:val="none" w:sz="0" w:space="0" w:color="auto"/>
        <w:bottom w:val="none" w:sz="0" w:space="0" w:color="auto"/>
        <w:right w:val="none" w:sz="0" w:space="0" w:color="auto"/>
      </w:divBdr>
    </w:div>
    <w:div w:id="2012835342">
      <w:bodyDiv w:val="1"/>
      <w:marLeft w:val="0"/>
      <w:marRight w:val="0"/>
      <w:marTop w:val="0"/>
      <w:marBottom w:val="0"/>
      <w:divBdr>
        <w:top w:val="none" w:sz="0" w:space="0" w:color="auto"/>
        <w:left w:val="none" w:sz="0" w:space="0" w:color="auto"/>
        <w:bottom w:val="none" w:sz="0" w:space="0" w:color="auto"/>
        <w:right w:val="none" w:sz="0" w:space="0" w:color="auto"/>
      </w:divBdr>
      <w:divsChild>
        <w:div w:id="2041667667">
          <w:marLeft w:val="0"/>
          <w:marRight w:val="0"/>
          <w:marTop w:val="0"/>
          <w:marBottom w:val="0"/>
          <w:divBdr>
            <w:top w:val="none" w:sz="0" w:space="0" w:color="auto"/>
            <w:left w:val="none" w:sz="0" w:space="0" w:color="auto"/>
            <w:bottom w:val="none" w:sz="0" w:space="0" w:color="auto"/>
            <w:right w:val="none" w:sz="0" w:space="0" w:color="auto"/>
          </w:divBdr>
          <w:divsChild>
            <w:div w:id="1784885144">
              <w:marLeft w:val="0"/>
              <w:marRight w:val="0"/>
              <w:marTop w:val="0"/>
              <w:marBottom w:val="0"/>
              <w:divBdr>
                <w:top w:val="none" w:sz="0" w:space="0" w:color="auto"/>
                <w:left w:val="none" w:sz="0" w:space="0" w:color="auto"/>
                <w:bottom w:val="none" w:sz="0" w:space="0" w:color="auto"/>
                <w:right w:val="none" w:sz="0" w:space="0" w:color="auto"/>
              </w:divBdr>
              <w:divsChild>
                <w:div w:id="952787861">
                  <w:marLeft w:val="0"/>
                  <w:marRight w:val="0"/>
                  <w:marTop w:val="0"/>
                  <w:marBottom w:val="0"/>
                  <w:divBdr>
                    <w:top w:val="none" w:sz="0" w:space="0" w:color="auto"/>
                    <w:left w:val="none" w:sz="0" w:space="0" w:color="auto"/>
                    <w:bottom w:val="none" w:sz="0" w:space="0" w:color="auto"/>
                    <w:right w:val="none" w:sz="0" w:space="0" w:color="auto"/>
                  </w:divBdr>
                  <w:divsChild>
                    <w:div w:id="673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08463">
      <w:bodyDiv w:val="1"/>
      <w:marLeft w:val="0"/>
      <w:marRight w:val="0"/>
      <w:marTop w:val="0"/>
      <w:marBottom w:val="0"/>
      <w:divBdr>
        <w:top w:val="none" w:sz="0" w:space="0" w:color="auto"/>
        <w:left w:val="none" w:sz="0" w:space="0" w:color="auto"/>
        <w:bottom w:val="none" w:sz="0" w:space="0" w:color="auto"/>
        <w:right w:val="none" w:sz="0" w:space="0" w:color="auto"/>
      </w:divBdr>
    </w:div>
    <w:div w:id="2031297299">
      <w:bodyDiv w:val="1"/>
      <w:marLeft w:val="0"/>
      <w:marRight w:val="0"/>
      <w:marTop w:val="0"/>
      <w:marBottom w:val="0"/>
      <w:divBdr>
        <w:top w:val="none" w:sz="0" w:space="0" w:color="auto"/>
        <w:left w:val="none" w:sz="0" w:space="0" w:color="auto"/>
        <w:bottom w:val="none" w:sz="0" w:space="0" w:color="auto"/>
        <w:right w:val="none" w:sz="0" w:space="0" w:color="auto"/>
      </w:divBdr>
    </w:div>
    <w:div w:id="2037268492">
      <w:bodyDiv w:val="1"/>
      <w:marLeft w:val="0"/>
      <w:marRight w:val="0"/>
      <w:marTop w:val="0"/>
      <w:marBottom w:val="0"/>
      <w:divBdr>
        <w:top w:val="none" w:sz="0" w:space="0" w:color="auto"/>
        <w:left w:val="none" w:sz="0" w:space="0" w:color="auto"/>
        <w:bottom w:val="none" w:sz="0" w:space="0" w:color="auto"/>
        <w:right w:val="none" w:sz="0" w:space="0" w:color="auto"/>
      </w:divBdr>
    </w:div>
    <w:div w:id="2048748211">
      <w:bodyDiv w:val="1"/>
      <w:marLeft w:val="0"/>
      <w:marRight w:val="0"/>
      <w:marTop w:val="0"/>
      <w:marBottom w:val="0"/>
      <w:divBdr>
        <w:top w:val="none" w:sz="0" w:space="0" w:color="auto"/>
        <w:left w:val="none" w:sz="0" w:space="0" w:color="auto"/>
        <w:bottom w:val="none" w:sz="0" w:space="0" w:color="auto"/>
        <w:right w:val="none" w:sz="0" w:space="0" w:color="auto"/>
      </w:divBdr>
    </w:div>
    <w:div w:id="2051680961">
      <w:bodyDiv w:val="1"/>
      <w:marLeft w:val="0"/>
      <w:marRight w:val="0"/>
      <w:marTop w:val="0"/>
      <w:marBottom w:val="0"/>
      <w:divBdr>
        <w:top w:val="none" w:sz="0" w:space="0" w:color="auto"/>
        <w:left w:val="none" w:sz="0" w:space="0" w:color="auto"/>
        <w:bottom w:val="none" w:sz="0" w:space="0" w:color="auto"/>
        <w:right w:val="none" w:sz="0" w:space="0" w:color="auto"/>
      </w:divBdr>
    </w:div>
    <w:div w:id="2055541565">
      <w:bodyDiv w:val="1"/>
      <w:marLeft w:val="0"/>
      <w:marRight w:val="0"/>
      <w:marTop w:val="0"/>
      <w:marBottom w:val="0"/>
      <w:divBdr>
        <w:top w:val="none" w:sz="0" w:space="0" w:color="auto"/>
        <w:left w:val="none" w:sz="0" w:space="0" w:color="auto"/>
        <w:bottom w:val="none" w:sz="0" w:space="0" w:color="auto"/>
        <w:right w:val="none" w:sz="0" w:space="0" w:color="auto"/>
      </w:divBdr>
    </w:div>
    <w:div w:id="2064517387">
      <w:bodyDiv w:val="1"/>
      <w:marLeft w:val="0"/>
      <w:marRight w:val="0"/>
      <w:marTop w:val="0"/>
      <w:marBottom w:val="0"/>
      <w:divBdr>
        <w:top w:val="none" w:sz="0" w:space="0" w:color="auto"/>
        <w:left w:val="none" w:sz="0" w:space="0" w:color="auto"/>
        <w:bottom w:val="none" w:sz="0" w:space="0" w:color="auto"/>
        <w:right w:val="none" w:sz="0" w:space="0" w:color="auto"/>
      </w:divBdr>
    </w:div>
    <w:div w:id="2081440877">
      <w:bodyDiv w:val="1"/>
      <w:marLeft w:val="0"/>
      <w:marRight w:val="0"/>
      <w:marTop w:val="0"/>
      <w:marBottom w:val="0"/>
      <w:divBdr>
        <w:top w:val="none" w:sz="0" w:space="0" w:color="auto"/>
        <w:left w:val="none" w:sz="0" w:space="0" w:color="auto"/>
        <w:bottom w:val="none" w:sz="0" w:space="0" w:color="auto"/>
        <w:right w:val="none" w:sz="0" w:space="0" w:color="auto"/>
      </w:divBdr>
    </w:div>
    <w:div w:id="212915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levelandclinic.org/-/scassets/files/org/neurological/multiple-sclerosis/13-neu-545-vitamin-d-fact-sheet.ashx?la=en" TargetMode="External"/><Relationship Id="rId18" Type="http://schemas.openxmlformats.org/officeDocument/2006/relationships/hyperlink" Target="https://report.nih.gov/NIHfactsheets/Pdfs/MultipleSclerosis(NINDS).pdf" TargetMode="External"/><Relationship Id="rId26" Type="http://schemas.openxmlformats.org/officeDocument/2006/relationships/image" Target="media/image2.png"/><Relationship Id="rId39" Type="http://schemas.openxmlformats.org/officeDocument/2006/relationships/image" Target="media/image4.png"/><Relationship Id="rId21" Type="http://schemas.openxmlformats.org/officeDocument/2006/relationships/hyperlink" Target="https://www.business.qld.gov.au/starting-business/planning/market-customer-research/swot-analysis" TargetMode="External"/><Relationship Id="rId34" Type="http://schemas.openxmlformats.org/officeDocument/2006/relationships/hyperlink" Target="http://ijmsc.org/doi/pdf/10.7224/1537-2073-17.s2.1?code=cmsc-site"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5888/pcd9.110324" TargetMode="External"/><Relationship Id="rId20" Type="http://schemas.openxmlformats.org/officeDocument/2006/relationships/hyperlink" Target="https://www.qld.gov.au/" TargetMode="External"/><Relationship Id="rId29" Type="http://schemas.openxmlformats.org/officeDocument/2006/relationships/hyperlink" Target="https://www.ncbi.nlm.nih.gov/pmc/articles/PMC4727614/" TargetMode="External"/><Relationship Id="rId41" Type="http://schemas.openxmlformats.org/officeDocument/2006/relationships/image" Target="media/image6.png"/><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uecrossnc.com/sites/default/files/document/attachment/services/public/pdfs/medicalpolicy/vitamin_d_testing.pdf" TargetMode="External"/><Relationship Id="rId24" Type="http://schemas.openxmlformats.org/officeDocument/2006/relationships/hyperlink" Target="https://voice.ons.org/news-and-views/adopt-an-evidence-based-practice-model-to-facilitate-practice-change" TargetMode="External"/><Relationship Id="rId32" Type="http://schemas.openxmlformats.org/officeDocument/2006/relationships/hyperlink" Target="http://ijmsc.org/doi/pdf/10.7224/1537-2073-17.s2.1?code=cmsc-site" TargetMode="External"/><Relationship Id="rId37" Type="http://schemas.openxmlformats.org/officeDocument/2006/relationships/hyperlink" Target="https://www.vitamindcouncil.org/for-health-professionals-position-statement-on-supplementation-blood-levels-and-sun-exposure/"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e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hrsa.gov/sites/default/files/quality/toolbox/508pdfs/qualityimprovement.pdf" TargetMode="External"/><Relationship Id="rId23" Type="http://schemas.openxmlformats.org/officeDocument/2006/relationships/hyperlink" Target="https://www.vitamindcouncil.org/for-health-professionals-position-statement-on-supplementation-blood-levels-and-sun-exposure/" TargetMode="External"/><Relationship Id="rId28" Type="http://schemas.openxmlformats.org/officeDocument/2006/relationships/hyperlink" Target="https://www.ncbi.nlm.nih.gov/pmc/articles/PMC4727614/" TargetMode="External"/><Relationship Id="rId36" Type="http://schemas.openxmlformats.org/officeDocument/2006/relationships/hyperlink" Target="tel:800%E2%80%932000" TargetMode="External"/><Relationship Id="rId49" Type="http://schemas.openxmlformats.org/officeDocument/2006/relationships/image" Target="media/image14.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s://www.aacnnursing.org/Portals/42/Publications/DNPEssentials.pdf" TargetMode="External"/><Relationship Id="rId19" Type="http://schemas.openxmlformats.org/officeDocument/2006/relationships/hyperlink" Target="https://www.psqh.com/analysis/diagnostics-errors-medical-scribes-improve-physician-satisfaction-can-they-improve-diagnosis-too/" TargetMode="External"/><Relationship Id="rId31" Type="http://schemas.openxmlformats.org/officeDocument/2006/relationships/hyperlink" Target="https://www.nationalmssociety.org/NationalMSSociety/media/MSNationalFiles/Brochures/Clinical-Bulletin-Vitamin-D-and-MS_-Implications-for-Clinical-Practice.pdf" TargetMode="External"/><Relationship Id="rId44" Type="http://schemas.openxmlformats.org/officeDocument/2006/relationships/image" Target="media/image9.png"/><Relationship Id="rId52" Type="http://schemas.openxmlformats.org/officeDocument/2006/relationships/image" Target="media/image1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brary.ahima.org/doc?oid=106220" TargetMode="External"/><Relationship Id="rId14" Type="http://schemas.openxmlformats.org/officeDocument/2006/relationships/hyperlink" Target="https://doi.org/10.1016/j.teln.2016.10.005" TargetMode="External"/><Relationship Id="rId22" Type="http://schemas.openxmlformats.org/officeDocument/2006/relationships/hyperlink" Target="https://libguides.usc.edu/writingguide" TargetMode="External"/><Relationship Id="rId27" Type="http://schemas.openxmlformats.org/officeDocument/2006/relationships/hyperlink" Target="https://www.ncbi.nlm.nih.gov/pmc/articles/PMC4727614/" TargetMode="External"/><Relationship Id="rId30" Type="http://schemas.openxmlformats.org/officeDocument/2006/relationships/hyperlink" Target="https://my.clevelandclinic.org/-/scassets/files/org/neurological/multiple-sclerosis/13-neu-545-vitamin-d-fact-sheet.ashx?la=en" TargetMode="External"/><Relationship Id="rId35" Type="http://schemas.openxmlformats.org/officeDocument/2006/relationships/hyperlink" Target="tel:400%E2%80%931000"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g"/><Relationship Id="rId8" Type="http://schemas.openxmlformats.org/officeDocument/2006/relationships/hyperlink" Target="https://www.ahrq.gov/professionals/systems/hospital/pressureulcertoolkit/putool4a.html" TargetMode="Externa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www.nursinglibrary.org/vhl/bitstream/10755/603821/1/1_Cantrell_M_p77880_1.pdf" TargetMode="External"/><Relationship Id="rId17" Type="http://schemas.openxmlformats.org/officeDocument/2006/relationships/hyperlink" Target="https://doi.org/10.1002/hep.29362" TargetMode="External"/><Relationship Id="rId25" Type="http://schemas.openxmlformats.org/officeDocument/2006/relationships/image" Target="media/image1.png"/><Relationship Id="rId33" Type="http://schemas.openxmlformats.org/officeDocument/2006/relationships/hyperlink" Target="http://ijmsc.org/doi/pdf/10.7224/1537-2073-17.s2.1?code=cmsc-site"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51F95-C974-49D5-9B25-14A955BF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26416</Words>
  <Characters>164709</Characters>
  <Application>Microsoft Office Word</Application>
  <DocSecurity>0</DocSecurity>
  <Lines>1372</Lines>
  <Paragraphs>381</Paragraphs>
  <ScaleCrop>false</ScaleCrop>
  <HeadingPairs>
    <vt:vector size="2" baseType="variant">
      <vt:variant>
        <vt:lpstr>Title</vt:lpstr>
      </vt:variant>
      <vt:variant>
        <vt:i4>1</vt:i4>
      </vt:variant>
    </vt:vector>
  </HeadingPairs>
  <TitlesOfParts>
    <vt:vector size="1" baseType="lpstr">
      <vt:lpstr>Capstone Template NUR 799</vt:lpstr>
    </vt:vector>
  </TitlesOfParts>
  <LinksUpToDate>false</LinksUpToDate>
  <CharactersWithSpaces>190744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Template NUR 799</dc:title>
  <dc:creator/>
  <cp:lastModifiedBy/>
  <cp:revision>1</cp:revision>
  <dcterms:created xsi:type="dcterms:W3CDTF">2019-07-23T14:15:00Z</dcterms:created>
  <dcterms:modified xsi:type="dcterms:W3CDTF">2019-07-23T19:51:00Z</dcterms:modified>
</cp:coreProperties>
</file>