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8C5" w:rsidRPr="00FC2FD1" w:rsidRDefault="006518C5" w:rsidP="006518C5">
      <w:pPr>
        <w:spacing w:line="480" w:lineRule="auto"/>
        <w:ind w:firstLine="0"/>
      </w:pPr>
      <w:r w:rsidRPr="00FC2FD1">
        <w:t>Authority Control of Names in Local Digitization Projects</w:t>
      </w:r>
      <w:r>
        <w:t xml:space="preserve"> and</w:t>
      </w:r>
      <w:r w:rsidRPr="00FC2FD1">
        <w:t xml:space="preserve"> </w:t>
      </w:r>
      <w:r>
        <w:t>t</w:t>
      </w:r>
      <w:r w:rsidRPr="00FC2FD1">
        <w:t xml:space="preserve">he Eastern North Carolina Postcard </w:t>
      </w:r>
      <w:r>
        <w:t>Collection</w:t>
      </w:r>
    </w:p>
    <w:p w:rsidR="006518C5" w:rsidRDefault="006518C5" w:rsidP="003E774F">
      <w:pPr>
        <w:spacing w:line="480" w:lineRule="auto"/>
        <w:ind w:firstLine="0"/>
      </w:pPr>
    </w:p>
    <w:p w:rsidR="006518C5" w:rsidRDefault="006518C5" w:rsidP="003E774F">
      <w:pPr>
        <w:spacing w:line="480" w:lineRule="auto"/>
        <w:ind w:firstLine="0"/>
      </w:pPr>
    </w:p>
    <w:p w:rsidR="006518C5" w:rsidRDefault="006518C5" w:rsidP="003E774F">
      <w:pPr>
        <w:spacing w:line="480" w:lineRule="auto"/>
        <w:ind w:firstLine="0"/>
      </w:pPr>
    </w:p>
    <w:p w:rsidR="006518C5" w:rsidRDefault="006518C5" w:rsidP="003E774F">
      <w:pPr>
        <w:spacing w:line="480" w:lineRule="auto"/>
        <w:ind w:firstLine="0"/>
      </w:pPr>
    </w:p>
    <w:p w:rsidR="006518C5" w:rsidRDefault="006518C5" w:rsidP="006518C5">
      <w:pPr>
        <w:spacing w:line="480" w:lineRule="auto"/>
        <w:ind w:firstLine="0"/>
      </w:pPr>
    </w:p>
    <w:p w:rsidR="006518C5" w:rsidRDefault="006518C5" w:rsidP="006518C5">
      <w:pPr>
        <w:spacing w:line="480" w:lineRule="auto"/>
        <w:ind w:firstLine="0"/>
      </w:pPr>
    </w:p>
    <w:p w:rsidR="006518C5" w:rsidRDefault="006518C5" w:rsidP="006518C5">
      <w:pPr>
        <w:spacing w:line="480" w:lineRule="auto"/>
        <w:ind w:firstLine="0"/>
      </w:pPr>
    </w:p>
    <w:p w:rsidR="006518C5" w:rsidRDefault="006518C5" w:rsidP="006518C5">
      <w:pPr>
        <w:spacing w:line="480" w:lineRule="auto"/>
        <w:ind w:firstLine="0"/>
      </w:pPr>
    </w:p>
    <w:p w:rsidR="006518C5" w:rsidRPr="006518C5" w:rsidRDefault="006518C5" w:rsidP="006518C5">
      <w:pPr>
        <w:spacing w:line="480" w:lineRule="auto"/>
        <w:ind w:firstLine="0"/>
        <w:rPr>
          <w:rFonts w:asciiTheme="minorHAnsi" w:hAnsiTheme="minorHAnsi" w:cstheme="minorHAnsi"/>
        </w:rPr>
      </w:pPr>
      <w:r w:rsidRPr="006518C5">
        <w:rPr>
          <w:rFonts w:asciiTheme="minorHAnsi" w:hAnsiTheme="minorHAnsi" w:cstheme="minorHAnsi"/>
        </w:rPr>
        <w:t>Patricia M. Dragon</w:t>
      </w:r>
    </w:p>
    <w:p w:rsidR="006518C5" w:rsidRDefault="006518C5" w:rsidP="006518C5">
      <w:pPr>
        <w:spacing w:line="480" w:lineRule="auto"/>
        <w:ind w:firstLine="0"/>
        <w:rPr>
          <w:rFonts w:asciiTheme="minorHAnsi" w:eastAsiaTheme="minorEastAsia" w:hAnsiTheme="minorHAnsi" w:cstheme="minorHAnsi"/>
          <w:noProof/>
        </w:rPr>
      </w:pPr>
      <w:r w:rsidRPr="006518C5">
        <w:rPr>
          <w:rFonts w:asciiTheme="minorHAnsi" w:eastAsiaTheme="minorEastAsia" w:hAnsiTheme="minorHAnsi" w:cstheme="minorHAnsi"/>
          <w:noProof/>
        </w:rPr>
        <w:t xml:space="preserve">Head of Special Collections Cataloging, Metadata &amp; Authorities </w:t>
      </w:r>
    </w:p>
    <w:p w:rsidR="006518C5" w:rsidRDefault="006518C5" w:rsidP="006518C5">
      <w:pPr>
        <w:spacing w:line="480" w:lineRule="auto"/>
        <w:ind w:firstLine="0"/>
        <w:rPr>
          <w:rFonts w:asciiTheme="minorHAnsi" w:eastAsiaTheme="minorEastAsia" w:hAnsiTheme="minorHAnsi" w:cstheme="minorHAnsi"/>
          <w:noProof/>
        </w:rPr>
      </w:pPr>
      <w:r>
        <w:rPr>
          <w:rFonts w:asciiTheme="minorHAnsi" w:eastAsiaTheme="minorEastAsia" w:hAnsiTheme="minorHAnsi" w:cstheme="minorHAnsi"/>
          <w:noProof/>
        </w:rPr>
        <w:t>East Carolina University</w:t>
      </w: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p>
    <w:p w:rsidR="006518C5" w:rsidRDefault="006518C5" w:rsidP="006518C5">
      <w:pPr>
        <w:spacing w:line="480" w:lineRule="auto"/>
        <w:ind w:firstLine="0"/>
        <w:rPr>
          <w:rFonts w:asciiTheme="minorHAnsi" w:eastAsiaTheme="minorEastAsia" w:hAnsiTheme="minorHAnsi" w:cstheme="minorHAnsi"/>
          <w:noProof/>
        </w:rPr>
      </w:pPr>
      <w:r>
        <w:rPr>
          <w:rFonts w:asciiTheme="minorHAnsi" w:eastAsiaTheme="minorEastAsia" w:hAnsiTheme="minorHAnsi" w:cstheme="minorHAnsi"/>
          <w:noProof/>
        </w:rPr>
        <w:t>Patricia M. Dragon</w:t>
      </w:r>
    </w:p>
    <w:p w:rsidR="006518C5" w:rsidRDefault="006518C5" w:rsidP="006518C5">
      <w:pPr>
        <w:spacing w:line="480" w:lineRule="auto"/>
        <w:ind w:firstLine="0"/>
        <w:rPr>
          <w:rFonts w:asciiTheme="minorHAnsi" w:eastAsiaTheme="minorEastAsia" w:hAnsiTheme="minorHAnsi" w:cstheme="minorHAnsi"/>
          <w:noProof/>
        </w:rPr>
      </w:pPr>
      <w:r>
        <w:rPr>
          <w:rFonts w:asciiTheme="minorHAnsi" w:eastAsiaTheme="minorEastAsia" w:hAnsiTheme="minorHAnsi" w:cstheme="minorHAnsi"/>
          <w:noProof/>
        </w:rPr>
        <w:t>Joyner Library</w:t>
      </w:r>
    </w:p>
    <w:p w:rsidR="006518C5" w:rsidRDefault="006518C5" w:rsidP="006518C5">
      <w:pPr>
        <w:spacing w:line="480" w:lineRule="auto"/>
        <w:ind w:firstLine="0"/>
        <w:rPr>
          <w:rFonts w:asciiTheme="minorHAnsi" w:eastAsiaTheme="minorEastAsia" w:hAnsiTheme="minorHAnsi" w:cstheme="minorHAnsi"/>
          <w:noProof/>
        </w:rPr>
      </w:pPr>
      <w:r>
        <w:rPr>
          <w:rFonts w:asciiTheme="minorHAnsi" w:eastAsiaTheme="minorEastAsia" w:hAnsiTheme="minorHAnsi" w:cstheme="minorHAnsi"/>
          <w:noProof/>
        </w:rPr>
        <w:t>East Carolina University</w:t>
      </w:r>
    </w:p>
    <w:p w:rsidR="006518C5" w:rsidRDefault="006518C5" w:rsidP="006518C5">
      <w:pPr>
        <w:spacing w:line="480" w:lineRule="auto"/>
        <w:ind w:firstLine="0"/>
        <w:rPr>
          <w:rFonts w:asciiTheme="minorHAnsi" w:eastAsiaTheme="minorEastAsia" w:hAnsiTheme="minorHAnsi" w:cstheme="minorHAnsi"/>
          <w:noProof/>
        </w:rPr>
      </w:pPr>
      <w:r>
        <w:rPr>
          <w:rFonts w:asciiTheme="minorHAnsi" w:eastAsiaTheme="minorEastAsia" w:hAnsiTheme="minorHAnsi" w:cstheme="minorHAnsi"/>
          <w:noProof/>
        </w:rPr>
        <w:t>Greenville, N.C. 27858</w:t>
      </w:r>
    </w:p>
    <w:p w:rsidR="006518C5" w:rsidRDefault="00860EE4" w:rsidP="006518C5">
      <w:pPr>
        <w:spacing w:line="480" w:lineRule="auto"/>
        <w:ind w:firstLine="0"/>
        <w:rPr>
          <w:rFonts w:asciiTheme="minorHAnsi" w:eastAsiaTheme="minorEastAsia" w:hAnsiTheme="minorHAnsi" w:cstheme="minorHAnsi"/>
          <w:noProof/>
        </w:rPr>
      </w:pPr>
      <w:hyperlink r:id="rId7" w:history="1">
        <w:r w:rsidR="006518C5" w:rsidRPr="00333AA9">
          <w:rPr>
            <w:rStyle w:val="Hyperlink"/>
            <w:rFonts w:asciiTheme="minorHAnsi" w:eastAsiaTheme="minorEastAsia" w:hAnsiTheme="minorHAnsi" w:cstheme="minorHAnsi"/>
            <w:noProof/>
          </w:rPr>
          <w:t>dragonp@ecu.edu</w:t>
        </w:r>
      </w:hyperlink>
    </w:p>
    <w:p w:rsidR="006518C5" w:rsidRDefault="006518C5">
      <w:pPr>
        <w:rPr>
          <w:rFonts w:asciiTheme="minorHAnsi" w:eastAsiaTheme="minorEastAsia" w:hAnsiTheme="minorHAnsi" w:cstheme="minorHAnsi"/>
          <w:noProof/>
        </w:rPr>
      </w:pPr>
      <w:r>
        <w:rPr>
          <w:rFonts w:asciiTheme="minorHAnsi" w:eastAsiaTheme="minorEastAsia" w:hAnsiTheme="minorHAnsi" w:cstheme="minorHAnsi"/>
          <w:noProof/>
        </w:rPr>
        <w:br w:type="page"/>
      </w:r>
    </w:p>
    <w:p w:rsidR="00344CC3" w:rsidRPr="00FC2FD1" w:rsidRDefault="00344CC3" w:rsidP="003E774F">
      <w:pPr>
        <w:spacing w:line="480" w:lineRule="auto"/>
        <w:ind w:firstLine="0"/>
      </w:pPr>
      <w:r w:rsidRPr="00FC2FD1">
        <w:lastRenderedPageBreak/>
        <w:t>Authority Control of Names in Local Digitization Projects</w:t>
      </w:r>
      <w:r>
        <w:t xml:space="preserve"> and</w:t>
      </w:r>
      <w:r w:rsidRPr="00FC2FD1">
        <w:t xml:space="preserve"> </w:t>
      </w:r>
      <w:r>
        <w:t>t</w:t>
      </w:r>
      <w:r w:rsidRPr="00FC2FD1">
        <w:t xml:space="preserve">he Eastern North Carolina Postcard </w:t>
      </w:r>
      <w:r w:rsidR="00B935AC">
        <w:t>Collection</w:t>
      </w:r>
    </w:p>
    <w:p w:rsidR="00344CC3" w:rsidRPr="00FC2FD1" w:rsidRDefault="00344CC3" w:rsidP="00344CC3">
      <w:pPr>
        <w:spacing w:line="480" w:lineRule="auto"/>
        <w:ind w:firstLine="0"/>
      </w:pPr>
    </w:p>
    <w:p w:rsidR="00344CC3" w:rsidRPr="00FC2FD1" w:rsidRDefault="00344CC3" w:rsidP="00344CC3">
      <w:pPr>
        <w:spacing w:line="480" w:lineRule="auto"/>
        <w:ind w:firstLine="0"/>
      </w:pPr>
      <w:r w:rsidRPr="00FC2FD1">
        <w:t>Abstract</w:t>
      </w:r>
    </w:p>
    <w:p w:rsidR="00344CC3" w:rsidRDefault="00344CC3" w:rsidP="00344CC3">
      <w:pPr>
        <w:spacing w:line="480" w:lineRule="auto"/>
      </w:pPr>
    </w:p>
    <w:p w:rsidR="00344CC3" w:rsidRDefault="00344CC3" w:rsidP="00344CC3">
      <w:pPr>
        <w:spacing w:line="480" w:lineRule="auto"/>
        <w:ind w:firstLine="720"/>
      </w:pPr>
      <w:r w:rsidRPr="00FC2FD1">
        <w:t>Authority control is a vitally important but frequently overlooked aspect of metadata creation for local digitization projects.</w:t>
      </w:r>
      <w:r>
        <w:t xml:space="preserve"> </w:t>
      </w:r>
      <w:r w:rsidRPr="00FC2FD1">
        <w:t>The addition of digital projects metadata to the traditional cataloging environment creates a number of challenges for authority control, challenges arising in turn from the nature of the materials being digitized, from choices made during the project, and from the tools used for the project.</w:t>
      </w:r>
      <w:r>
        <w:t xml:space="preserve"> </w:t>
      </w:r>
      <w:r w:rsidR="00B935AC">
        <w:t>B</w:t>
      </w:r>
      <w:r w:rsidR="00B935AC" w:rsidRPr="00A27C75">
        <w:t xml:space="preserve">y examining the authority control applied to named entities </w:t>
      </w:r>
      <w:r w:rsidR="00B935AC">
        <w:t xml:space="preserve">in </w:t>
      </w:r>
      <w:r w:rsidR="00B935AC" w:rsidRPr="00A27C75">
        <w:t>the Eastern North Carolina Postcard Collection at East Carolina University</w:t>
      </w:r>
      <w:r w:rsidR="00B935AC">
        <w:t>, t</w:t>
      </w:r>
      <w:r w:rsidRPr="00A27C75">
        <w:t>his paper describes these chall</w:t>
      </w:r>
      <w:r w:rsidR="00B935AC">
        <w:t>enges in some detail, and also describes attempts to overcome them</w:t>
      </w:r>
      <w:r w:rsidRPr="00A27C75">
        <w:t xml:space="preserve">. </w:t>
      </w:r>
    </w:p>
    <w:p w:rsidR="00344CC3" w:rsidRDefault="00344CC3" w:rsidP="00344CC3">
      <w:pPr>
        <w:spacing w:line="480" w:lineRule="auto"/>
        <w:ind w:firstLine="720"/>
      </w:pPr>
    </w:p>
    <w:p w:rsidR="00344CC3" w:rsidRDefault="00344CC3" w:rsidP="00344CC3">
      <w:pPr>
        <w:spacing w:line="480" w:lineRule="auto"/>
        <w:ind w:firstLine="0"/>
      </w:pPr>
      <w:r>
        <w:t>&lt;1&gt;Introduction</w:t>
      </w:r>
    </w:p>
    <w:p w:rsidR="00A508CF" w:rsidRDefault="00C40AE4" w:rsidP="00344CC3">
      <w:pPr>
        <w:spacing w:line="480" w:lineRule="auto"/>
      </w:pPr>
    </w:p>
    <w:p w:rsidR="00F51970" w:rsidRDefault="00F5246A" w:rsidP="00344CC3">
      <w:pPr>
        <w:spacing w:line="480" w:lineRule="auto"/>
        <w:ind w:firstLine="720"/>
      </w:pPr>
      <w:r>
        <w:t>M</w:t>
      </w:r>
      <w:r w:rsidR="00344CC3" w:rsidRPr="00FC2FD1">
        <w:t xml:space="preserve">any </w:t>
      </w:r>
      <w:r>
        <w:t>libraries</w:t>
      </w:r>
      <w:r w:rsidR="00344CC3" w:rsidRPr="00FC2FD1">
        <w:t xml:space="preserve"> </w:t>
      </w:r>
      <w:r>
        <w:t xml:space="preserve">around the world are </w:t>
      </w:r>
      <w:r w:rsidR="00344CC3" w:rsidRPr="00FC2FD1">
        <w:t xml:space="preserve">developing </w:t>
      </w:r>
      <w:r w:rsidR="00463199">
        <w:t>digitized</w:t>
      </w:r>
      <w:r w:rsidR="00344CC3" w:rsidRPr="00FC2FD1">
        <w:t xml:space="preserve"> collections</w:t>
      </w:r>
      <w:r>
        <w:t xml:space="preserve"> </w:t>
      </w:r>
      <w:r w:rsidR="00CD1934">
        <w:t>emphasizing</w:t>
      </w:r>
      <w:r>
        <w:t xml:space="preserve"> their </w:t>
      </w:r>
      <w:r w:rsidR="00344CC3" w:rsidRPr="00FC2FD1">
        <w:t xml:space="preserve">regionally significant special collections </w:t>
      </w:r>
      <w:r>
        <w:t>holdings</w:t>
      </w:r>
      <w:r w:rsidR="000B7488">
        <w:t xml:space="preserve">. </w:t>
      </w:r>
      <w:r w:rsidR="00344CC3" w:rsidRPr="00FC2FD1">
        <w:t xml:space="preserve">By </w:t>
      </w:r>
      <w:r w:rsidR="00CD1934">
        <w:t>compiling these digitized collections</w:t>
      </w:r>
      <w:r w:rsidR="00344CC3" w:rsidRPr="00FC2FD1">
        <w:t xml:space="preserve">, </w:t>
      </w:r>
      <w:r w:rsidR="00CD1934">
        <w:t>libraries</w:t>
      </w:r>
      <w:r w:rsidR="00344CC3" w:rsidRPr="00FC2FD1">
        <w:t xml:space="preserve"> are </w:t>
      </w:r>
      <w:r w:rsidR="00CD1934">
        <w:t>promoting access</w:t>
      </w:r>
      <w:r w:rsidR="00344CC3" w:rsidRPr="00FC2FD1">
        <w:t xml:space="preserve"> to the historical record of </w:t>
      </w:r>
      <w:r w:rsidR="00344CC3">
        <w:t xml:space="preserve">the local </w:t>
      </w:r>
      <w:r w:rsidR="00344CC3" w:rsidRPr="00FC2FD1">
        <w:t xml:space="preserve">community while acting upon </w:t>
      </w:r>
      <w:r w:rsidR="00344CC3">
        <w:t xml:space="preserve">a </w:t>
      </w:r>
      <w:r w:rsidR="00344CC3" w:rsidRPr="00FC2FD1">
        <w:t>belief that these resources inspire interest beyond the immediate community</w:t>
      </w:r>
      <w:r w:rsidR="000B7488">
        <w:t xml:space="preserve">. </w:t>
      </w:r>
      <w:r w:rsidR="00CD1934">
        <w:t>An integral com</w:t>
      </w:r>
      <w:r w:rsidR="00463199">
        <w:t xml:space="preserve">ponent of these digitized </w:t>
      </w:r>
      <w:r w:rsidR="00CD1934">
        <w:t>collections is the metadata that is applied to them, rendering the items in the collection findable through user searching</w:t>
      </w:r>
      <w:r w:rsidR="000B7488">
        <w:t xml:space="preserve">. </w:t>
      </w:r>
      <w:r w:rsidR="00344CC3" w:rsidRPr="00FC2FD1">
        <w:t xml:space="preserve">Authority control adds value to </w:t>
      </w:r>
      <w:r w:rsidR="00CD1934">
        <w:t>metadata</w:t>
      </w:r>
      <w:r w:rsidR="00344CC3" w:rsidRPr="00FC2FD1">
        <w:t xml:space="preserve"> by ensuring that </w:t>
      </w:r>
      <w:r w:rsidR="00B935AC">
        <w:t xml:space="preserve">the same heading is used to refer to </w:t>
      </w:r>
      <w:r w:rsidR="00344CC3" w:rsidRPr="00FC2FD1">
        <w:t>all instances of a named entity</w:t>
      </w:r>
      <w:r w:rsidR="00CD1934">
        <w:t>,</w:t>
      </w:r>
      <w:r w:rsidR="00344CC3">
        <w:t xml:space="preserve"> thus collocating</w:t>
      </w:r>
      <w:r w:rsidR="00CD1934">
        <w:t xml:space="preserve"> related material</w:t>
      </w:r>
      <w:r w:rsidR="000B7488">
        <w:t xml:space="preserve">. </w:t>
      </w:r>
    </w:p>
    <w:p w:rsidR="00344CC3" w:rsidRDefault="003D23BA" w:rsidP="00344CC3">
      <w:pPr>
        <w:spacing w:line="480" w:lineRule="auto"/>
        <w:ind w:firstLine="720"/>
      </w:pPr>
      <w:r w:rsidRPr="004B3DDC">
        <w:t xml:space="preserve">The </w:t>
      </w:r>
      <w:r>
        <w:t>case studied in</w:t>
      </w:r>
      <w:r w:rsidRPr="004B3DDC">
        <w:t xml:space="preserve"> this paper</w:t>
      </w:r>
      <w:r w:rsidR="00F51970">
        <w:t xml:space="preserve"> is</w:t>
      </w:r>
      <w:r w:rsidRPr="004B3DDC">
        <w:t xml:space="preserve"> the Eastern North Carolina Postcard Collection, </w:t>
      </w:r>
      <w:r>
        <w:t>particularly the</w:t>
      </w:r>
      <w:r w:rsidRPr="004B3DDC">
        <w:t xml:space="preserve"> authority control of named entities and places</w:t>
      </w:r>
      <w:r w:rsidR="00F51970">
        <w:t xml:space="preserve"> used as subject headings</w:t>
      </w:r>
      <w:r w:rsidR="000B7488">
        <w:t xml:space="preserve">. </w:t>
      </w:r>
      <w:r>
        <w:t>The case study illustrates how a</w:t>
      </w:r>
      <w:r w:rsidR="002B186B">
        <w:t xml:space="preserve">pplying authority control to named entities in digital projects metadata creates several challenges for </w:t>
      </w:r>
      <w:r w:rsidR="00DD2F72">
        <w:t>catalogers</w:t>
      </w:r>
      <w:r w:rsidR="000B7488">
        <w:t xml:space="preserve">. </w:t>
      </w:r>
      <w:r>
        <w:t>These challenges include</w:t>
      </w:r>
      <w:r w:rsidR="00D85307">
        <w:t xml:space="preserve"> (1)</w:t>
      </w:r>
      <w:r>
        <w:t xml:space="preserve"> </w:t>
      </w:r>
      <w:r w:rsidR="00DD2F72">
        <w:t>t</w:t>
      </w:r>
      <w:r>
        <w:t xml:space="preserve">he complexity of work arising from the form and subject matter </w:t>
      </w:r>
      <w:r w:rsidR="00517A50">
        <w:lastRenderedPageBreak/>
        <w:t>of the materials digitized, (2)</w:t>
      </w:r>
      <w:r w:rsidR="00DD2F72">
        <w:t xml:space="preserve"> t</w:t>
      </w:r>
      <w:r>
        <w:t xml:space="preserve">he volume of work created by a high </w:t>
      </w:r>
      <w:r w:rsidR="00F51970">
        <w:t xml:space="preserve">ratio of </w:t>
      </w:r>
      <w:r>
        <w:t>new authorized heading</w:t>
      </w:r>
      <w:r w:rsidR="00F51970">
        <w:t>s</w:t>
      </w:r>
      <w:r>
        <w:t xml:space="preserve"> per</w:t>
      </w:r>
      <w:r w:rsidR="00F51970">
        <w:t xml:space="preserve"> bibliographic description</w:t>
      </w:r>
      <w:r>
        <w:t xml:space="preserve">, and </w:t>
      </w:r>
      <w:r w:rsidR="00517A50">
        <w:t>(3)</w:t>
      </w:r>
      <w:r>
        <w:t xml:space="preserve"> </w:t>
      </w:r>
      <w:r w:rsidR="00DD2F72">
        <w:t>t</w:t>
      </w:r>
      <w:r>
        <w:t xml:space="preserve">he inefficiency perpetuated by the lack of </w:t>
      </w:r>
      <w:r w:rsidR="00F5246A">
        <w:t>actual authority data in the re</w:t>
      </w:r>
      <w:r>
        <w:t>pository database</w:t>
      </w:r>
      <w:r w:rsidR="000B7488">
        <w:t xml:space="preserve">. </w:t>
      </w:r>
      <w:r w:rsidR="003D71ED">
        <w:t>The author proposes that</w:t>
      </w:r>
      <w:r w:rsidR="00DD2F72">
        <w:t>,</w:t>
      </w:r>
      <w:r w:rsidR="00F5246A">
        <w:t xml:space="preserve"> while some choices made by individual institutions may differ,</w:t>
      </w:r>
      <w:r w:rsidR="003D71ED">
        <w:t xml:space="preserve"> the challenges encountered in this case study </w:t>
      </w:r>
      <w:r w:rsidR="000B7488">
        <w:t>can be generalized</w:t>
      </w:r>
      <w:r w:rsidR="003D71ED">
        <w:t xml:space="preserve"> to the many similar projects being undertaken in</w:t>
      </w:r>
      <w:r w:rsidR="00F5246A">
        <w:t xml:space="preserve"> libraries throughout the world</w:t>
      </w:r>
      <w:r w:rsidR="000B7488">
        <w:t xml:space="preserve">. </w:t>
      </w:r>
      <w:r w:rsidR="00F5246A">
        <w:t>G</w:t>
      </w:r>
      <w:r w:rsidR="003D71ED">
        <w:t xml:space="preserve">rappling with these challenges is essential to the achievement of goals with widespread appeal, such as the integration of </w:t>
      </w:r>
      <w:r w:rsidR="00DD2F72">
        <w:t>digitized</w:t>
      </w:r>
      <w:r w:rsidR="003D71ED">
        <w:t xml:space="preserve"> collections more fully into library collections,</w:t>
      </w:r>
      <w:r w:rsidR="00F95A42">
        <w:t xml:space="preserve"> and</w:t>
      </w:r>
      <w:r w:rsidR="003D71ED">
        <w:t xml:space="preserve"> the improved usability of digital repositories </w:t>
      </w:r>
      <w:r w:rsidR="00F5246A">
        <w:t>via</w:t>
      </w:r>
      <w:r w:rsidR="003D71ED">
        <w:t xml:space="preserve"> quality metadata</w:t>
      </w:r>
      <w:r w:rsidR="000B7488">
        <w:t xml:space="preserve">. </w:t>
      </w:r>
      <w:r w:rsidR="00F51970">
        <w:t>The</w:t>
      </w:r>
      <w:r w:rsidR="00DD2F72">
        <w:t xml:space="preserve"> paper </w:t>
      </w:r>
      <w:r w:rsidR="00F51970">
        <w:t>commence</w:t>
      </w:r>
      <w:r w:rsidR="00DD2F72">
        <w:t>s</w:t>
      </w:r>
      <w:r w:rsidR="00F51970">
        <w:t xml:space="preserve"> with a literature review, followed by a description of the Eastern North Carolina Postcard </w:t>
      </w:r>
      <w:r w:rsidR="00B935AC">
        <w:t>Collection</w:t>
      </w:r>
      <w:r w:rsidR="000B7488">
        <w:t xml:space="preserve">. </w:t>
      </w:r>
      <w:r w:rsidR="00F51970">
        <w:t>It then discuss</w:t>
      </w:r>
      <w:r w:rsidR="00DD2F72">
        <w:t>es</w:t>
      </w:r>
      <w:r w:rsidR="00F51970">
        <w:t xml:space="preserve"> in detail </w:t>
      </w:r>
      <w:r w:rsidR="001C510B">
        <w:t xml:space="preserve">each of </w:t>
      </w:r>
      <w:r w:rsidR="00F51970">
        <w:t>the challenges raised by applying authority control to named entities in the subject analysis of this project, as well as efforts to overcome these challenges</w:t>
      </w:r>
      <w:r w:rsidR="000B7488">
        <w:t xml:space="preserve">. </w:t>
      </w:r>
      <w:r w:rsidR="00DD2F72">
        <w:t xml:space="preserve">The paper </w:t>
      </w:r>
      <w:r w:rsidR="00F51970">
        <w:t>conclude</w:t>
      </w:r>
      <w:r w:rsidR="00DD2F72">
        <w:t>s</w:t>
      </w:r>
      <w:r w:rsidR="00F51970">
        <w:t xml:space="preserve"> with a discussion of </w:t>
      </w:r>
      <w:r w:rsidR="000849D9">
        <w:t>points needing future research</w:t>
      </w:r>
      <w:r w:rsidR="00F51970">
        <w:t xml:space="preserve">, </w:t>
      </w:r>
      <w:r w:rsidR="001C510B">
        <w:t>as well as the importance of meeting these cha</w:t>
      </w:r>
      <w:r w:rsidR="00DD2F72">
        <w:t xml:space="preserve">llenges, for the sake of future </w:t>
      </w:r>
      <w:r w:rsidR="001C510B">
        <w:t>digitization projects.</w:t>
      </w:r>
    </w:p>
    <w:p w:rsidR="00A45D55" w:rsidRDefault="00A45D55" w:rsidP="00344CC3">
      <w:pPr>
        <w:spacing w:line="480" w:lineRule="auto"/>
        <w:ind w:firstLine="720"/>
      </w:pPr>
    </w:p>
    <w:p w:rsidR="00A45D55" w:rsidRDefault="00A45D55" w:rsidP="00A45D55">
      <w:pPr>
        <w:spacing w:line="480" w:lineRule="auto"/>
        <w:ind w:firstLine="0"/>
      </w:pPr>
      <w:r>
        <w:t>&lt;1&gt;Literature Review</w:t>
      </w:r>
    </w:p>
    <w:p w:rsidR="00A45D55" w:rsidRDefault="00A45D55" w:rsidP="00A45D55">
      <w:pPr>
        <w:spacing w:line="480" w:lineRule="auto"/>
        <w:ind w:firstLine="720"/>
      </w:pPr>
    </w:p>
    <w:p w:rsidR="00A45D55" w:rsidRDefault="00A45D55" w:rsidP="00A45D55">
      <w:pPr>
        <w:spacing w:line="480" w:lineRule="auto"/>
        <w:ind w:firstLine="720"/>
      </w:pPr>
      <w:r w:rsidRPr="00FC2FD1">
        <w:t>Traditional application of authority control in the metadata context has not been well-explored.</w:t>
      </w:r>
      <w:r>
        <w:t xml:space="preserve"> </w:t>
      </w:r>
      <w:r w:rsidRPr="00FC2FD1">
        <w:t>Some even question whether the two concepts are compatible.</w:t>
      </w:r>
      <w:r>
        <w:t xml:space="preserve"> </w:t>
      </w:r>
      <w:r w:rsidR="00370A56">
        <w:t xml:space="preserve">Gorman </w:t>
      </w:r>
      <w:r w:rsidRPr="00FC2FD1">
        <w:t>disparages metadata standards such as Dublin Core because of their a</w:t>
      </w:r>
      <w:r w:rsidR="00370A56">
        <w:t>lleged lack of authority control.</w:t>
      </w:r>
      <w:r w:rsidR="00DF3E79">
        <w:t>[</w:t>
      </w:r>
      <w:r w:rsidR="00AA0DCD">
        <w:t>1</w:t>
      </w:r>
      <w:r w:rsidR="00DF3E79">
        <w:t>]</w:t>
      </w:r>
      <w:r w:rsidR="00370A56">
        <w:t xml:space="preserve"> He i</w:t>
      </w:r>
      <w:r w:rsidRPr="00FC2FD1">
        <w:t>gnor</w:t>
      </w:r>
      <w:r w:rsidR="00370A56">
        <w:t>es</w:t>
      </w:r>
      <w:r w:rsidRPr="00FC2FD1">
        <w:t xml:space="preserve"> the fact that many metadata standards, including Dublin Core in its qualified form, make possible, even if they do not require, the explicit use of controlled vocabularies for subject analysis.</w:t>
      </w:r>
      <w:r w:rsidR="00370A56">
        <w:t xml:space="preserve"> Granted,</w:t>
      </w:r>
      <w:r w:rsidRPr="00FC2FD1">
        <w:t xml:space="preserve"> applying these qualifiers robs Dublin Core of</w:t>
      </w:r>
      <w:r w:rsidR="00370A56">
        <w:t xml:space="preserve"> much of</w:t>
      </w:r>
      <w:r w:rsidRPr="00FC2FD1">
        <w:t xml:space="preserve"> its simplicity, </w:t>
      </w:r>
      <w:r w:rsidR="00370A56">
        <w:t>on</w:t>
      </w:r>
      <w:r w:rsidRPr="00FC2FD1">
        <w:t>e of its major advantages.</w:t>
      </w:r>
      <w:r>
        <w:t xml:space="preserve"> </w:t>
      </w:r>
      <w:r w:rsidRPr="00FC2FD1">
        <w:t>Vellucci points out that many metadata schemes</w:t>
      </w:r>
      <w:r w:rsidR="00370A56">
        <w:t>, including Dublin Core,</w:t>
      </w:r>
      <w:r w:rsidRPr="00FC2FD1">
        <w:t xml:space="preserve"> offer the opportunity to apply authority control, but whether a particular project takes advantage of that opportunity is the result of local policy decisions.</w:t>
      </w:r>
      <w:r w:rsidR="00370A56">
        <w:t>[</w:t>
      </w:r>
      <w:r w:rsidR="00AA0DCD">
        <w:t>2</w:t>
      </w:r>
      <w:r w:rsidR="00370A56">
        <w:t>]</w:t>
      </w:r>
      <w:r>
        <w:t xml:space="preserve"> </w:t>
      </w:r>
      <w:r w:rsidRPr="00FC2FD1">
        <w:t>She argues that when information specialists and catalogers create metadata for high quality and long-lasting documents in a library context, “authority controlled data content should be the norm.”</w:t>
      </w:r>
      <w:r w:rsidR="004D3C8D">
        <w:t>[</w:t>
      </w:r>
      <w:r w:rsidR="00AA0DCD">
        <w:t>3</w:t>
      </w:r>
      <w:r>
        <w:t>]</w:t>
      </w:r>
      <w:r w:rsidR="00B54770">
        <w:t xml:space="preserve"> </w:t>
      </w:r>
      <w:r w:rsidR="00F73BF3">
        <w:t>T</w:t>
      </w:r>
      <w:r w:rsidR="00370A56">
        <w:t xml:space="preserve">his position is supported by Baca, who argues for the importance of controlled vocabularies for the subject analysis of </w:t>
      </w:r>
      <w:r w:rsidR="00370A56">
        <w:lastRenderedPageBreak/>
        <w:t>cultural heritage material.[</w:t>
      </w:r>
      <w:r w:rsidR="00AA0DCD">
        <w:t>4</w:t>
      </w:r>
      <w:r w:rsidR="00370A56">
        <w:t xml:space="preserve">]  Baca </w:t>
      </w:r>
      <w:r w:rsidR="005A7449">
        <w:t xml:space="preserve">indicates that many institutions are finding the best </w:t>
      </w:r>
      <w:r w:rsidR="00370A56">
        <w:t>practice</w:t>
      </w:r>
      <w:r w:rsidR="005A7449">
        <w:t xml:space="preserve"> to be to create their own thesaurus rather than using a single</w:t>
      </w:r>
      <w:r w:rsidR="00370A56">
        <w:t>,</w:t>
      </w:r>
      <w:r w:rsidR="005A7449">
        <w:t xml:space="preserve"> established one, but she does not dwell on that decision process.[</w:t>
      </w:r>
      <w:r w:rsidR="009C35ED">
        <w:t>5</w:t>
      </w:r>
      <w:r w:rsidR="0056346D">
        <w:t xml:space="preserve">] </w:t>
      </w:r>
      <w:r w:rsidR="005A7449">
        <w:t>Instead, she outlines the benefits to users from a controlled vocabulary, regardless of its origin, including navigation helps such as broader and narrower terms and cross references.[</w:t>
      </w:r>
      <w:r w:rsidR="009C35ED">
        <w:t>6</w:t>
      </w:r>
      <w:r w:rsidR="0056346D">
        <w:t xml:space="preserve">] </w:t>
      </w:r>
      <w:r w:rsidR="00F73BF3">
        <w:t>While both Vellucci and Baca argue for the importance of authority control in the metadata context, neither details the process of applying authority control to digitized materials, nor do they indicate the specific authority control challenges involved in working with these materials.</w:t>
      </w:r>
    </w:p>
    <w:p w:rsidR="00F91917" w:rsidRDefault="001D78D5" w:rsidP="001D78D5">
      <w:pPr>
        <w:spacing w:line="480" w:lineRule="auto"/>
        <w:ind w:firstLine="720"/>
      </w:pPr>
      <w:r>
        <w:t xml:space="preserve">The </w:t>
      </w:r>
      <w:r w:rsidR="00F91917" w:rsidRPr="00FC2FD1">
        <w:t xml:space="preserve">literature describing digital projects </w:t>
      </w:r>
      <w:r w:rsidR="00F91917">
        <w:t>often</w:t>
      </w:r>
      <w:r w:rsidR="00F91917" w:rsidRPr="00FC2FD1">
        <w:t xml:space="preserve"> focuses on resource description</w:t>
      </w:r>
      <w:r w:rsidR="00370A56">
        <w:t>. W</w:t>
      </w:r>
      <w:r w:rsidR="00F91917" w:rsidRPr="00FC2FD1">
        <w:t>hen authority control is mentioned</w:t>
      </w:r>
      <w:r w:rsidR="00F91917">
        <w:t>,</w:t>
      </w:r>
      <w:r w:rsidR="00F91917" w:rsidRPr="00FC2FD1">
        <w:t xml:space="preserve"> it is usually to say simply that names are entered according to the Library of Congress Name Authority File </w:t>
      </w:r>
      <w:r w:rsidR="00F91917">
        <w:t>(</w:t>
      </w:r>
      <w:r w:rsidR="000F6954">
        <w:t>LC</w:t>
      </w:r>
      <w:r w:rsidR="00F91917">
        <w:t xml:space="preserve">NAF) </w:t>
      </w:r>
      <w:r w:rsidR="00F91917" w:rsidRPr="00FC2FD1">
        <w:t xml:space="preserve">or constructed according to </w:t>
      </w:r>
      <w:r w:rsidR="00F91917" w:rsidRPr="00FC2FD1">
        <w:rPr>
          <w:i/>
        </w:rPr>
        <w:t>Anglo-American Cataloguing Rules</w:t>
      </w:r>
      <w:r w:rsidR="00F91917">
        <w:t>, 2nd ed.</w:t>
      </w:r>
      <w:r w:rsidR="00F91917" w:rsidRPr="00FC2FD1">
        <w:rPr>
          <w:i/>
        </w:rPr>
        <w:t xml:space="preserve"> </w:t>
      </w:r>
      <w:r w:rsidR="00F91917" w:rsidRPr="00FC2FD1">
        <w:t>(</w:t>
      </w:r>
      <w:r w:rsidR="00F91917" w:rsidRPr="00441691">
        <w:rPr>
          <w:i/>
        </w:rPr>
        <w:t>AACR</w:t>
      </w:r>
      <w:r w:rsidR="00F91917">
        <w:rPr>
          <w:i/>
        </w:rPr>
        <w:t>2</w:t>
      </w:r>
      <w:r w:rsidR="00F91917" w:rsidRPr="00FC2FD1">
        <w:t>).</w:t>
      </w:r>
      <w:r w:rsidR="00F91917">
        <w:t>[</w:t>
      </w:r>
      <w:r w:rsidR="00AA0DCD">
        <w:t>7</w:t>
      </w:r>
      <w:r w:rsidR="00F91917">
        <w:t xml:space="preserve">] </w:t>
      </w:r>
      <w:r w:rsidR="00370A56">
        <w:t>Details about this</w:t>
      </w:r>
      <w:r w:rsidR="00F91917" w:rsidRPr="00FC2FD1">
        <w:t xml:space="preserve"> process and experience</w:t>
      </w:r>
      <w:r w:rsidR="00370A56">
        <w:t>s</w:t>
      </w:r>
      <w:r w:rsidR="00F91917" w:rsidRPr="00FC2FD1">
        <w:t xml:space="preserve"> </w:t>
      </w:r>
      <w:r w:rsidR="00370A56">
        <w:t>related to</w:t>
      </w:r>
      <w:r w:rsidR="00F91917" w:rsidRPr="00FC2FD1">
        <w:t xml:space="preserve"> these types of materials are rarely given.</w:t>
      </w:r>
      <w:r w:rsidR="00F91917">
        <w:t xml:space="preserve"> </w:t>
      </w:r>
      <w:r w:rsidR="00370A56">
        <w:t>A</w:t>
      </w:r>
      <w:r w:rsidR="00E60B75">
        <w:t>n</w:t>
      </w:r>
      <w:r w:rsidR="00F91917" w:rsidRPr="00FC2FD1">
        <w:t xml:space="preserve"> exception is Graham and Ross’s article “Metadata and Authority Control in the </w:t>
      </w:r>
      <w:r w:rsidR="00F91917" w:rsidRPr="00FC2FD1">
        <w:rPr>
          <w:i/>
        </w:rPr>
        <w:t>Civil Rights in Mississippi Digital Archive</w:t>
      </w:r>
      <w:r w:rsidR="00F91917" w:rsidRPr="00FC2FD1">
        <w:t>,”</w:t>
      </w:r>
      <w:r w:rsidR="00F91917">
        <w:t xml:space="preserve"> </w:t>
      </w:r>
      <w:r w:rsidR="00F91917" w:rsidRPr="00FC2FD1">
        <w:t xml:space="preserve">in which the authors </w:t>
      </w:r>
      <w:r w:rsidR="00FB7166">
        <w:t>explain</w:t>
      </w:r>
      <w:r w:rsidR="00F91917" w:rsidRPr="00FC2FD1">
        <w:t xml:space="preserve"> the role of catalogers in creating new authorized subject headings</w:t>
      </w:r>
      <w:r w:rsidR="00E60B75">
        <w:t xml:space="preserve"> </w:t>
      </w:r>
      <w:r w:rsidR="00370A56">
        <w:t>and</w:t>
      </w:r>
      <w:r w:rsidR="00E60B75">
        <w:t xml:space="preserve"> give philosophical underpinnings for having catalogers create authority records for personal and corporate names used as subjects</w:t>
      </w:r>
      <w:r w:rsidR="00F91917" w:rsidRPr="00FC2FD1">
        <w:t>.</w:t>
      </w:r>
      <w:r w:rsidR="00F91917">
        <w:t>[</w:t>
      </w:r>
      <w:r w:rsidR="009C35ED">
        <w:t>8</w:t>
      </w:r>
      <w:r w:rsidR="00F91917">
        <w:t xml:space="preserve">] </w:t>
      </w:r>
      <w:r w:rsidR="00F91917" w:rsidRPr="00FC2FD1">
        <w:t>“The catalogers feel a sense of duty to establish headings of extramural reach in the LC authority file despite the increasing demands this act</w:t>
      </w:r>
      <w:r w:rsidR="0056346D">
        <w:t>ivity requires,” they explain.[</w:t>
      </w:r>
      <w:r w:rsidR="00AA0DCD">
        <w:t>9</w:t>
      </w:r>
      <w:r w:rsidR="00F91917" w:rsidRPr="00FC2FD1">
        <w:t>]</w:t>
      </w:r>
      <w:r w:rsidR="00F91917">
        <w:t xml:space="preserve"> </w:t>
      </w:r>
      <w:r w:rsidR="00F91917" w:rsidRPr="00FC2FD1">
        <w:t>This sense of duty, they write, arises out of a desire to “maintain global interoperability of the catalog” by using the same subject thesau</w:t>
      </w:r>
      <w:r w:rsidR="0056346D">
        <w:t>rus for all library materials.[</w:t>
      </w:r>
      <w:r w:rsidR="00AA0DCD">
        <w:t>10</w:t>
      </w:r>
      <w:r w:rsidR="0056346D">
        <w:t xml:space="preserve">] </w:t>
      </w:r>
      <w:r w:rsidR="00E60B75">
        <w:t>The authors, however, do not go into detail regarding these “increasing demands.”</w:t>
      </w:r>
    </w:p>
    <w:p w:rsidR="00566705" w:rsidRDefault="00E60B75" w:rsidP="00A45D55">
      <w:pPr>
        <w:spacing w:line="480" w:lineRule="auto"/>
        <w:ind w:firstLine="720"/>
      </w:pPr>
      <w:r>
        <w:t xml:space="preserve">The challenges involved in </w:t>
      </w:r>
      <w:r w:rsidR="00566705">
        <w:t>subject analysis</w:t>
      </w:r>
      <w:r w:rsidR="008A4E5E">
        <w:t xml:space="preserve"> for images of named entities</w:t>
      </w:r>
      <w:r w:rsidR="00566705">
        <w:t xml:space="preserve"> and</w:t>
      </w:r>
      <w:r w:rsidR="008A4E5E">
        <w:t xml:space="preserve"> its</w:t>
      </w:r>
      <w:r w:rsidR="00566705">
        <w:t xml:space="preserve"> concomitant</w:t>
      </w:r>
      <w:r>
        <w:t xml:space="preserve"> authority control have been</w:t>
      </w:r>
      <w:r w:rsidR="008A4E5E">
        <w:t xml:space="preserve"> well</w:t>
      </w:r>
      <w:r>
        <w:t xml:space="preserve"> noted</w:t>
      </w:r>
      <w:r w:rsidR="000B7488">
        <w:t xml:space="preserve">. </w:t>
      </w:r>
      <w:r w:rsidR="00370A56">
        <w:t xml:space="preserve">Cuccurullo </w:t>
      </w:r>
      <w:r w:rsidR="00FB7166">
        <w:t xml:space="preserve">offers an intense </w:t>
      </w:r>
      <w:r w:rsidR="008A4E5E">
        <w:t>look at the difficulties inherent in ap</w:t>
      </w:r>
      <w:r w:rsidR="00555673">
        <w:t xml:space="preserve">plying the guidelines in the Library of Congress </w:t>
      </w:r>
      <w:r w:rsidR="00555673" w:rsidRPr="00555673">
        <w:rPr>
          <w:i/>
        </w:rPr>
        <w:t>Subject Cataloging Manual</w:t>
      </w:r>
      <w:r w:rsidR="008A4E5E">
        <w:t xml:space="preserve"> to images of the built world, including the confusion regardi</w:t>
      </w:r>
      <w:r w:rsidR="00370A56">
        <w:t>ng which set of rules to follow--</w:t>
      </w:r>
      <w:r w:rsidR="008A4E5E">
        <w:t xml:space="preserve">those for the subject file or those for the </w:t>
      </w:r>
      <w:r w:rsidR="00FB7166">
        <w:t>name</w:t>
      </w:r>
      <w:r w:rsidR="00370A56">
        <w:t xml:space="preserve"> file--</w:t>
      </w:r>
      <w:r w:rsidR="008A4E5E">
        <w:t xml:space="preserve">and the implications </w:t>
      </w:r>
      <w:r w:rsidR="00936983">
        <w:t>for</w:t>
      </w:r>
      <w:r w:rsidR="008A4E5E">
        <w:t xml:space="preserve"> the user </w:t>
      </w:r>
      <w:r w:rsidR="00936983">
        <w:t>when the cataloger follows</w:t>
      </w:r>
      <w:r w:rsidR="008A4E5E">
        <w:t xml:space="preserve"> one or the other set of rules.[</w:t>
      </w:r>
      <w:r w:rsidR="00AA0DCD">
        <w:t>11</w:t>
      </w:r>
      <w:r w:rsidR="0056346D">
        <w:t xml:space="preserve">] </w:t>
      </w:r>
      <w:r w:rsidR="008A4E5E">
        <w:t>She suggests several possibilities to alleviate the problem, including combining the authorit</w:t>
      </w:r>
      <w:r w:rsidR="008049F8">
        <w:t>y files or adjusting or clarifying the rules.[</w:t>
      </w:r>
      <w:r w:rsidR="00C26ABA">
        <w:t>12</w:t>
      </w:r>
      <w:r w:rsidR="0056346D">
        <w:t xml:space="preserve">] </w:t>
      </w:r>
      <w:r w:rsidR="008049F8">
        <w:t xml:space="preserve">While she suggests that a quick resolution to the problem is </w:t>
      </w:r>
      <w:r w:rsidR="008049F8">
        <w:lastRenderedPageBreak/>
        <w:t>needed because of the implications for digital projects metadata, she does not specifically address the challenge in the digital projects metadata context.[</w:t>
      </w:r>
      <w:r w:rsidR="00C26ABA">
        <w:t>13</w:t>
      </w:r>
      <w:r w:rsidR="0056346D">
        <w:t xml:space="preserve">] </w:t>
      </w:r>
      <w:r w:rsidR="008049F8" w:rsidRPr="00FB7166">
        <w:rPr>
          <w:i/>
        </w:rPr>
        <w:t>Cataloging Cultural Objects</w:t>
      </w:r>
      <w:r w:rsidR="00C42BB0" w:rsidRPr="00FB7166">
        <w:rPr>
          <w:i/>
        </w:rPr>
        <w:t xml:space="preserve"> (CCO)</w:t>
      </w:r>
      <w:r w:rsidR="008049F8">
        <w:t xml:space="preserve">, a manual of </w:t>
      </w:r>
      <w:r w:rsidR="008049F8" w:rsidRPr="00936983">
        <w:rPr>
          <w:i/>
        </w:rPr>
        <w:t>AACR</w:t>
      </w:r>
      <w:r w:rsidR="00936983" w:rsidRPr="00936983">
        <w:rPr>
          <w:i/>
        </w:rPr>
        <w:t>2</w:t>
      </w:r>
      <w:r w:rsidR="008049F8">
        <w:t xml:space="preserve"> application to works of art, is primarily concerned with dividing descriptive information into a </w:t>
      </w:r>
      <w:r w:rsidR="00FB7166">
        <w:t xml:space="preserve">linked </w:t>
      </w:r>
      <w:r w:rsidR="008049F8">
        <w:t>hierarchical construct wherein some elements would apply to the object (or building) itself, some to the image of the object, and some to the digital reproduction of the image.[</w:t>
      </w:r>
      <w:r w:rsidR="00AA0DCD">
        <w:t>14</w:t>
      </w:r>
      <w:r w:rsidR="0056346D">
        <w:t xml:space="preserve">] </w:t>
      </w:r>
      <w:r w:rsidR="00C42BB0">
        <w:t>The introduction, however, contains a very useful examination of some of the challenges involved in</w:t>
      </w:r>
      <w:r w:rsidR="00FB7166">
        <w:t xml:space="preserve"> the</w:t>
      </w:r>
      <w:r w:rsidR="00C42BB0">
        <w:t xml:space="preserve"> subject analysis of images, including the question of specificity and a rationale for makin</w:t>
      </w:r>
      <w:r w:rsidR="00936983">
        <w:t>g specificity decisions.[</w:t>
      </w:r>
      <w:r w:rsidR="00AA0DCD">
        <w:t>15</w:t>
      </w:r>
      <w:r w:rsidR="00936983">
        <w:t xml:space="preserve">] The present paper </w:t>
      </w:r>
      <w:r w:rsidR="00C42BB0">
        <w:t>address</w:t>
      </w:r>
      <w:r w:rsidR="00936983">
        <w:t>es this issue</w:t>
      </w:r>
      <w:r w:rsidR="00C42BB0">
        <w:t xml:space="preserve"> below</w:t>
      </w:r>
      <w:r w:rsidR="000B7488">
        <w:t xml:space="preserve">. </w:t>
      </w:r>
      <w:r w:rsidR="00C42BB0">
        <w:t>Once again, however, specific challenges involved in establishing named entities as subjects are not directly addressed</w:t>
      </w:r>
      <w:r w:rsidR="00936983">
        <w:t xml:space="preserve"> by </w:t>
      </w:r>
      <w:r w:rsidR="00936983" w:rsidRPr="00936983">
        <w:rPr>
          <w:i/>
        </w:rPr>
        <w:t>CCO</w:t>
      </w:r>
      <w:r w:rsidR="00C42BB0">
        <w:t>.</w:t>
      </w:r>
    </w:p>
    <w:p w:rsidR="00FE6723" w:rsidRDefault="00C42BB0" w:rsidP="00A45D55">
      <w:pPr>
        <w:spacing w:line="480" w:lineRule="auto"/>
        <w:ind w:firstLine="720"/>
      </w:pPr>
      <w:r>
        <w:t>An</w:t>
      </w:r>
      <w:r w:rsidR="00E60B75">
        <w:t xml:space="preserve"> extension</w:t>
      </w:r>
      <w:r>
        <w:t xml:space="preserve"> of the difficulty o</w:t>
      </w:r>
      <w:r w:rsidR="00426A12">
        <w:t>f authority control is</w:t>
      </w:r>
      <w:r>
        <w:t xml:space="preserve"> its</w:t>
      </w:r>
      <w:r w:rsidR="00E60B75">
        <w:t xml:space="preserve"> cost</w:t>
      </w:r>
      <w:r w:rsidR="000B7488">
        <w:t xml:space="preserve">. </w:t>
      </w:r>
      <w:r w:rsidR="00E60B75">
        <w:t>Tillett summarizes: “Since the 1970s people have claimed that authority work is the most expensive part of cataloging, and we still seek ways to automate and simplify the work to reduce costs.”[</w:t>
      </w:r>
      <w:r w:rsidR="00C26ABA">
        <w:t>16</w:t>
      </w:r>
      <w:r w:rsidR="0056346D">
        <w:t xml:space="preserve">] </w:t>
      </w:r>
      <w:r w:rsidR="000B4F94">
        <w:t>She</w:t>
      </w:r>
      <w:r w:rsidR="00E60B75">
        <w:t xml:space="preserve"> introduce</w:t>
      </w:r>
      <w:r w:rsidR="000B4F94">
        <w:t>s</w:t>
      </w:r>
      <w:r w:rsidR="00E60B75">
        <w:t xml:space="preserve"> the concept of the virtual international authority file,</w:t>
      </w:r>
      <w:r w:rsidR="00B532D3">
        <w:t xml:space="preserve"> a means of sharing locally-created authority data internationally without the unconstructive need to decide upon a single authorized heading for all.[</w:t>
      </w:r>
      <w:r w:rsidR="00AA0DCD">
        <w:t>17</w:t>
      </w:r>
      <w:r w:rsidR="0056346D">
        <w:t xml:space="preserve">] </w:t>
      </w:r>
      <w:r w:rsidR="00F37664">
        <w:t>Borbinha</w:t>
      </w:r>
      <w:r w:rsidR="001E106A">
        <w:t xml:space="preserve"> interprets this need to share authority data created according to different standards in the context of digital libraries with the blunt statement: “Deal with heterogeneity.”</w:t>
      </w:r>
      <w:r w:rsidR="0056346D">
        <w:t>[</w:t>
      </w:r>
      <w:r w:rsidR="00C26ABA">
        <w:t>18</w:t>
      </w:r>
      <w:r w:rsidR="001E106A">
        <w:t xml:space="preserve">] </w:t>
      </w:r>
      <w:r w:rsidR="00B532D3">
        <w:t>Another practical approach to the challenges of authority control is offered by Younger</w:t>
      </w:r>
      <w:r w:rsidR="000B4F94">
        <w:t>, who argu</w:t>
      </w:r>
      <w:r w:rsidR="00B532D3">
        <w:t>es for the selective application of authority control.</w:t>
      </w:r>
      <w:r w:rsidR="00EE12C5">
        <w:t>[</w:t>
      </w:r>
      <w:r w:rsidR="00AA0DCD">
        <w:t>19</w:t>
      </w:r>
      <w:r w:rsidR="0056346D">
        <w:t xml:space="preserve">] </w:t>
      </w:r>
      <w:r w:rsidR="00B532D3">
        <w:t>She refers to the concept as “utility,” and explains that</w:t>
      </w:r>
      <w:r w:rsidR="00EE12C5">
        <w:t xml:space="preserve"> because of the time and cost involved, as well as because of the online catalog’s superior access in comparison to the card catalog,</w:t>
      </w:r>
      <w:r w:rsidR="00B532D3">
        <w:t xml:space="preserve"> </w:t>
      </w:r>
      <w:r w:rsidR="00EE12C5" w:rsidRPr="00FC2FD1">
        <w:t xml:space="preserve">authority control efforts </w:t>
      </w:r>
      <w:r w:rsidR="00EE12C5">
        <w:t xml:space="preserve">in the new century </w:t>
      </w:r>
      <w:r w:rsidR="00EE12C5" w:rsidRPr="00FC2FD1">
        <w:t>should be directed to those areas in which it has the most potential impact on user retrieval</w:t>
      </w:r>
      <w:r w:rsidR="00EE12C5">
        <w:t xml:space="preserve"> in the online environment</w:t>
      </w:r>
      <w:r w:rsidR="00EE12C5" w:rsidRPr="00FC2FD1">
        <w:t>.</w:t>
      </w:r>
      <w:r w:rsidR="00EE12C5">
        <w:t>[</w:t>
      </w:r>
      <w:r w:rsidR="004505EB">
        <w:t>20</w:t>
      </w:r>
      <w:r w:rsidR="0056346D">
        <w:t xml:space="preserve">] </w:t>
      </w:r>
      <w:r>
        <w:t>The concept of utility is one heavily invoked in the case study below.</w:t>
      </w:r>
    </w:p>
    <w:p w:rsidR="001D78D5" w:rsidRDefault="00F5137D" w:rsidP="00A45D55">
      <w:pPr>
        <w:spacing w:line="480" w:lineRule="auto"/>
        <w:ind w:firstLine="720"/>
      </w:pPr>
      <w:r>
        <w:t>While the aforementioned articles and books are largely practical in their approach,</w:t>
      </w:r>
      <w:r w:rsidR="001D78D5">
        <w:t xml:space="preserve"> a philosophical document, </w:t>
      </w:r>
      <w:r w:rsidR="001D78D5" w:rsidRPr="001D78D5">
        <w:rPr>
          <w:i/>
        </w:rPr>
        <w:t>Functional Requirements for Authority Data: A Conceptual Model (FRAD)</w:t>
      </w:r>
      <w:r w:rsidR="001D78D5">
        <w:t xml:space="preserve"> serves as the basis for the application of authority control to t</w:t>
      </w:r>
      <w:r w:rsidR="0023405A">
        <w:t>he metadata environment.[</w:t>
      </w:r>
      <w:r w:rsidR="00AA0DCD">
        <w:t>21</w:t>
      </w:r>
      <w:r w:rsidR="0056346D">
        <w:t xml:space="preserve">] </w:t>
      </w:r>
      <w:r w:rsidR="0023405A">
        <w:t>E</w:t>
      </w:r>
      <w:r w:rsidR="001D78D5">
        <w:t xml:space="preserve">numerating what authority data is, what place its creation has in the metadata assignment process, and what its functions are, </w:t>
      </w:r>
      <w:r w:rsidR="0023405A" w:rsidRPr="0023405A">
        <w:rPr>
          <w:i/>
        </w:rPr>
        <w:t>FRAD</w:t>
      </w:r>
      <w:r w:rsidR="0023405A">
        <w:t xml:space="preserve"> is </w:t>
      </w:r>
      <w:r w:rsidR="001D78D5">
        <w:t>divorced from any specific s</w:t>
      </w:r>
      <w:r w:rsidR="0023405A">
        <w:t>chema or community of practice</w:t>
      </w:r>
      <w:r w:rsidR="000B7488">
        <w:t>.</w:t>
      </w:r>
      <w:r w:rsidR="0031190E">
        <w:t>[</w:t>
      </w:r>
      <w:r w:rsidR="00AA0DCD">
        <w:t>22</w:t>
      </w:r>
      <w:r w:rsidR="0031190E">
        <w:t>]</w:t>
      </w:r>
      <w:r w:rsidR="000B7488">
        <w:t xml:space="preserve"> </w:t>
      </w:r>
      <w:r w:rsidR="000B4F94">
        <w:t>In</w:t>
      </w:r>
      <w:r w:rsidR="0023405A">
        <w:t xml:space="preserve"> the</w:t>
      </w:r>
      <w:r w:rsidR="000B4F94">
        <w:t xml:space="preserve"> present </w:t>
      </w:r>
      <w:r w:rsidR="000B4F94">
        <w:lastRenderedPageBreak/>
        <w:t xml:space="preserve">case study, </w:t>
      </w:r>
      <w:r w:rsidR="0023405A" w:rsidRPr="00F37664">
        <w:rPr>
          <w:i/>
        </w:rPr>
        <w:t>FRAD</w:t>
      </w:r>
      <w:r w:rsidR="000B4F94">
        <w:t xml:space="preserve"> reveals</w:t>
      </w:r>
      <w:r w:rsidR="0023405A">
        <w:t xml:space="preserve"> problems with </w:t>
      </w:r>
      <w:r w:rsidR="000B4F94">
        <w:t>the</w:t>
      </w:r>
      <w:r w:rsidR="0023405A">
        <w:t xml:space="preserve"> implementation of authority control as well as </w:t>
      </w:r>
      <w:r w:rsidR="000B4F94">
        <w:t xml:space="preserve">suggests </w:t>
      </w:r>
      <w:r w:rsidR="0023405A">
        <w:t>a path for future d</w:t>
      </w:r>
      <w:r w:rsidR="000B4F94">
        <w:t>evelopment</w:t>
      </w:r>
      <w:r w:rsidR="0023405A">
        <w:t>.</w:t>
      </w:r>
    </w:p>
    <w:p w:rsidR="00464409" w:rsidRDefault="00464409" w:rsidP="00A45D55">
      <w:pPr>
        <w:spacing w:line="480" w:lineRule="auto"/>
        <w:ind w:firstLine="720"/>
      </w:pPr>
    </w:p>
    <w:p w:rsidR="00C14A36" w:rsidRDefault="00C14A36" w:rsidP="00C14A36">
      <w:pPr>
        <w:spacing w:line="480" w:lineRule="auto"/>
        <w:ind w:firstLine="0"/>
      </w:pPr>
      <w:r>
        <w:t>&lt;1&gt;Description of the Project and the Players</w:t>
      </w:r>
    </w:p>
    <w:p w:rsidR="00C14A36" w:rsidRDefault="00C14A36" w:rsidP="00C14A36">
      <w:pPr>
        <w:spacing w:line="480" w:lineRule="auto"/>
        <w:ind w:firstLine="0"/>
      </w:pPr>
    </w:p>
    <w:p w:rsidR="00BB5AD2" w:rsidRDefault="00C14A36" w:rsidP="00C14A36">
      <w:pPr>
        <w:spacing w:line="480" w:lineRule="auto"/>
        <w:ind w:firstLine="720"/>
      </w:pPr>
      <w:r>
        <w:t>T</w:t>
      </w:r>
      <w:r w:rsidRPr="00FC2FD1">
        <w:t>he Eastern North Carolina Postcard Collection</w:t>
      </w:r>
      <w:r w:rsidR="00BF7AE9">
        <w:t xml:space="preserve"> currently consists </w:t>
      </w:r>
      <w:r w:rsidRPr="00FC2FD1">
        <w:t xml:space="preserve">of 404 picture postcards of Eastern North Carolina scenes, selected </w:t>
      </w:r>
      <w:r>
        <w:t xml:space="preserve">from </w:t>
      </w:r>
      <w:r w:rsidRPr="00FC2FD1">
        <w:t>several manuscript collections held by the</w:t>
      </w:r>
      <w:r>
        <w:t xml:space="preserve"> East Carolina University</w:t>
      </w:r>
      <w:r w:rsidRPr="00FC2FD1">
        <w:t xml:space="preserve"> library</w:t>
      </w:r>
      <w:r w:rsidR="000B7488">
        <w:t xml:space="preserve">. </w:t>
      </w:r>
      <w:r w:rsidRPr="00FC2FD1">
        <w:t xml:space="preserve">The postcards have been scanned by the </w:t>
      </w:r>
      <w:r>
        <w:t xml:space="preserve">library’s </w:t>
      </w:r>
      <w:r w:rsidRPr="00FC2FD1">
        <w:t>Digital Initiatives Unit and ingested into a locally-built digital object repository separate from the library catalog.</w:t>
      </w:r>
      <w:r w:rsidRPr="004E11FE">
        <w:t xml:space="preserve"> </w:t>
      </w:r>
      <w:r w:rsidR="00445DAE">
        <w:t>This repository contains digitized versions of materials in the library’s collections, and the Postcard Collection makes up only a small component of it</w:t>
      </w:r>
      <w:r w:rsidR="000B7488">
        <w:t xml:space="preserve">. </w:t>
      </w:r>
      <w:r w:rsidR="00445DAE">
        <w:t xml:space="preserve">Materials enter the repository from a variety of </w:t>
      </w:r>
      <w:r w:rsidR="000B7488">
        <w:t>work streams</w:t>
      </w:r>
      <w:r w:rsidR="00445DAE">
        <w:t>, including local</w:t>
      </w:r>
      <w:r w:rsidR="00BB5AD2">
        <w:t>ly created</w:t>
      </w:r>
      <w:r w:rsidR="00445DAE">
        <w:t xml:space="preserve"> digital ex</w:t>
      </w:r>
      <w:r w:rsidR="00BB5AD2">
        <w:t xml:space="preserve">hibits and </w:t>
      </w:r>
      <w:r w:rsidR="00445DAE">
        <w:t>collections, grant projects, and user-</w:t>
      </w:r>
      <w:r w:rsidR="00BB5AD2">
        <w:t>initiated</w:t>
      </w:r>
      <w:r w:rsidR="00445DAE">
        <w:t xml:space="preserve"> scanning requests</w:t>
      </w:r>
      <w:r w:rsidR="000B7488">
        <w:t xml:space="preserve">. </w:t>
      </w:r>
      <w:r w:rsidR="00BB5AD2">
        <w:t>As of the writing of this paper, the front-end of the repository was still under construction, but the goal is for the repository to be searchable and browseable using a variety of access points, including subject headings</w:t>
      </w:r>
      <w:r w:rsidR="000B7488">
        <w:t xml:space="preserve">. </w:t>
      </w:r>
      <w:r w:rsidR="00445DAE" w:rsidRPr="00FC2FD1">
        <w:t>METS (Metadata Encoding and Transmission Standard) records, containing both MODS (Metadata Object Description Schema) and Dublin Core data, have been created for each image and uploaded to the repository</w:t>
      </w:r>
      <w:r w:rsidR="00BB5AD2">
        <w:t xml:space="preserve"> in order to support this access</w:t>
      </w:r>
      <w:r w:rsidR="000B7488">
        <w:t xml:space="preserve">. </w:t>
      </w:r>
      <w:r w:rsidR="00BB5AD2">
        <w:t xml:space="preserve">Users coming to the repository will be able to choose to limit their searches to the Postcard Collection, or they may search the postcards along with </w:t>
      </w:r>
      <w:r w:rsidR="00D951C3">
        <w:t>the entire contents of the repository.</w:t>
      </w:r>
      <w:r w:rsidR="00FC3A3E">
        <w:t xml:space="preserve"> Figure 1 is</w:t>
      </w:r>
      <w:r w:rsidR="000B4F94">
        <w:t xml:space="preserve"> an example of a postca</w:t>
      </w:r>
      <w:r w:rsidR="00FC3A3E">
        <w:t>rd with its associated metadata.</w:t>
      </w:r>
    </w:p>
    <w:p w:rsidR="00DF3E79" w:rsidRDefault="00DF3E79" w:rsidP="00C14A36">
      <w:pPr>
        <w:spacing w:line="480" w:lineRule="auto"/>
        <w:ind w:firstLine="720"/>
      </w:pPr>
    </w:p>
    <w:p w:rsidR="00D951C3" w:rsidRDefault="00FC3A3E" w:rsidP="00FC3A3E">
      <w:pPr>
        <w:spacing w:line="480" w:lineRule="auto"/>
        <w:ind w:firstLine="0"/>
      </w:pPr>
      <w:r>
        <w:t>[Figure 1. Postcard with its associated metadata</w:t>
      </w:r>
      <w:r w:rsidR="00D951C3">
        <w:t>]</w:t>
      </w:r>
    </w:p>
    <w:p w:rsidR="00DF3E79" w:rsidRDefault="00DF3E79" w:rsidP="005F07E6">
      <w:pPr>
        <w:spacing w:line="480" w:lineRule="auto"/>
        <w:ind w:firstLine="720"/>
      </w:pPr>
    </w:p>
    <w:p w:rsidR="00D951C3" w:rsidRDefault="00D951C3" w:rsidP="005F07E6">
      <w:pPr>
        <w:spacing w:line="480" w:lineRule="auto"/>
        <w:ind w:firstLine="720"/>
      </w:pPr>
      <w:r w:rsidRPr="00D951C3">
        <w:t xml:space="preserve"> </w:t>
      </w:r>
      <w:r>
        <w:t>Note also that though both sides of the postcard were scanned and are available for viewing, the front and back of the cards were treated as a unit for descriptive purposes</w:t>
      </w:r>
      <w:r w:rsidR="000B7488">
        <w:t xml:space="preserve">. </w:t>
      </w:r>
      <w:r>
        <w:t>Because</w:t>
      </w:r>
      <w:r w:rsidRPr="00FC2FD1">
        <w:t xml:space="preserve"> </w:t>
      </w:r>
      <w:r w:rsidR="00032144">
        <w:t>the library</w:t>
      </w:r>
      <w:r w:rsidRPr="00FC2FD1">
        <w:t xml:space="preserve"> chose to view the postcards </w:t>
      </w:r>
      <w:r>
        <w:t>primarily</w:t>
      </w:r>
      <w:r w:rsidRPr="00FC2FD1">
        <w:t xml:space="preserve"> as photographic resources rather than as items of correspondence</w:t>
      </w:r>
      <w:r>
        <w:t>,</w:t>
      </w:r>
      <w:r w:rsidR="005F07E6">
        <w:t xml:space="preserve"> the Creator </w:t>
      </w:r>
      <w:r w:rsidR="000D5C02">
        <w:t>is</w:t>
      </w:r>
      <w:r w:rsidR="005F07E6">
        <w:t xml:space="preserve"> the photographer, and</w:t>
      </w:r>
      <w:r>
        <w:t xml:space="preserve"> the focus for subject analysis </w:t>
      </w:r>
      <w:r w:rsidR="000D5C02">
        <w:t>i</w:t>
      </w:r>
      <w:r>
        <w:t xml:space="preserve">s the image portion, or the front of the </w:t>
      </w:r>
      <w:r>
        <w:lastRenderedPageBreak/>
        <w:t>card</w:t>
      </w:r>
      <w:r w:rsidR="000B7488">
        <w:t xml:space="preserve">. </w:t>
      </w:r>
      <w:r>
        <w:t>Most</w:t>
      </w:r>
      <w:r w:rsidRPr="00FC2FD1">
        <w:t xml:space="preserve"> postcards in the collection depict named structure</w:t>
      </w:r>
      <w:r>
        <w:t>s</w:t>
      </w:r>
      <w:r w:rsidRPr="00FC2FD1">
        <w:t xml:space="preserve"> of some sort, such as houses, streets, buildings, bridges, cemeteries, </w:t>
      </w:r>
      <w:r>
        <w:t>and so on</w:t>
      </w:r>
      <w:r w:rsidR="000B7488">
        <w:t xml:space="preserve">. </w:t>
      </w:r>
      <w:r w:rsidR="005F07E6">
        <w:t xml:space="preserve">For the subject vocabulary, the </w:t>
      </w:r>
      <w:r w:rsidR="005F07E6" w:rsidRPr="00FC2FD1">
        <w:t>Library of Congress Subject Headings</w:t>
      </w:r>
      <w:r w:rsidR="000F6954">
        <w:t xml:space="preserve"> (LCSH)</w:t>
      </w:r>
      <w:r w:rsidR="005F07E6" w:rsidRPr="00FC2FD1">
        <w:t xml:space="preserve"> and </w:t>
      </w:r>
      <w:r w:rsidR="000F6954">
        <w:t>LCNAF</w:t>
      </w:r>
      <w:r w:rsidR="005F07E6">
        <w:t xml:space="preserve"> </w:t>
      </w:r>
      <w:r w:rsidR="005F07E6" w:rsidRPr="00FC2FD1">
        <w:t>were chosen</w:t>
      </w:r>
      <w:r w:rsidR="000B7488">
        <w:t xml:space="preserve">. </w:t>
      </w:r>
      <w:r w:rsidR="005F07E6">
        <w:t>The reasons for this choice are discussed below</w:t>
      </w:r>
      <w:r w:rsidR="000B7488">
        <w:t xml:space="preserve">. </w:t>
      </w:r>
      <w:r w:rsidR="00093E83">
        <w:t>The final subject heading is not an LCSH, but rather a hierarchical geographic coverage element that could potentially be used to l</w:t>
      </w:r>
      <w:r w:rsidR="000F6954">
        <w:t>ocate items on a map of Eastern North Carolina</w:t>
      </w:r>
      <w:r w:rsidR="000B7488">
        <w:t xml:space="preserve">. </w:t>
      </w:r>
      <w:r w:rsidR="00093E83">
        <w:t>These “subject headings” are not the concern of this paper.</w:t>
      </w:r>
    </w:p>
    <w:p w:rsidR="001607FE" w:rsidRDefault="00917B8D" w:rsidP="00C14A36">
      <w:pPr>
        <w:spacing w:line="480" w:lineRule="auto"/>
        <w:ind w:firstLine="720"/>
      </w:pPr>
      <w:r>
        <w:t xml:space="preserve">Some of the metadata </w:t>
      </w:r>
      <w:r w:rsidR="005F07E6" w:rsidRPr="00FC2FD1">
        <w:t>were entered by Digital Initiatives staff</w:t>
      </w:r>
      <w:r w:rsidR="005F07E6">
        <w:t xml:space="preserve"> as a part of the scanning process, including Identifier, Type, Medium, Physical Description, Language, Collection, Finding Aid, Other Items, and Rights</w:t>
      </w:r>
      <w:r w:rsidR="000B7488">
        <w:t xml:space="preserve">. </w:t>
      </w:r>
      <w:r w:rsidR="001607FE">
        <w:t xml:space="preserve">Several of these elements are standard across the collection, </w:t>
      </w:r>
      <w:r w:rsidR="000F6954">
        <w:t xml:space="preserve">while </w:t>
      </w:r>
      <w:r w:rsidR="001607FE">
        <w:t>others are dependent on handling the physical postcard (e.g., Physical Description) and noting its place in an archival folder or box (e.g., Other Items)</w:t>
      </w:r>
      <w:r w:rsidR="000B7488">
        <w:t xml:space="preserve">. </w:t>
      </w:r>
      <w:r w:rsidR="00445DAE">
        <w:t>M</w:t>
      </w:r>
      <w:r w:rsidR="00445DAE" w:rsidRPr="00FC2FD1">
        <w:t>etadata</w:t>
      </w:r>
      <w:r w:rsidR="00445DAE">
        <w:t xml:space="preserve"> entered by </w:t>
      </w:r>
      <w:r w:rsidR="00445DAE" w:rsidRPr="00FC2FD1">
        <w:t>Digital Initiatives staff</w:t>
      </w:r>
      <w:r w:rsidR="00445DAE">
        <w:t xml:space="preserve"> was </w:t>
      </w:r>
      <w:r w:rsidR="001607FE">
        <w:t xml:space="preserve">later </w:t>
      </w:r>
      <w:r w:rsidR="00445DAE">
        <w:t>enriched by o</w:t>
      </w:r>
      <w:r w:rsidR="00445DAE" w:rsidRPr="00FC2FD1">
        <w:t>ther desc</w:t>
      </w:r>
      <w:r w:rsidR="001607FE">
        <w:t>riptive information, including T</w:t>
      </w:r>
      <w:r w:rsidR="00445DAE" w:rsidRPr="00FC2FD1">
        <w:t xml:space="preserve">itle, </w:t>
      </w:r>
      <w:r w:rsidR="001607FE">
        <w:t xml:space="preserve">Description, Date, Subjects, Publisher of Original, and Creator, if there was one, </w:t>
      </w:r>
      <w:r w:rsidR="00445DAE" w:rsidRPr="00FC2FD1">
        <w:t xml:space="preserve">by </w:t>
      </w:r>
      <w:r w:rsidR="000F6954">
        <w:t xml:space="preserve">the author of this paper, </w:t>
      </w:r>
      <w:r w:rsidR="000B3758">
        <w:t xml:space="preserve">a </w:t>
      </w:r>
      <w:r w:rsidR="00445DAE" w:rsidRPr="00FC2FD1">
        <w:t>staff</w:t>
      </w:r>
      <w:r w:rsidR="000B3758">
        <w:t xml:space="preserve"> member</w:t>
      </w:r>
      <w:r w:rsidR="00445DAE" w:rsidRPr="00FC2FD1">
        <w:t xml:space="preserve"> in the Cataloging Department</w:t>
      </w:r>
      <w:r w:rsidR="000B7488">
        <w:t xml:space="preserve">. </w:t>
      </w:r>
      <w:r w:rsidR="001607FE">
        <w:t>Cataloging staff worked without the physical item in hand, and based descriptions on the digital image</w:t>
      </w:r>
      <w:r w:rsidR="000B7488">
        <w:t xml:space="preserve">. </w:t>
      </w:r>
    </w:p>
    <w:p w:rsidR="00C14A36" w:rsidRDefault="00DF3E79" w:rsidP="00E47812">
      <w:pPr>
        <w:spacing w:line="480" w:lineRule="auto"/>
        <w:ind w:firstLine="720"/>
      </w:pPr>
      <w:r>
        <w:t>Involving the c</w:t>
      </w:r>
      <w:r w:rsidR="00093E83">
        <w:t>ataloging staff in this way</w:t>
      </w:r>
      <w:r w:rsidR="00445DAE" w:rsidRPr="00FC2FD1">
        <w:t xml:space="preserve"> seemed to be natural given the expertise catalogers possess in descriptive metadata creation</w:t>
      </w:r>
      <w:r w:rsidR="000B7488">
        <w:t xml:space="preserve">. </w:t>
      </w:r>
      <w:r w:rsidR="00093E83">
        <w:t>The project also fits the current work trends within t</w:t>
      </w:r>
      <w:r w:rsidR="00C14A36">
        <w:t>he Cataloging Department</w:t>
      </w:r>
      <w:r w:rsidR="00093E83">
        <w:t>, which</w:t>
      </w:r>
      <w:r w:rsidR="00C14A36">
        <w:t xml:space="preserve"> is spending an increasing percentage of effort on local and special collections materials</w:t>
      </w:r>
      <w:r w:rsidR="000B7488">
        <w:t xml:space="preserve">. </w:t>
      </w:r>
      <w:r w:rsidR="000F6954">
        <w:t>This is</w:t>
      </w:r>
      <w:r w:rsidR="00C14A36">
        <w:t xml:space="preserve"> a result of </w:t>
      </w:r>
      <w:r w:rsidR="00C14A36" w:rsidRPr="00FC2FD1">
        <w:t xml:space="preserve"> spend</w:t>
      </w:r>
      <w:r w:rsidR="00C14A36">
        <w:t>ing</w:t>
      </w:r>
      <w:r w:rsidR="00C14A36" w:rsidRPr="00FC2FD1">
        <w:t xml:space="preserve"> less time on widely-owned materials for which it is more efficient and cost-effective to buy cataloging services</w:t>
      </w:r>
      <w:r w:rsidR="000B7488">
        <w:t xml:space="preserve">. </w:t>
      </w:r>
      <w:r w:rsidR="00BF7AE9" w:rsidRPr="00FC2FD1">
        <w:t xml:space="preserve">The regional and special collections emphases of </w:t>
      </w:r>
      <w:r w:rsidR="000F6954">
        <w:t>the</w:t>
      </w:r>
      <w:r w:rsidR="00BF7AE9" w:rsidRPr="00FC2FD1">
        <w:t xml:space="preserve"> digitization program and </w:t>
      </w:r>
      <w:r w:rsidR="000F6954">
        <w:t>the</w:t>
      </w:r>
      <w:r w:rsidR="00BF7AE9" w:rsidRPr="00FC2FD1">
        <w:t xml:space="preserve"> Cataloging Department naturally encourage these groups to work together</w:t>
      </w:r>
      <w:r w:rsidR="000B7488">
        <w:t xml:space="preserve">. </w:t>
      </w:r>
      <w:r w:rsidR="00C14A36" w:rsidRPr="00FC2FD1">
        <w:t xml:space="preserve">Part of </w:t>
      </w:r>
      <w:r w:rsidR="000F6954">
        <w:t>ECU’s</w:t>
      </w:r>
      <w:r w:rsidR="00C14A36" w:rsidRPr="00FC2FD1">
        <w:t xml:space="preserve"> in-house</w:t>
      </w:r>
      <w:r w:rsidR="00BF7AE9">
        <w:t xml:space="preserve"> cataloging</w:t>
      </w:r>
      <w:r w:rsidR="00C14A36" w:rsidRPr="00FC2FD1">
        <w:t xml:space="preserve"> effort</w:t>
      </w:r>
      <w:r w:rsidR="000F6954">
        <w:t xml:space="preserve"> for traditional materials</w:t>
      </w:r>
      <w:r w:rsidR="00C14A36" w:rsidRPr="00FC2FD1">
        <w:t xml:space="preserve"> goes toward authority control</w:t>
      </w:r>
      <w:r w:rsidR="000B7488">
        <w:t xml:space="preserve">. </w:t>
      </w:r>
      <w:r w:rsidR="00C14A36" w:rsidRPr="00FC2FD1">
        <w:t xml:space="preserve">Though </w:t>
      </w:r>
      <w:r w:rsidR="00C14A36">
        <w:t>ECU</w:t>
      </w:r>
      <w:r w:rsidR="00C14A36" w:rsidRPr="00FC2FD1">
        <w:t xml:space="preserve"> do</w:t>
      </w:r>
      <w:r w:rsidR="00C14A36">
        <w:t>es</w:t>
      </w:r>
      <w:r w:rsidR="00C14A36" w:rsidRPr="00FC2FD1">
        <w:t xml:space="preserve"> not participate in the Name Authority Cooperative (NACO) or the Subject Authority Cooperative (SACO),</w:t>
      </w:r>
      <w:r w:rsidR="000F6954">
        <w:t xml:space="preserve"> </w:t>
      </w:r>
      <w:r w:rsidR="00705DE2">
        <w:t xml:space="preserve">catalogers create </w:t>
      </w:r>
      <w:r w:rsidR="00C14A36" w:rsidRPr="00FC2FD1">
        <w:t xml:space="preserve">local </w:t>
      </w:r>
      <w:r w:rsidR="00F404A7">
        <w:t>authority records</w:t>
      </w:r>
      <w:r w:rsidR="00705DE2">
        <w:t xml:space="preserve"> </w:t>
      </w:r>
      <w:r w:rsidR="00705DE2" w:rsidRPr="00FC2FD1">
        <w:t>for Eastern North Carolina n</w:t>
      </w:r>
      <w:r w:rsidR="00705DE2">
        <w:t>amed entities and places</w:t>
      </w:r>
      <w:r w:rsidR="00C14A36" w:rsidRPr="00FC2FD1">
        <w:t xml:space="preserve"> </w:t>
      </w:r>
      <w:r w:rsidR="000F6954">
        <w:t xml:space="preserve">in </w:t>
      </w:r>
      <w:r w:rsidR="00705DE2">
        <w:t>the library</w:t>
      </w:r>
      <w:r w:rsidR="000F6954">
        <w:t xml:space="preserve"> catalog</w:t>
      </w:r>
      <w:r w:rsidR="000B7488">
        <w:t xml:space="preserve">. </w:t>
      </w:r>
      <w:r w:rsidR="00F404A7">
        <w:t xml:space="preserve">While this commitment to authority work for local named entities </w:t>
      </w:r>
      <w:r w:rsidR="000F6954">
        <w:t>was also applied</w:t>
      </w:r>
      <w:r w:rsidR="00F404A7">
        <w:t xml:space="preserve"> to the postcard project</w:t>
      </w:r>
      <w:r w:rsidR="000F6954">
        <w:t xml:space="preserve"> in the repository database</w:t>
      </w:r>
      <w:r w:rsidR="00F404A7">
        <w:t>, it could only be partially applied because the repository does not include authority records, per se</w:t>
      </w:r>
      <w:r w:rsidR="000B7488">
        <w:t xml:space="preserve">. </w:t>
      </w:r>
      <w:r w:rsidR="000F6954">
        <w:t xml:space="preserve">Rather than creating entire </w:t>
      </w:r>
      <w:r w:rsidR="000F6954">
        <w:lastRenderedPageBreak/>
        <w:t xml:space="preserve">authority records, therefore, </w:t>
      </w:r>
      <w:r w:rsidR="00032144">
        <w:t>the cataloger</w:t>
      </w:r>
      <w:r w:rsidR="00E47812" w:rsidRPr="00FC2FD1">
        <w:t xml:space="preserve"> </w:t>
      </w:r>
      <w:r w:rsidR="0062291B">
        <w:t>merely assigned subject headings, which often involved creating new headings for named entities</w:t>
      </w:r>
      <w:r w:rsidR="000B7488">
        <w:t xml:space="preserve">. </w:t>
      </w:r>
      <w:r w:rsidR="00BF7AE9">
        <w:t xml:space="preserve">The remainder of this paper will focus on the experience of applying </w:t>
      </w:r>
      <w:r w:rsidR="00BF7AE9" w:rsidRPr="004B3DDC">
        <w:t xml:space="preserve">authority control </w:t>
      </w:r>
      <w:r w:rsidR="00BF7AE9">
        <w:t>to</w:t>
      </w:r>
      <w:r w:rsidR="00BF7AE9" w:rsidRPr="004B3DDC">
        <w:t xml:space="preserve"> named entities and places</w:t>
      </w:r>
      <w:r w:rsidR="00BF7AE9">
        <w:t xml:space="preserve"> used as subject headings in the Eastern North Carolina Postcard Collection, and on the challenges fac</w:t>
      </w:r>
      <w:r w:rsidR="0090670A">
        <w:t xml:space="preserve">ed by the </w:t>
      </w:r>
      <w:r w:rsidR="00DD2F72">
        <w:t>cataloger</w:t>
      </w:r>
      <w:r w:rsidR="00BF7AE9">
        <w:t xml:space="preserve"> performing this work.</w:t>
      </w:r>
    </w:p>
    <w:p w:rsidR="00BF7AE9" w:rsidRDefault="00BF7AE9" w:rsidP="00C14A36">
      <w:pPr>
        <w:spacing w:line="480" w:lineRule="auto"/>
        <w:ind w:firstLine="720"/>
      </w:pPr>
    </w:p>
    <w:p w:rsidR="00BF7AE9" w:rsidRDefault="00E47812" w:rsidP="00E47812">
      <w:pPr>
        <w:spacing w:line="480" w:lineRule="auto"/>
        <w:ind w:firstLine="0"/>
      </w:pPr>
      <w:r>
        <w:t>&lt;1&gt;Challenges</w:t>
      </w:r>
    </w:p>
    <w:p w:rsidR="00BF7AE9" w:rsidRDefault="009432E7" w:rsidP="009432E7">
      <w:pPr>
        <w:spacing w:line="480" w:lineRule="auto"/>
        <w:ind w:firstLine="0"/>
      </w:pPr>
      <w:r>
        <w:t>&lt;2&gt;Challenge 1: Complexity of the work</w:t>
      </w:r>
    </w:p>
    <w:p w:rsidR="00093E83" w:rsidRDefault="00DD68F1" w:rsidP="009432E7">
      <w:pPr>
        <w:spacing w:line="480" w:lineRule="auto"/>
        <w:ind w:firstLine="0"/>
      </w:pPr>
      <w:r>
        <w:t>&lt;3&gt;Challenge1a: Complexities in the subject analysis of images</w:t>
      </w:r>
    </w:p>
    <w:p w:rsidR="00DD68F1" w:rsidRDefault="00DD68F1" w:rsidP="009432E7">
      <w:pPr>
        <w:spacing w:line="480" w:lineRule="auto"/>
        <w:ind w:firstLine="0"/>
      </w:pPr>
    </w:p>
    <w:p w:rsidR="00DD68F1" w:rsidRDefault="009432E7" w:rsidP="00C35CAC">
      <w:pPr>
        <w:spacing w:line="480" w:lineRule="auto"/>
        <w:ind w:firstLine="720"/>
      </w:pPr>
      <w:r w:rsidRPr="00FC2FD1">
        <w:t xml:space="preserve">Images are popular to digitize because they are attractive to users with varying levels of sophistication, and they may be manipulated in more ways in their digital form than in their print form, </w:t>
      </w:r>
      <w:r w:rsidR="000F6954">
        <w:t xml:space="preserve">for instance </w:t>
      </w:r>
      <w:r w:rsidRPr="00FC2FD1">
        <w:t>by zooming in</w:t>
      </w:r>
      <w:r w:rsidR="000B7488">
        <w:t xml:space="preserve">. </w:t>
      </w:r>
      <w:r w:rsidRPr="00FC2FD1">
        <w:t>They frequently belong to</w:t>
      </w:r>
      <w:r w:rsidR="00C35CAC">
        <w:t xml:space="preserve"> hidden collections of primary sources</w:t>
      </w:r>
      <w:r w:rsidRPr="00FC2FD1">
        <w:t xml:space="preserve"> that were not easily accessible before digitization</w:t>
      </w:r>
      <w:r w:rsidR="00C35CAC">
        <w:t>, and give users valuable views of specific structures and places unencumbered by someone else’s interpretation, as users would find in a book</w:t>
      </w:r>
      <w:r w:rsidR="000B7488">
        <w:t xml:space="preserve">. </w:t>
      </w:r>
      <w:r w:rsidR="00C35CAC" w:rsidRPr="00FC2FD1">
        <w:t>In the words of Coyle</w:t>
      </w:r>
      <w:r w:rsidR="00C35CAC">
        <w:t xml:space="preserve"> and Hillman</w:t>
      </w:r>
      <w:r w:rsidR="00C35CAC" w:rsidRPr="00FC2FD1">
        <w:t>, “these collections [of primary sources] … are not the product of the scholarly enterpris</w:t>
      </w:r>
      <w:r w:rsidR="0031190E">
        <w:t>e, but instead the precursor.”[</w:t>
      </w:r>
      <w:r w:rsidR="00AA0DCD">
        <w:t>23</w:t>
      </w:r>
      <w:r w:rsidR="0056346D">
        <w:t xml:space="preserve">] </w:t>
      </w:r>
      <w:r w:rsidRPr="00FC2FD1">
        <w:t>To the cataloger performing subject analysis, however,</w:t>
      </w:r>
      <w:r w:rsidR="00C35CAC">
        <w:t xml:space="preserve"> these</w:t>
      </w:r>
      <w:r w:rsidRPr="00FC2FD1">
        <w:t xml:space="preserve"> images can be much more c</w:t>
      </w:r>
      <w:r w:rsidR="00C35CAC">
        <w:t>hallenging</w:t>
      </w:r>
      <w:r w:rsidRPr="00FC2FD1">
        <w:t xml:space="preserve"> than monographs or other library materials</w:t>
      </w:r>
      <w:r w:rsidR="00C35CAC">
        <w:t xml:space="preserve">, precisely because of </w:t>
      </w:r>
      <w:r w:rsidR="007A0C84">
        <w:t>their form</w:t>
      </w:r>
      <w:r w:rsidR="000B7488">
        <w:t xml:space="preserve">. </w:t>
      </w:r>
      <w:r w:rsidR="00447D6F">
        <w:t>Free from the interpretation a book gives its topic,</w:t>
      </w:r>
      <w:r w:rsidR="00FB2A60">
        <w:t xml:space="preserve"> an image</w:t>
      </w:r>
      <w:r w:rsidR="00447D6F">
        <w:t xml:space="preserve"> often lack</w:t>
      </w:r>
      <w:r w:rsidR="00FB2A60">
        <w:t>s</w:t>
      </w:r>
      <w:r w:rsidR="00447D6F">
        <w:t xml:space="preserve"> the context that tells the cataloger what is important</w:t>
      </w:r>
      <w:r w:rsidR="00FB2A60">
        <w:t xml:space="preserve"> about it, how </w:t>
      </w:r>
      <w:r w:rsidR="00447D6F">
        <w:t>user</w:t>
      </w:r>
      <w:r w:rsidR="00FB2A60">
        <w:t>s</w:t>
      </w:r>
      <w:r w:rsidR="00447D6F">
        <w:t xml:space="preserve"> may wish to search for </w:t>
      </w:r>
      <w:r w:rsidR="00FB2A60">
        <w:t>it, or under what circumstances they may wish to find it</w:t>
      </w:r>
      <w:r w:rsidR="000B7488">
        <w:t xml:space="preserve">. </w:t>
      </w:r>
      <w:r w:rsidR="00FB2A60">
        <w:t>The problem of ambiguity is made more acute by the fact that for an image the cataloger is responsible for providing the only words by which this item may be recalled, which would not be the case for a full-text searchable digitized text, for instance</w:t>
      </w:r>
      <w:r w:rsidR="000B7488">
        <w:t xml:space="preserve">. </w:t>
      </w:r>
      <w:r w:rsidR="00FB2A60">
        <w:t xml:space="preserve">While this problem is somewhat mitigated in the case of postcards, which typically include a caption that provides some information about the focal point of the image, postcards remain much closer to </w:t>
      </w:r>
      <w:r w:rsidR="00900E63">
        <w:t>contextless images than</w:t>
      </w:r>
      <w:r w:rsidR="00FB2A60">
        <w:t xml:space="preserve"> to interpretive monographs</w:t>
      </w:r>
      <w:r w:rsidR="000B7488">
        <w:t xml:space="preserve">. </w:t>
      </w:r>
    </w:p>
    <w:p w:rsidR="00DD68F1" w:rsidRDefault="00344291" w:rsidP="00DD68F1">
      <w:pPr>
        <w:spacing w:line="480" w:lineRule="auto"/>
        <w:ind w:firstLine="720"/>
      </w:pPr>
      <w:r>
        <w:t>This lack of context gives rise to the question of how specific (and how general) the subject analysis should be</w:t>
      </w:r>
      <w:r w:rsidR="000B7488">
        <w:t xml:space="preserve">. </w:t>
      </w:r>
      <w:r>
        <w:t xml:space="preserve">For instance, for a postcard of St. Peter’s Episcopal Church in Washington, N.C., </w:t>
      </w:r>
      <w:r>
        <w:lastRenderedPageBreak/>
        <w:t xml:space="preserve">should the cataloger assign a subject heading for the specific name of the church?  </w:t>
      </w:r>
      <w:r w:rsidR="0035547B">
        <w:t>LC</w:t>
      </w:r>
      <w:r w:rsidR="00696AB4">
        <w:t xml:space="preserve"> practice is to assign subject </w:t>
      </w:r>
      <w:r w:rsidR="00900E63">
        <w:t>headings at a level of specificity matching the content of the work being cataloged.[</w:t>
      </w:r>
      <w:r w:rsidR="00687160">
        <w:t>24</w:t>
      </w:r>
      <w:r w:rsidR="00900E63">
        <w:t>]</w:t>
      </w:r>
      <w:r w:rsidR="00696AB4">
        <w:t xml:space="preserve"> But w</w:t>
      </w:r>
      <w:r>
        <w:t>ould</w:t>
      </w:r>
      <w:r w:rsidR="00900E63">
        <w:t xml:space="preserve"> exclusively</w:t>
      </w:r>
      <w:r w:rsidR="00696AB4">
        <w:t xml:space="preserve"> assigning</w:t>
      </w:r>
      <w:r>
        <w:t xml:space="preserve"> a</w:t>
      </w:r>
      <w:r w:rsidR="00696AB4">
        <w:t xml:space="preserve"> name</w:t>
      </w:r>
      <w:r>
        <w:t xml:space="preserve"> heading impede access for those interested in Washington churches but not knowing the name of this particular church?  Should more generic headings be assigned, such as “Anglican church buildings—North Carolina—Washington,” even though </w:t>
      </w:r>
      <w:r w:rsidR="00900E63">
        <w:t>such headings are normally assigned to</w:t>
      </w:r>
      <w:r>
        <w:t xml:space="preserve"> work</w:t>
      </w:r>
      <w:r w:rsidR="00900E63">
        <w:t>s</w:t>
      </w:r>
      <w:r>
        <w:t xml:space="preserve"> that discuss such churches collectively?  What about users interested in Washington architecture?  Should </w:t>
      </w:r>
      <w:r w:rsidR="00900E63">
        <w:t>the</w:t>
      </w:r>
      <w:r w:rsidR="00E12EE3">
        <w:t xml:space="preserve"> heading</w:t>
      </w:r>
      <w:r>
        <w:t xml:space="preserve"> “Buildings—North Carolina—Washington” also be assigned?  </w:t>
      </w:r>
      <w:r w:rsidR="00E12EE3">
        <w:t>In that case, w</w:t>
      </w:r>
      <w:r>
        <w:t xml:space="preserve">here to stop?   </w:t>
      </w:r>
      <w:r w:rsidR="00696AB4">
        <w:t>On</w:t>
      </w:r>
      <w:r w:rsidR="00E12EE3">
        <w:t xml:space="preserve"> the question of specificity</w:t>
      </w:r>
      <w:r w:rsidR="00DD68F1" w:rsidRPr="00FC2FD1">
        <w:t xml:space="preserve"> </w:t>
      </w:r>
      <w:r w:rsidR="00DD68F1" w:rsidRPr="00FC2FD1">
        <w:rPr>
          <w:i/>
        </w:rPr>
        <w:t>Cataloging Cultural Objects</w:t>
      </w:r>
      <w:r w:rsidR="00696AB4">
        <w:t xml:space="preserve"> (</w:t>
      </w:r>
      <w:r w:rsidR="00696AB4" w:rsidRPr="00696AB4">
        <w:rPr>
          <w:i/>
        </w:rPr>
        <w:t>CCO</w:t>
      </w:r>
      <w:r w:rsidR="00696AB4">
        <w:t>)</w:t>
      </w:r>
      <w:r w:rsidR="00E12EE3">
        <w:t xml:space="preserve"> advises,</w:t>
      </w:r>
      <w:r w:rsidR="00DD68F1" w:rsidRPr="00FC2FD1">
        <w:t xml:space="preserve"> “The greater the level of specificity … in catalog records, the more valuable the reco</w:t>
      </w:r>
      <w:r w:rsidR="0031190E">
        <w:t>rds will be for researchers.”[</w:t>
      </w:r>
      <w:r w:rsidR="00AA0DCD">
        <w:t>25</w:t>
      </w:r>
      <w:r w:rsidR="0056346D">
        <w:t xml:space="preserve">] </w:t>
      </w:r>
      <w:r w:rsidR="00696AB4">
        <w:t xml:space="preserve">In keeping with this advice, two headings were assigned: a specific name heading and </w:t>
      </w:r>
      <w:r w:rsidR="00E12EE3">
        <w:t>a heading for a</w:t>
      </w:r>
      <w:r w:rsidR="00DD68F1" w:rsidRPr="00FC2FD1">
        <w:t xml:space="preserve"> </w:t>
      </w:r>
      <w:r w:rsidR="00E12EE3">
        <w:t>generic category</w:t>
      </w:r>
      <w:r w:rsidR="00DD68F1" w:rsidRPr="00FC2FD1">
        <w:t xml:space="preserve"> of entity</w:t>
      </w:r>
      <w:r w:rsidR="00E12EE3">
        <w:t xml:space="preserve">: </w:t>
      </w:r>
      <w:r w:rsidR="00DD68F1">
        <w:t>“</w:t>
      </w:r>
      <w:r w:rsidR="00DD68F1" w:rsidRPr="00FC2FD1">
        <w:t>Anglican church buildings--North Carolina</w:t>
      </w:r>
      <w:r w:rsidR="00696AB4">
        <w:t>--</w:t>
      </w:r>
      <w:r w:rsidR="00DD68F1" w:rsidRPr="00FC2FD1">
        <w:t>Washington</w:t>
      </w:r>
      <w:r w:rsidR="00E12EE3">
        <w:t>.</w:t>
      </w:r>
      <w:r w:rsidR="00DD68F1">
        <w:t>”</w:t>
      </w:r>
      <w:r w:rsidR="00E12EE3">
        <w:t xml:space="preserve"> </w:t>
      </w:r>
      <w:r w:rsidR="00DD68F1" w:rsidRPr="00FC2FD1">
        <w:t xml:space="preserve"> </w:t>
      </w:r>
      <w:r w:rsidR="00DD68F1">
        <w:t>T</w:t>
      </w:r>
      <w:r w:rsidR="00DD68F1" w:rsidRPr="00FC2FD1">
        <w:t>his practice of dual (specific and generic) heading assignment is an attempt to make up for the lack of a syndetic structure of broader and narrower terms as contained within LC subject authority records.</w:t>
      </w:r>
      <w:r w:rsidR="00DD68F1">
        <w:t xml:space="preserve"> </w:t>
      </w:r>
      <w:r w:rsidR="00E12EE3">
        <w:t xml:space="preserve">That this deviation from LC practice creates a more useful repository is </w:t>
      </w:r>
      <w:r w:rsidR="00DD68F1" w:rsidRPr="00FC2FD1">
        <w:t xml:space="preserve">again supported by </w:t>
      </w:r>
      <w:r w:rsidR="00DD68F1" w:rsidRPr="00696AB4">
        <w:rPr>
          <w:i/>
        </w:rPr>
        <w:t>CCO</w:t>
      </w:r>
      <w:r w:rsidR="00DD68F1" w:rsidRPr="00FC2FD1">
        <w:t>: “If it is not possible to link to hierarchical authorities, it may be necessary for catalogers to enter both specific and generic terms in each record to allow access, which may differ from traditi</w:t>
      </w:r>
      <w:r w:rsidR="0031190E">
        <w:t>onal bibliographic practice.”[</w:t>
      </w:r>
      <w:r w:rsidR="00AA0DCD">
        <w:t>26</w:t>
      </w:r>
      <w:r w:rsidR="00DD68F1" w:rsidRPr="00FC2FD1">
        <w:t>]</w:t>
      </w:r>
    </w:p>
    <w:p w:rsidR="00DD68F1" w:rsidRPr="00ED5624" w:rsidRDefault="00DD68F1" w:rsidP="00E12EE3">
      <w:pPr>
        <w:spacing w:line="480" w:lineRule="auto"/>
        <w:ind w:firstLine="720"/>
        <w:rPr>
          <w:rFonts w:cstheme="minorHAnsi"/>
          <w:sz w:val="24"/>
        </w:rPr>
      </w:pPr>
      <w:r w:rsidRPr="00FC2FD1">
        <w:t xml:space="preserve">It could be argued that it is unnecessary to create </w:t>
      </w:r>
      <w:r w:rsidR="00E12EE3">
        <w:t xml:space="preserve">specific </w:t>
      </w:r>
      <w:r w:rsidRPr="00FC2FD1">
        <w:t>subject headings for named entities</w:t>
      </w:r>
      <w:r w:rsidR="00E12EE3">
        <w:t xml:space="preserve"> such as St. Peter’s Church</w:t>
      </w:r>
      <w:r w:rsidRPr="00FC2FD1">
        <w:t>, since keyword access to the titles</w:t>
      </w:r>
      <w:r w:rsidR="00D90DD2">
        <w:t>, or captions,</w:t>
      </w:r>
      <w:r w:rsidRPr="00FC2FD1">
        <w:t xml:space="preserve"> of the postcards should render the desired entity findable</w:t>
      </w:r>
      <w:r w:rsidR="000B7488">
        <w:t xml:space="preserve">. </w:t>
      </w:r>
      <w:r w:rsidRPr="00FC2FD1">
        <w:t xml:space="preserve">Many similar projects rely on such keyword access and do not </w:t>
      </w:r>
      <w:r w:rsidR="00D90DD2">
        <w:t>include</w:t>
      </w:r>
      <w:r w:rsidRPr="00FC2FD1">
        <w:t xml:space="preserve"> subject analysis at all, or assign only generic subject headings</w:t>
      </w:r>
      <w:r w:rsidR="000B7488">
        <w:t xml:space="preserve">. </w:t>
      </w:r>
      <w:r w:rsidR="00176BEF">
        <w:t xml:space="preserve">It is true that many users may discover the images in </w:t>
      </w:r>
      <w:r w:rsidR="00705DE2">
        <w:t>the ECU</w:t>
      </w:r>
      <w:r w:rsidR="00176BEF">
        <w:t xml:space="preserve"> repository via an external search engine such as Google, which operates exclusively on a keyword basis</w:t>
      </w:r>
      <w:r w:rsidR="00AE1DA7">
        <w:t>. T</w:t>
      </w:r>
      <w:r w:rsidR="009E4029">
        <w:t>he value of specific subject headings</w:t>
      </w:r>
      <w:r w:rsidR="00AE1DA7">
        <w:t>, however,</w:t>
      </w:r>
      <w:r w:rsidR="009E4029">
        <w:t xml:space="preserve"> is </w:t>
      </w:r>
      <w:r w:rsidR="009E4029" w:rsidRPr="002A3472">
        <w:t>increased by their linking potential</w:t>
      </w:r>
      <w:r w:rsidR="000B7488">
        <w:t xml:space="preserve">. </w:t>
      </w:r>
      <w:r w:rsidR="009E4029" w:rsidRPr="002A3472">
        <w:t xml:space="preserve">If </w:t>
      </w:r>
      <w:r w:rsidR="00AE1DA7">
        <w:t xml:space="preserve">the metadata contains </w:t>
      </w:r>
      <w:r w:rsidR="009E4029" w:rsidRPr="002A3472">
        <w:t xml:space="preserve">a specific heading, </w:t>
      </w:r>
      <w:r w:rsidR="00176BEF">
        <w:t xml:space="preserve">once </w:t>
      </w:r>
      <w:r w:rsidR="00AE1DA7">
        <w:t>users</w:t>
      </w:r>
      <w:r w:rsidR="00176BEF">
        <w:t xml:space="preserve"> view an image of </w:t>
      </w:r>
      <w:r w:rsidR="00176BEF" w:rsidRPr="002A3472">
        <w:t>St. Peter’s Epis</w:t>
      </w:r>
      <w:r w:rsidR="00AE1DA7">
        <w:t>copal Church (Washington, N.C.)</w:t>
      </w:r>
      <w:r w:rsidR="00176BEF">
        <w:t xml:space="preserve"> within the repository, </w:t>
      </w:r>
      <w:r w:rsidR="00AE1DA7">
        <w:t>they</w:t>
      </w:r>
      <w:r w:rsidR="009E4029" w:rsidRPr="002A3472">
        <w:t xml:space="preserve"> are</w:t>
      </w:r>
      <w:r w:rsidRPr="002A3472">
        <w:t xml:space="preserve"> able to click on</w:t>
      </w:r>
      <w:r w:rsidR="009E4029" w:rsidRPr="002A3472">
        <w:t xml:space="preserve"> </w:t>
      </w:r>
      <w:r w:rsidR="00176BEF">
        <w:t>that</w:t>
      </w:r>
      <w:r w:rsidR="009E4029" w:rsidRPr="002A3472">
        <w:t xml:space="preserve"> heading </w:t>
      </w:r>
      <w:r w:rsidRPr="002A3472">
        <w:t>to find all the pictures of that particular church</w:t>
      </w:r>
      <w:r w:rsidR="009E4029" w:rsidRPr="002A3472">
        <w:t xml:space="preserve"> in the repository, and not of any other church</w:t>
      </w:r>
      <w:r w:rsidR="000B7488">
        <w:t xml:space="preserve">. </w:t>
      </w:r>
      <w:r w:rsidR="009E4029" w:rsidRPr="002A3472">
        <w:t>If</w:t>
      </w:r>
      <w:r w:rsidRPr="002A3472">
        <w:t xml:space="preserve"> future links are </w:t>
      </w:r>
      <w:r w:rsidR="009E4029" w:rsidRPr="002A3472">
        <w:t xml:space="preserve">to </w:t>
      </w:r>
      <w:r w:rsidRPr="002A3472">
        <w:t xml:space="preserve">be made </w:t>
      </w:r>
      <w:r w:rsidRPr="002A3472">
        <w:lastRenderedPageBreak/>
        <w:t xml:space="preserve">between the digital repository and </w:t>
      </w:r>
      <w:r w:rsidR="00705DE2">
        <w:t>the library</w:t>
      </w:r>
      <w:r w:rsidRPr="002A3472">
        <w:t xml:space="preserve"> catalog, the data will be consistent, and the user </w:t>
      </w:r>
      <w:r w:rsidRPr="007B6441">
        <w:t>could find books about the church and pictures of the church in one search</w:t>
      </w:r>
      <w:r w:rsidR="000B7488">
        <w:t xml:space="preserve">. </w:t>
      </w:r>
      <w:r w:rsidR="00ED5624" w:rsidRPr="007B6441">
        <w:t xml:space="preserve">Taylor emphasizes </w:t>
      </w:r>
      <w:r w:rsidR="009E4029" w:rsidRPr="007B6441">
        <w:t>this</w:t>
      </w:r>
      <w:r w:rsidR="00ED5624" w:rsidRPr="007B6441">
        <w:t xml:space="preserve"> superiority of access points in establishing explicit relationships between materials: “</w:t>
      </w:r>
      <w:r w:rsidR="00ED5624" w:rsidRPr="007B6441">
        <w:rPr>
          <w:rFonts w:cstheme="minorHAnsi"/>
        </w:rPr>
        <w:t>When relationships are merely described (e.g., mentioned in a note</w:t>
      </w:r>
      <w:r w:rsidR="002A3472" w:rsidRPr="007B6441">
        <w:rPr>
          <w:rFonts w:cstheme="minorHAnsi"/>
        </w:rPr>
        <w:t xml:space="preserve"> [or a title]</w:t>
      </w:r>
      <w:r w:rsidR="00ED5624" w:rsidRPr="007B6441">
        <w:rPr>
          <w:rFonts w:cstheme="minorHAnsi"/>
        </w:rPr>
        <w:t>) … the user is left with chance as the means for discerning related information packages that may be useful</w:t>
      </w:r>
      <w:r w:rsidR="000B7488">
        <w:rPr>
          <w:rFonts w:cstheme="minorHAnsi"/>
        </w:rPr>
        <w:t xml:space="preserve">. </w:t>
      </w:r>
      <w:r w:rsidR="00ED5624" w:rsidRPr="007B6441">
        <w:rPr>
          <w:rFonts w:cstheme="minorHAnsi"/>
        </w:rPr>
        <w:t>Access points can make relationships explicit.”</w:t>
      </w:r>
      <w:r w:rsidR="0056346D">
        <w:rPr>
          <w:rFonts w:cstheme="minorHAnsi"/>
        </w:rPr>
        <w:t>[</w:t>
      </w:r>
      <w:r w:rsidR="00AA0DCD">
        <w:rPr>
          <w:rFonts w:cstheme="minorHAnsi"/>
        </w:rPr>
        <w:t>27</w:t>
      </w:r>
      <w:r w:rsidR="0056346D">
        <w:rPr>
          <w:rFonts w:cstheme="minorHAnsi"/>
        </w:rPr>
        <w:t xml:space="preserve">] </w:t>
      </w:r>
      <w:r w:rsidR="0023412A">
        <w:rPr>
          <w:rFonts w:cstheme="minorHAnsi"/>
        </w:rPr>
        <w:t>Any institution committing the time and effort to digitization projects such as this one should be concerned with providing quality metadata in order to make the resulting collection navigable by users</w:t>
      </w:r>
      <w:r w:rsidR="000B7488">
        <w:rPr>
          <w:rFonts w:cstheme="minorHAnsi"/>
        </w:rPr>
        <w:t xml:space="preserve">. </w:t>
      </w:r>
      <w:r w:rsidR="007B6441" w:rsidRPr="007B6441">
        <w:rPr>
          <w:rFonts w:cstheme="minorHAnsi"/>
        </w:rPr>
        <w:t>Minimi</w:t>
      </w:r>
      <w:r w:rsidR="0023412A">
        <w:rPr>
          <w:rFonts w:cstheme="minorHAnsi"/>
        </w:rPr>
        <w:t>zation of</w:t>
      </w:r>
      <w:r w:rsidR="007B6441">
        <w:rPr>
          <w:rFonts w:cstheme="minorHAnsi"/>
        </w:rPr>
        <w:t xml:space="preserve"> the necessity of relying on chance </w:t>
      </w:r>
      <w:r w:rsidR="0023412A">
        <w:rPr>
          <w:rFonts w:cstheme="minorHAnsi"/>
        </w:rPr>
        <w:t>for</w:t>
      </w:r>
      <w:r w:rsidR="007B6441">
        <w:rPr>
          <w:rFonts w:cstheme="minorHAnsi"/>
        </w:rPr>
        <w:t xml:space="preserve"> information discovery is the </w:t>
      </w:r>
      <w:r w:rsidR="0023412A">
        <w:rPr>
          <w:rFonts w:cstheme="minorHAnsi"/>
        </w:rPr>
        <w:t>mark of quality metadata.</w:t>
      </w:r>
    </w:p>
    <w:p w:rsidR="00DD68F1" w:rsidRDefault="00DD68F1" w:rsidP="00DD68F1">
      <w:pPr>
        <w:spacing w:line="480" w:lineRule="auto"/>
        <w:ind w:firstLine="0"/>
      </w:pPr>
    </w:p>
    <w:p w:rsidR="00DD68F1" w:rsidRDefault="00DD68F1" w:rsidP="00DD68F1">
      <w:pPr>
        <w:spacing w:line="480" w:lineRule="auto"/>
        <w:ind w:firstLine="0"/>
      </w:pPr>
      <w:r>
        <w:t xml:space="preserve">&lt;3&gt;Challenge 1b: Complexities in name authority work for </w:t>
      </w:r>
      <w:r w:rsidR="00E75F5E">
        <w:t xml:space="preserve">subjects of </w:t>
      </w:r>
      <w:r>
        <w:t>local images</w:t>
      </w:r>
    </w:p>
    <w:p w:rsidR="00DD68F1" w:rsidRDefault="00DD68F1" w:rsidP="00C35CAC">
      <w:pPr>
        <w:spacing w:line="480" w:lineRule="auto"/>
        <w:ind w:firstLine="720"/>
      </w:pPr>
    </w:p>
    <w:p w:rsidR="00C35CAC" w:rsidRDefault="005B17C5" w:rsidP="00C35CAC">
      <w:pPr>
        <w:spacing w:line="480" w:lineRule="auto"/>
        <w:ind w:firstLine="720"/>
      </w:pPr>
      <w:r>
        <w:t>While some</w:t>
      </w:r>
      <w:r w:rsidR="00E75F5E">
        <w:t xml:space="preserve"> complexities arise in determining the correct level of specificity to</w:t>
      </w:r>
      <w:r w:rsidR="00DF3E79">
        <w:t xml:space="preserve"> which to adhere </w:t>
      </w:r>
      <w:r w:rsidR="00E75F5E">
        <w:t>in subject analysis, the real challenge comes with the name authority work involved in assigning specific headings for a project such as this one</w:t>
      </w:r>
      <w:r w:rsidR="000B7488">
        <w:t xml:space="preserve">. </w:t>
      </w:r>
      <w:r w:rsidR="00E75F5E">
        <w:t>T</w:t>
      </w:r>
      <w:r w:rsidR="009432E7" w:rsidRPr="00FC2FD1">
        <w:t>hese images are about a particular building, street, beach, or waterfall, for example.</w:t>
      </w:r>
      <w:r w:rsidR="009432E7">
        <w:t xml:space="preserve"> </w:t>
      </w:r>
      <w:r w:rsidR="009432E7" w:rsidRPr="00FC2FD1">
        <w:t xml:space="preserve">The local nature of these named entities means that few of them will be found already established in the </w:t>
      </w:r>
      <w:r>
        <w:t>LC authority files. This necessitates</w:t>
      </w:r>
      <w:r w:rsidR="009432E7" w:rsidRPr="00FC2FD1">
        <w:t xml:space="preserve"> that the cataloger </w:t>
      </w:r>
      <w:r w:rsidR="00E30B9A">
        <w:t xml:space="preserve">either </w:t>
      </w:r>
      <w:r w:rsidR="00155390">
        <w:t>determine</w:t>
      </w:r>
      <w:r w:rsidR="009432E7" w:rsidRPr="00FC2FD1">
        <w:t xml:space="preserve"> the correct form of the heading according to complex rules</w:t>
      </w:r>
      <w:r w:rsidR="00E30B9A">
        <w:t>, or</w:t>
      </w:r>
      <w:r w:rsidR="009E24E6">
        <w:t xml:space="preserve"> else</w:t>
      </w:r>
      <w:r w:rsidR="00E30B9A">
        <w:t xml:space="preserve"> forgo assigning a specific heading for a named entity</w:t>
      </w:r>
      <w:r w:rsidR="000B7488">
        <w:t xml:space="preserve">. </w:t>
      </w:r>
      <w:r w:rsidR="009E24E6">
        <w:t>Thus the very quality that makes these images valuable to the user, their unique representation of named entities not a focus of published works, increases their complexity from the perspective of the cataloger.</w:t>
      </w:r>
    </w:p>
    <w:p w:rsidR="009432E7" w:rsidRDefault="009432E7" w:rsidP="009432E7">
      <w:pPr>
        <w:spacing w:line="480" w:lineRule="auto"/>
        <w:ind w:firstLine="720"/>
      </w:pPr>
      <w:r w:rsidRPr="00FC2FD1">
        <w:t xml:space="preserve">Choosing the correct form of name for these entities is made more complicated </w:t>
      </w:r>
      <w:r>
        <w:t xml:space="preserve">because </w:t>
      </w:r>
      <w:r w:rsidRPr="00FC2FD1">
        <w:t>many of the headings for buildings, structures, and various types of corporate bodies fall into an acknowled</w:t>
      </w:r>
      <w:r w:rsidR="00555673">
        <w:t xml:space="preserve">ged group of ambiguous entities. According to the guidelines contained in the LC </w:t>
      </w:r>
      <w:r w:rsidR="00555673" w:rsidRPr="00555673">
        <w:rPr>
          <w:i/>
        </w:rPr>
        <w:t>Subject Cataloging Manual</w:t>
      </w:r>
      <w:r w:rsidR="00555673">
        <w:t xml:space="preserve"> </w:t>
      </w:r>
      <w:r w:rsidR="00C85D92">
        <w:t xml:space="preserve">instruction </w:t>
      </w:r>
      <w:r w:rsidR="00555673">
        <w:t>sheet H405,</w:t>
      </w:r>
      <w:r w:rsidRPr="00FC2FD1">
        <w:t xml:space="preserve"> some of </w:t>
      </w:r>
      <w:r w:rsidR="00555673">
        <w:t>these named entities</w:t>
      </w:r>
      <w:r w:rsidR="005B17C5">
        <w:t xml:space="preserve"> (e.g. Banks, Cemeteries, Churches)</w:t>
      </w:r>
      <w:r w:rsidR="005B17C5" w:rsidRPr="00FC2FD1">
        <w:t xml:space="preserve">, </w:t>
      </w:r>
      <w:r w:rsidRPr="00FC2FD1">
        <w:t xml:space="preserve">are established in the </w:t>
      </w:r>
      <w:r w:rsidR="005B17C5">
        <w:t>LCNAF</w:t>
      </w:r>
      <w:r w:rsidRPr="00FC2FD1">
        <w:t xml:space="preserve"> following name heading conventions</w:t>
      </w:r>
      <w:r w:rsidR="00C85D92">
        <w:t xml:space="preserve"> </w:t>
      </w:r>
      <w:r w:rsidRPr="00FC2FD1">
        <w:t>and</w:t>
      </w:r>
      <w:r w:rsidR="005B17C5">
        <w:t xml:space="preserve"> others (e.g. Bridges, Courthouses, Dwellings)</w:t>
      </w:r>
      <w:r w:rsidR="005B17C5" w:rsidRPr="00FC2FD1">
        <w:t xml:space="preserve">, </w:t>
      </w:r>
      <w:r w:rsidRPr="00FC2FD1">
        <w:t xml:space="preserve"> </w:t>
      </w:r>
      <w:r w:rsidRPr="00FC2FD1">
        <w:lastRenderedPageBreak/>
        <w:t>in the Subject Authority File</w:t>
      </w:r>
      <w:r w:rsidR="005B17C5">
        <w:t xml:space="preserve"> (LCSAF)</w:t>
      </w:r>
      <w:r w:rsidRPr="00FC2FD1">
        <w:t xml:space="preserve"> following subject heading conventions</w:t>
      </w:r>
      <w:r w:rsidR="0031190E">
        <w:t>.[</w:t>
      </w:r>
      <w:r w:rsidR="00AA0DCD">
        <w:t>28</w:t>
      </w:r>
      <w:r w:rsidRPr="00FC2FD1">
        <w:t>]</w:t>
      </w:r>
      <w:r>
        <w:t xml:space="preserve"> </w:t>
      </w:r>
      <w:r w:rsidRPr="00FC2FD1">
        <w:t xml:space="preserve">Following one set of conventions </w:t>
      </w:r>
      <w:r w:rsidR="005B17C5">
        <w:t>rather than</w:t>
      </w:r>
      <w:r w:rsidRPr="00FC2FD1">
        <w:t xml:space="preserve"> the other could result in</w:t>
      </w:r>
      <w:r w:rsidR="005B17C5">
        <w:t xml:space="preserve"> a different heading</w:t>
      </w:r>
      <w:r w:rsidRPr="00FC2FD1">
        <w:t>.</w:t>
      </w:r>
      <w:r>
        <w:t xml:space="preserve"> </w:t>
      </w:r>
      <w:r w:rsidR="002C5430">
        <w:t xml:space="preserve">It has been argued that “the separation of controlled names and terms into a Name Authority File and a Subject Authority File is artificial,” </w:t>
      </w:r>
      <w:r w:rsidR="00157AFB">
        <w:t>because it adds no v</w:t>
      </w:r>
      <w:r w:rsidR="002C5430">
        <w:t xml:space="preserve">alue for the user and </w:t>
      </w:r>
      <w:r w:rsidR="00157AFB">
        <w:t xml:space="preserve">is </w:t>
      </w:r>
      <w:r w:rsidR="002C5430">
        <w:t>ignored by many library systems.</w:t>
      </w:r>
      <w:r w:rsidR="0056346D">
        <w:t>[</w:t>
      </w:r>
      <w:r w:rsidR="00687160">
        <w:t>29</w:t>
      </w:r>
      <w:r w:rsidR="0056346D">
        <w:t xml:space="preserve">] </w:t>
      </w:r>
      <w:r w:rsidR="00157AFB">
        <w:t>T</w:t>
      </w:r>
      <w:r w:rsidR="002C5430">
        <w:t xml:space="preserve">he policy of separation </w:t>
      </w:r>
      <w:r w:rsidR="00157AFB">
        <w:t xml:space="preserve">nevertheless </w:t>
      </w:r>
      <w:r w:rsidR="002C5430">
        <w:t>remains codified, and debating the pros and cons of these rules is beyond the scope of this paper.</w:t>
      </w:r>
    </w:p>
    <w:p w:rsidR="009432E7" w:rsidRDefault="009432E7" w:rsidP="009432E7">
      <w:pPr>
        <w:spacing w:line="480" w:lineRule="auto"/>
        <w:ind w:firstLine="720"/>
      </w:pPr>
      <w:r w:rsidRPr="00FC2FD1">
        <w:t>The process of creating headings was sometimes relatively straightforward.</w:t>
      </w:r>
      <w:r>
        <w:t xml:space="preserve"> </w:t>
      </w:r>
      <w:r w:rsidRPr="00FC2FD1">
        <w:t xml:space="preserve">For </w:t>
      </w:r>
      <w:r>
        <w:t>example</w:t>
      </w:r>
      <w:r w:rsidRPr="00FC2FD1">
        <w:t>, the postcard with the caption “A.C. Monk Tobacco Company, Farmville, North Carolina” required the creation of a corporate name</w:t>
      </w:r>
      <w:r w:rsidR="00157AFB">
        <w:t xml:space="preserve"> heading</w:t>
      </w:r>
      <w:r w:rsidRPr="00FC2FD1">
        <w:t xml:space="preserve"> with no representation in the </w:t>
      </w:r>
      <w:r w:rsidR="000F6954">
        <w:t>LC</w:t>
      </w:r>
      <w:r>
        <w:t>NAF</w:t>
      </w:r>
      <w:r w:rsidRPr="00FC2FD1">
        <w:t>.</w:t>
      </w:r>
      <w:r>
        <w:t xml:space="preserve"> </w:t>
      </w:r>
      <w:r w:rsidR="00157AFB" w:rsidRPr="00157AFB">
        <w:rPr>
          <w:i/>
        </w:rPr>
        <w:t>AACR</w:t>
      </w:r>
      <w:r w:rsidR="00157AFB">
        <w:rPr>
          <w:i/>
        </w:rPr>
        <w:t>2</w:t>
      </w:r>
      <w:r>
        <w:t xml:space="preserve"> direct</w:t>
      </w:r>
      <w:r w:rsidR="00157AFB">
        <w:t>s</w:t>
      </w:r>
      <w:r>
        <w:t xml:space="preserve"> the cataloger </w:t>
      </w:r>
      <w:r w:rsidRPr="00FC2FD1">
        <w:t xml:space="preserve"> to enter a corporate body under the name by which it is commonly identified in items issued by the body, or lacking </w:t>
      </w:r>
      <w:r w:rsidR="0031190E">
        <w:t>those, from reference sources.[</w:t>
      </w:r>
      <w:r w:rsidR="00AA0DCD">
        <w:t>30</w:t>
      </w:r>
      <w:r w:rsidRPr="00FC2FD1">
        <w:t>]</w:t>
      </w:r>
      <w:r>
        <w:t xml:space="preserve"> </w:t>
      </w:r>
      <w:r w:rsidRPr="00FC2FD1">
        <w:t>A search of WorldCat reveal</w:t>
      </w:r>
      <w:r>
        <w:t>ed</w:t>
      </w:r>
      <w:r w:rsidRPr="00FC2FD1">
        <w:t xml:space="preserve"> no items issued by the body, necessitating consultation of reference sources.</w:t>
      </w:r>
      <w:r>
        <w:t xml:space="preserve"> </w:t>
      </w:r>
      <w:r w:rsidRPr="00FC2FD1">
        <w:t>Following the NACO practice of using the item itself as a reference source when no conflict</w:t>
      </w:r>
      <w:r>
        <w:t xml:space="preserve"> is found</w:t>
      </w:r>
      <w:r w:rsidRPr="00FC2FD1">
        <w:t xml:space="preserve"> in WorldCat, </w:t>
      </w:r>
      <w:r w:rsidR="00032144">
        <w:t>the cataloger</w:t>
      </w:r>
      <w:r w:rsidRPr="00FC2FD1">
        <w:t xml:space="preserve"> created the name as </w:t>
      </w:r>
      <w:r>
        <w:t xml:space="preserve">found </w:t>
      </w:r>
      <w:r w:rsidRPr="00FC2FD1">
        <w:t>on the item itself: A. C. Monk Tobacco Company.</w:t>
      </w:r>
      <w:r>
        <w:t xml:space="preserve"> </w:t>
      </w:r>
    </w:p>
    <w:p w:rsidR="0031190E" w:rsidRDefault="0031190E" w:rsidP="009432E7">
      <w:pPr>
        <w:spacing w:line="480" w:lineRule="auto"/>
        <w:ind w:firstLine="720"/>
      </w:pPr>
    </w:p>
    <w:p w:rsidR="0031190E" w:rsidRDefault="006D16F3" w:rsidP="0031190E">
      <w:pPr>
        <w:spacing w:line="480" w:lineRule="auto"/>
        <w:ind w:firstLine="0"/>
      </w:pPr>
      <w:r>
        <w:t>[Figure 2. A.C. Monk Tobacco Company</w:t>
      </w:r>
      <w:r w:rsidR="0031190E">
        <w:t>]</w:t>
      </w:r>
    </w:p>
    <w:p w:rsidR="0031190E" w:rsidRPr="00FC2FD1" w:rsidRDefault="0031190E" w:rsidP="009432E7">
      <w:pPr>
        <w:spacing w:line="480" w:lineRule="auto"/>
        <w:ind w:firstLine="720"/>
      </w:pPr>
    </w:p>
    <w:p w:rsidR="009432E7" w:rsidRDefault="009432E7" w:rsidP="000F6954">
      <w:pPr>
        <w:spacing w:line="480" w:lineRule="auto"/>
        <w:ind w:firstLine="720"/>
      </w:pPr>
      <w:r w:rsidRPr="00FC2FD1">
        <w:t>Sometimes significantly more work was necessary to determine the correct form of the name.</w:t>
      </w:r>
      <w:r>
        <w:t xml:space="preserve"> </w:t>
      </w:r>
      <w:r w:rsidRPr="00FC2FD1">
        <w:t>Take</w:t>
      </w:r>
      <w:r>
        <w:t>,</w:t>
      </w:r>
      <w:r w:rsidRPr="00FC2FD1">
        <w:t xml:space="preserve"> for example</w:t>
      </w:r>
      <w:r>
        <w:t>,</w:t>
      </w:r>
      <w:r w:rsidRPr="00FC2FD1">
        <w:t xml:space="preserve"> the three postcards entitled, respectively, St. Peter’s Church, Washington, N.C., St. Peter’s Protestant Episcopal Church, Washington, N.C., and St. Peter’s Episcopal Church, Washington, N.C.</w:t>
      </w:r>
      <w:r>
        <w:t xml:space="preserve"> </w:t>
      </w:r>
      <w:r w:rsidRPr="00FC2FD1">
        <w:t xml:space="preserve">No heading exists in the </w:t>
      </w:r>
      <w:r w:rsidR="000F6954">
        <w:t>LC</w:t>
      </w:r>
      <w:r>
        <w:t>NAF</w:t>
      </w:r>
      <w:r w:rsidRPr="00FC2FD1">
        <w:t xml:space="preserve"> for this church, so the cataloger </w:t>
      </w:r>
      <w:r>
        <w:t>needed</w:t>
      </w:r>
      <w:r w:rsidRPr="00FC2FD1">
        <w:t xml:space="preserve"> </w:t>
      </w:r>
      <w:r w:rsidR="00157AFB">
        <w:t xml:space="preserve">to </w:t>
      </w:r>
      <w:r w:rsidRPr="00FC2FD1">
        <w:t>make a decision about the correct form of the name to use.</w:t>
      </w:r>
      <w:r>
        <w:t xml:space="preserve"> </w:t>
      </w:r>
      <w:r w:rsidRPr="00FC2FD1">
        <w:t>A search of WorldCat reveal</w:t>
      </w:r>
      <w:r>
        <w:t>ed</w:t>
      </w:r>
      <w:r w:rsidRPr="00FC2FD1">
        <w:t xml:space="preserve"> three books issued by the church, with varying usage: Saint Peters Parish, St. Peter’s Episcopal Church, and St. Peter’s Church, the last with a variant usage on the cover: St. Peter’s Episcopal Church.</w:t>
      </w:r>
      <w:r>
        <w:t xml:space="preserve"> </w:t>
      </w:r>
      <w:r w:rsidRPr="00FC2FD1">
        <w:t>Using the predominant form of the name found in wo</w:t>
      </w:r>
      <w:r w:rsidR="00157AFB">
        <w:t>rks issued by the body,</w:t>
      </w:r>
      <w:r w:rsidRPr="00FC2FD1">
        <w:t xml:space="preserve"> St. Peter’s Episcopal Church (Washington, N.C.)</w:t>
      </w:r>
      <w:r w:rsidR="00157AFB">
        <w:t xml:space="preserve"> was chosen</w:t>
      </w:r>
      <w:r w:rsidRPr="00FC2FD1">
        <w:t>.</w:t>
      </w:r>
    </w:p>
    <w:p w:rsidR="009432E7" w:rsidRDefault="009432E7" w:rsidP="009432E7">
      <w:pPr>
        <w:spacing w:line="480" w:lineRule="auto"/>
        <w:ind w:firstLine="720"/>
      </w:pPr>
      <w:r w:rsidRPr="00FC2FD1">
        <w:lastRenderedPageBreak/>
        <w:t>Frequently</w:t>
      </w:r>
      <w:r>
        <w:t>,</w:t>
      </w:r>
      <w:r w:rsidRPr="00FC2FD1">
        <w:t xml:space="preserve"> variant names are used for the same structure on different postcards in the collection.</w:t>
      </w:r>
      <w:r>
        <w:t xml:space="preserve"> </w:t>
      </w:r>
      <w:r w:rsidRPr="00FC2FD1">
        <w:t xml:space="preserve">For </w:t>
      </w:r>
      <w:r>
        <w:t>example</w:t>
      </w:r>
      <w:r w:rsidRPr="00FC2FD1">
        <w:t>, a particular pavilion in Wrightsville Beach</w:t>
      </w:r>
      <w:r w:rsidR="00E422AC">
        <w:t>, North Carolina,</w:t>
      </w:r>
      <w:r w:rsidRPr="00FC2FD1">
        <w:t xml:space="preserve"> called either Lumina, Greater Lumina, or Lumina Dancing Pavilion, is the subject of a number of postcards.</w:t>
      </w:r>
      <w:r>
        <w:t xml:space="preserve"> </w:t>
      </w:r>
      <w:r w:rsidRPr="00FC2FD1">
        <w:t>No appropriate heading exists in the authority file.</w:t>
      </w:r>
      <w:r>
        <w:t xml:space="preserve"> </w:t>
      </w:r>
      <w:r w:rsidRPr="00FC2FD1">
        <w:t xml:space="preserve">According to the </w:t>
      </w:r>
      <w:r w:rsidRPr="00FC2FD1">
        <w:rPr>
          <w:i/>
        </w:rPr>
        <w:t xml:space="preserve">Subject Cataloging Manual </w:t>
      </w:r>
      <w:r w:rsidRPr="00FC2FD1">
        <w:t xml:space="preserve">H 405, pavilions are established in the </w:t>
      </w:r>
      <w:r w:rsidR="00E422AC">
        <w:t>LCSAF</w:t>
      </w:r>
      <w:r w:rsidRPr="00FC2FD1">
        <w:t xml:space="preserve"> following instruction sheet H 1334, Buildings and Other Structures.</w:t>
      </w:r>
      <w:r>
        <w:t xml:space="preserve"> </w:t>
      </w:r>
      <w:r w:rsidRPr="00FC2FD1">
        <w:t>This instruction sheet states</w:t>
      </w:r>
      <w:r w:rsidR="00E422AC">
        <w:t>,</w:t>
      </w:r>
      <w:r w:rsidRPr="00FC2FD1">
        <w:t xml:space="preserve"> “Enter the heading for a particular building or structure directly under its own name, in uninverted form, and qualify it by the name of the geographic entity in wh</w:t>
      </w:r>
      <w:r w:rsidR="00AA0DCD">
        <w:t>ich the structure is located.”[31</w:t>
      </w:r>
      <w:r w:rsidRPr="00FC2FD1">
        <w:t>]</w:t>
      </w:r>
      <w:r>
        <w:t xml:space="preserve"> </w:t>
      </w:r>
      <w:r w:rsidRPr="00FC2FD1">
        <w:t>But what is this structure’s “own name?”</w:t>
      </w:r>
      <w:r>
        <w:t xml:space="preserve"> </w:t>
      </w:r>
      <w:r w:rsidR="00E422AC">
        <w:t>T</w:t>
      </w:r>
      <w:r w:rsidRPr="00FC2FD1">
        <w:t>he conf</w:t>
      </w:r>
      <w:r w:rsidR="00E422AC">
        <w:t xml:space="preserve">lict of the various names used was settled by </w:t>
      </w:r>
      <w:r w:rsidRPr="00FC2FD1">
        <w:t>a book about Wrightsville Beach that contained a chapter on Lumina.</w:t>
      </w:r>
      <w:r w:rsidR="00E43B90">
        <w:t>[32]</w:t>
      </w:r>
      <w:r>
        <w:t xml:space="preserve"> </w:t>
      </w:r>
      <w:r w:rsidRPr="00FC2FD1">
        <w:t xml:space="preserve">There </w:t>
      </w:r>
      <w:r w:rsidR="00E422AC">
        <w:t>the author states</w:t>
      </w:r>
      <w:r w:rsidRPr="00FC2FD1">
        <w:t xml:space="preserve"> that Lumina was an entertainment center that opened in Wrightsville Beach in 1905.</w:t>
      </w:r>
      <w:r>
        <w:t xml:space="preserve"> </w:t>
      </w:r>
      <w:r w:rsidRPr="00FC2FD1">
        <w:t xml:space="preserve">A new center containing a movie theater opened in 1909 </w:t>
      </w:r>
      <w:r w:rsidR="0031190E">
        <w:t>and was called Greater Lumina.[</w:t>
      </w:r>
      <w:r w:rsidR="00E43B90">
        <w:t>33</w:t>
      </w:r>
      <w:r w:rsidRPr="00FC2FD1">
        <w:t>]</w:t>
      </w:r>
      <w:r>
        <w:t xml:space="preserve"> </w:t>
      </w:r>
      <w:r w:rsidRPr="00FC2FD1">
        <w:t xml:space="preserve">Following the instruction in the </w:t>
      </w:r>
      <w:r w:rsidRPr="00FC2FD1">
        <w:rPr>
          <w:i/>
        </w:rPr>
        <w:t>Subject Cataloging Manual</w:t>
      </w:r>
      <w:r w:rsidRPr="00FC2FD1">
        <w:t xml:space="preserve"> H 1334, </w:t>
      </w:r>
      <w:r w:rsidR="00032144">
        <w:t>the cataloger</w:t>
      </w:r>
      <w:r w:rsidRPr="00FC2FD1">
        <w:t xml:space="preserve"> </w:t>
      </w:r>
      <w:r w:rsidR="009C0DCC">
        <w:t>created</w:t>
      </w:r>
      <w:r w:rsidRPr="00FC2FD1">
        <w:t xml:space="preserve"> the heading </w:t>
      </w:r>
      <w:r w:rsidR="00DF3E79">
        <w:t>“</w:t>
      </w:r>
      <w:r w:rsidRPr="00FC2FD1">
        <w:t>Lumina (Pavilion : Wrightsville Beach, N.C.)</w:t>
      </w:r>
      <w:r w:rsidR="00DF3E79">
        <w:t>.”</w:t>
      </w:r>
    </w:p>
    <w:p w:rsidR="006D16F3" w:rsidRDefault="006D16F3" w:rsidP="009432E7">
      <w:pPr>
        <w:spacing w:line="480" w:lineRule="auto"/>
        <w:ind w:firstLine="720"/>
      </w:pPr>
    </w:p>
    <w:p w:rsidR="006D16F3" w:rsidRDefault="006D16F3" w:rsidP="006D16F3">
      <w:pPr>
        <w:spacing w:line="480" w:lineRule="auto"/>
        <w:ind w:firstLine="0"/>
      </w:pPr>
      <w:r>
        <w:t>[Figure 3. Greater Lumina]</w:t>
      </w:r>
    </w:p>
    <w:p w:rsidR="006D16F3" w:rsidRPr="00FC2FD1" w:rsidRDefault="006D16F3" w:rsidP="009432E7">
      <w:pPr>
        <w:spacing w:line="480" w:lineRule="auto"/>
        <w:ind w:firstLine="720"/>
      </w:pPr>
    </w:p>
    <w:p w:rsidR="009432E7" w:rsidRDefault="000037FA" w:rsidP="009432E7">
      <w:pPr>
        <w:spacing w:line="480" w:lineRule="auto"/>
        <w:ind w:firstLine="720"/>
      </w:pPr>
      <w:r>
        <w:t xml:space="preserve">The </w:t>
      </w:r>
      <w:r w:rsidR="00E422AC">
        <w:t>preceding</w:t>
      </w:r>
      <w:r>
        <w:t xml:space="preserve"> examples give a sense of the </w:t>
      </w:r>
      <w:r w:rsidR="00E74DC8">
        <w:t>complexity</w:t>
      </w:r>
      <w:r w:rsidR="00FA1BD6">
        <w:t xml:space="preserve"> </w:t>
      </w:r>
      <w:r>
        <w:t>involved in assigning specific subject headings for named entities in a project such as this one</w:t>
      </w:r>
      <w:r w:rsidR="000B7488">
        <w:t xml:space="preserve">. </w:t>
      </w:r>
      <w:r w:rsidR="00E75F5E">
        <w:t xml:space="preserve">It could be argued that </w:t>
      </w:r>
      <w:r w:rsidR="00032144">
        <w:t>the library</w:t>
      </w:r>
      <w:r w:rsidR="00E75F5E">
        <w:t xml:space="preserve"> brought this challenge on </w:t>
      </w:r>
      <w:r w:rsidR="00032144">
        <w:t>itself</w:t>
      </w:r>
      <w:r w:rsidR="00E75F5E">
        <w:t xml:space="preserve"> by </w:t>
      </w:r>
      <w:r w:rsidR="00032144">
        <w:t>the</w:t>
      </w:r>
      <w:r w:rsidR="00E75F5E">
        <w:t xml:space="preserve"> choice of </w:t>
      </w:r>
      <w:r w:rsidR="005B17C5">
        <w:t xml:space="preserve">LCSH </w:t>
      </w:r>
      <w:r w:rsidR="009432E7" w:rsidRPr="00FC2FD1">
        <w:t>and</w:t>
      </w:r>
      <w:r w:rsidR="005B17C5">
        <w:t xml:space="preserve"> LCNAF</w:t>
      </w:r>
      <w:r w:rsidR="00FA1BD6">
        <w:t xml:space="preserve"> as </w:t>
      </w:r>
      <w:r w:rsidR="00032144">
        <w:t>the</w:t>
      </w:r>
      <w:r w:rsidR="00FA1BD6">
        <w:t xml:space="preserve"> controlled vocabulary</w:t>
      </w:r>
      <w:r w:rsidR="00032144">
        <w:t xml:space="preserve"> for the repository</w:t>
      </w:r>
      <w:r w:rsidR="00FA1BD6">
        <w:t xml:space="preserve">, saddling </w:t>
      </w:r>
      <w:r w:rsidR="00032144">
        <w:t>itself</w:t>
      </w:r>
      <w:r w:rsidR="00FA1BD6">
        <w:t xml:space="preserve"> with requirements to follow complex ru</w:t>
      </w:r>
      <w:r>
        <w:t xml:space="preserve">les </w:t>
      </w:r>
      <w:r w:rsidR="00DF3E79">
        <w:t>of questionable applicability</w:t>
      </w:r>
      <w:r>
        <w:t xml:space="preserve"> outside the context</w:t>
      </w:r>
      <w:r w:rsidR="00FA1BD6">
        <w:t xml:space="preserve"> of </w:t>
      </w:r>
      <w:r>
        <w:t>NACO contribution</w:t>
      </w:r>
      <w:r w:rsidR="000B7488">
        <w:t xml:space="preserve">. </w:t>
      </w:r>
      <w:r>
        <w:t xml:space="preserve">The choice of LCSH/LCNAF for items in the repository was made prior to undertaking the Eastern North Carolina Postcard </w:t>
      </w:r>
      <w:r w:rsidR="00B935AC">
        <w:t>Collection project</w:t>
      </w:r>
      <w:r>
        <w:t>, and had to do with the fact that many of the first materials in the repository were digitized books</w:t>
      </w:r>
      <w:r w:rsidR="000B7488">
        <w:t xml:space="preserve">. </w:t>
      </w:r>
      <w:r>
        <w:t>Perpetuating this choice came from a desire to make all metadata added to the repository compatible with each other in terms of controlled vocabulary.</w:t>
      </w:r>
      <w:r w:rsidR="009432E7" w:rsidRPr="00FC2FD1">
        <w:t xml:space="preserve"> </w:t>
      </w:r>
      <w:r>
        <w:t>The choice of LCSH/LCNAF a</w:t>
      </w:r>
      <w:r w:rsidR="009432E7" w:rsidRPr="00FC2FD1">
        <w:t>lso</w:t>
      </w:r>
      <w:r>
        <w:t xml:space="preserve"> makes the repository more compatible with </w:t>
      </w:r>
      <w:r w:rsidR="00705DE2">
        <w:t>the</w:t>
      </w:r>
      <w:r>
        <w:t xml:space="preserve"> library catalog, increasing</w:t>
      </w:r>
      <w:r w:rsidR="009432E7" w:rsidRPr="00FC2FD1">
        <w:t xml:space="preserve"> consisten</w:t>
      </w:r>
      <w:r>
        <w:t>cy</w:t>
      </w:r>
      <w:r w:rsidR="009432E7" w:rsidRPr="00FC2FD1">
        <w:t xml:space="preserve"> for users and </w:t>
      </w:r>
      <w:r>
        <w:t xml:space="preserve">furthering </w:t>
      </w:r>
      <w:r w:rsidR="00705DE2">
        <w:t>the library’s</w:t>
      </w:r>
      <w:r>
        <w:t xml:space="preserve"> </w:t>
      </w:r>
      <w:r w:rsidR="00FA1BD6">
        <w:t xml:space="preserve">goal to </w:t>
      </w:r>
      <w:r w:rsidR="009432E7" w:rsidRPr="00FC2FD1">
        <w:t>integrat</w:t>
      </w:r>
      <w:r w:rsidR="009432E7">
        <w:t>e</w:t>
      </w:r>
      <w:r w:rsidR="009432E7" w:rsidRPr="00FC2FD1">
        <w:t xml:space="preserve"> digital collections more fully with the rest of the library collections</w:t>
      </w:r>
      <w:r w:rsidR="000B7488">
        <w:t xml:space="preserve">. </w:t>
      </w:r>
      <w:r>
        <w:t>The use of such a w</w:t>
      </w:r>
      <w:r w:rsidR="00FA1BD6">
        <w:t xml:space="preserve">idely used standard </w:t>
      </w:r>
      <w:r>
        <w:t>also i</w:t>
      </w:r>
      <w:r w:rsidR="00FA1BD6">
        <w:t xml:space="preserve">ncreases potential for </w:t>
      </w:r>
      <w:r w:rsidR="00FA1BD6">
        <w:lastRenderedPageBreak/>
        <w:t xml:space="preserve">interoperability not only within </w:t>
      </w:r>
      <w:r w:rsidR="00705DE2">
        <w:t>the library’s</w:t>
      </w:r>
      <w:r w:rsidR="00FA1BD6">
        <w:t xml:space="preserve"> collections but with other coll</w:t>
      </w:r>
      <w:r>
        <w:t>ections from other institutions</w:t>
      </w:r>
      <w:r w:rsidR="007B563B">
        <w:t>,</w:t>
      </w:r>
      <w:r>
        <w:t xml:space="preserve"> and makes possible the future sharing of authority data should such a step be deemed viable or </w:t>
      </w:r>
      <w:r w:rsidR="00BE26DB">
        <w:t>useful</w:t>
      </w:r>
      <w:r w:rsidR="000B7488">
        <w:t xml:space="preserve">. </w:t>
      </w:r>
      <w:r w:rsidR="007B563B">
        <w:t>In fact, it is probable that, apart from a simplification of the rules for heading construction, the only solution to the challenge of complexity is to be found in sharing as much data as possible</w:t>
      </w:r>
      <w:r w:rsidR="000B7488">
        <w:t xml:space="preserve">. </w:t>
      </w:r>
      <w:r w:rsidR="007B563B">
        <w:t>If more institutions continue to undertake the digitization of material with a local focus, it is reasonable to expect a proliferation of geographic-based NACO/SACO funnels mirroring the proliferation of locally-focused digitization projects.</w:t>
      </w:r>
    </w:p>
    <w:p w:rsidR="009432E7" w:rsidRDefault="009432E7" w:rsidP="009432E7">
      <w:pPr>
        <w:spacing w:line="480" w:lineRule="auto"/>
        <w:ind w:firstLine="720"/>
      </w:pPr>
    </w:p>
    <w:p w:rsidR="00E74DC8" w:rsidRDefault="0031190E" w:rsidP="00E74DC8">
      <w:pPr>
        <w:spacing w:line="480" w:lineRule="auto"/>
        <w:ind w:firstLine="0"/>
      </w:pPr>
      <w:r>
        <w:t>&lt;2</w:t>
      </w:r>
      <w:r w:rsidR="00E74DC8">
        <w:t>&gt;Challenge 2:  Volume of authority work created by a high new heading per description ratio</w:t>
      </w:r>
    </w:p>
    <w:p w:rsidR="009432E7" w:rsidRDefault="009432E7" w:rsidP="00C14A36">
      <w:pPr>
        <w:spacing w:line="480" w:lineRule="auto"/>
        <w:ind w:firstLine="720"/>
      </w:pPr>
    </w:p>
    <w:p w:rsidR="00296B84" w:rsidRPr="00FC2FD1" w:rsidRDefault="00756AB3" w:rsidP="00296B84">
      <w:pPr>
        <w:spacing w:line="480" w:lineRule="auto"/>
        <w:ind w:firstLine="720"/>
      </w:pPr>
      <w:r>
        <w:t>T</w:t>
      </w:r>
      <w:r w:rsidR="00296B84" w:rsidRPr="00FC2FD1">
        <w:t>he large number of named entities pictured in this collection</w:t>
      </w:r>
      <w:r>
        <w:t xml:space="preserve"> presents an additional challenge</w:t>
      </w:r>
      <w:r w:rsidR="000B7488">
        <w:t xml:space="preserve">. </w:t>
      </w:r>
      <w:r w:rsidR="006728B3">
        <w:t>As noted above, the local nature of the named entities indicates that few of them will be found already established in the authority file</w:t>
      </w:r>
      <w:r w:rsidR="000B7488">
        <w:t xml:space="preserve">. </w:t>
      </w:r>
      <w:r w:rsidR="00296B84" w:rsidRPr="00FC2FD1">
        <w:t>Cuccurullo warns of the impending flood of names to be established</w:t>
      </w:r>
      <w:r w:rsidR="006728B3">
        <w:t xml:space="preserve"> as a result of cataloging </w:t>
      </w:r>
      <w:r>
        <w:t>digitized</w:t>
      </w:r>
      <w:r w:rsidR="006728B3">
        <w:t xml:space="preserve"> collections at the image level</w:t>
      </w:r>
      <w:r w:rsidR="00296B84" w:rsidRPr="00FC2FD1">
        <w:t xml:space="preserve">: “The number of such headings [for buildings and structures] is likely to increase exponentially as libraries focus attention on cataloging of digital </w:t>
      </w:r>
      <w:r w:rsidR="0031190E">
        <w:t>collections.”[</w:t>
      </w:r>
      <w:r w:rsidR="00E43B90">
        <w:t>34</w:t>
      </w:r>
      <w:r w:rsidR="0056346D">
        <w:t xml:space="preserve">] </w:t>
      </w:r>
      <w:r>
        <w:t>T</w:t>
      </w:r>
      <w:r w:rsidR="006728B3">
        <w:t xml:space="preserve">he Eastern North Carolina Postcard </w:t>
      </w:r>
      <w:r w:rsidR="00B935AC">
        <w:t>Collection</w:t>
      </w:r>
      <w:r w:rsidR="00296B84" w:rsidRPr="00FC2FD1">
        <w:t xml:space="preserve"> of 404 postcards</w:t>
      </w:r>
      <w:r w:rsidR="00296B84">
        <w:t xml:space="preserve"> </w:t>
      </w:r>
      <w:r w:rsidR="006728B3">
        <w:t>depicts</w:t>
      </w:r>
      <w:r w:rsidR="00296B84" w:rsidRPr="00FC2FD1">
        <w:t xml:space="preserve"> approximately 429 named entities, </w:t>
      </w:r>
      <w:r w:rsidR="00296B84">
        <w:t xml:space="preserve">with </w:t>
      </w:r>
      <w:r w:rsidR="00296B84" w:rsidRPr="00FC2FD1">
        <w:t>some entities appear</w:t>
      </w:r>
      <w:r w:rsidR="00296B84">
        <w:t>ing</w:t>
      </w:r>
      <w:r w:rsidR="00296B84" w:rsidRPr="00FC2FD1">
        <w:t xml:space="preserve"> on more than one postcard, and some single postcards depict</w:t>
      </w:r>
      <w:r w:rsidR="006728B3">
        <w:t>ing more than one entity</w:t>
      </w:r>
      <w:r w:rsidR="00296B84" w:rsidRPr="00FC2FD1">
        <w:t>.</w:t>
      </w:r>
      <w:r w:rsidR="00296B84">
        <w:t xml:space="preserve"> </w:t>
      </w:r>
      <w:r w:rsidR="00296B84" w:rsidRPr="00FC2FD1">
        <w:t xml:space="preserve">Of these, 113 </w:t>
      </w:r>
      <w:r w:rsidR="00296B84">
        <w:t>we</w:t>
      </w:r>
      <w:r w:rsidR="00296B84" w:rsidRPr="00FC2FD1">
        <w:t>re associated with authority records in the LC authority file.</w:t>
      </w:r>
      <w:r w:rsidR="00296B84">
        <w:t xml:space="preserve"> </w:t>
      </w:r>
      <w:r w:rsidR="00296B84" w:rsidRPr="00FC2FD1">
        <w:t xml:space="preserve">The remaining 316 </w:t>
      </w:r>
      <w:r w:rsidR="00296B84">
        <w:t>we</w:t>
      </w:r>
      <w:r w:rsidR="00296B84" w:rsidRPr="00FC2FD1">
        <w:t>re not.</w:t>
      </w:r>
      <w:r w:rsidR="00296B84">
        <w:t xml:space="preserve"> </w:t>
      </w:r>
    </w:p>
    <w:p w:rsidR="001F4FB0" w:rsidRDefault="0076784B" w:rsidP="00F46DF3">
      <w:pPr>
        <w:spacing w:line="480" w:lineRule="auto"/>
        <w:ind w:firstLine="720"/>
      </w:pPr>
      <w:r>
        <w:t xml:space="preserve">Most institutions have only </w:t>
      </w:r>
      <w:r w:rsidR="00296B84" w:rsidRPr="00FC2FD1">
        <w:t xml:space="preserve">a limited amount of personnel time dedicated to doing </w:t>
      </w:r>
      <w:r>
        <w:t xml:space="preserve">subject analysis and </w:t>
      </w:r>
      <w:r w:rsidR="00296B84" w:rsidRPr="00FC2FD1">
        <w:t>authority work for digital projects</w:t>
      </w:r>
      <w:r w:rsidR="000B7488">
        <w:t xml:space="preserve">. </w:t>
      </w:r>
      <w:r>
        <w:t xml:space="preserve">As noted above, </w:t>
      </w:r>
      <w:r w:rsidR="00F46DF3">
        <w:t xml:space="preserve">for the Eastern North Carolina Postcard </w:t>
      </w:r>
      <w:r w:rsidR="00B935AC">
        <w:t>Collection</w:t>
      </w:r>
      <w:r w:rsidR="001F4FB0">
        <w:t>,</w:t>
      </w:r>
      <w:r w:rsidR="00F46DF3">
        <w:t xml:space="preserve"> it was </w:t>
      </w:r>
      <w:r>
        <w:t>limited to a portion of one staff member’s job</w:t>
      </w:r>
      <w:r w:rsidR="00296B84" w:rsidRPr="00FC2FD1">
        <w:t>.</w:t>
      </w:r>
      <w:r w:rsidR="00296B84">
        <w:t xml:space="preserve"> </w:t>
      </w:r>
      <w:r w:rsidR="00F46DF3" w:rsidRPr="00FC2FD1">
        <w:t xml:space="preserve">When </w:t>
      </w:r>
      <w:r w:rsidR="00F46DF3">
        <w:t>time and personnel are</w:t>
      </w:r>
      <w:r w:rsidR="00F46DF3" w:rsidRPr="00FC2FD1">
        <w:t xml:space="preserve"> limited, it is prudent to invoke the law of diminishing returns on that time investment, a concept Younger calls “utility” in authority control.</w:t>
      </w:r>
      <w:r w:rsidR="0031190E">
        <w:t>[</w:t>
      </w:r>
      <w:r w:rsidR="00E43B90">
        <w:t>35</w:t>
      </w:r>
      <w:r w:rsidR="0031190E">
        <w:t>]</w:t>
      </w:r>
      <w:r w:rsidR="00F46DF3">
        <w:t xml:space="preserve"> </w:t>
      </w:r>
      <w:r w:rsidR="00F46DF3" w:rsidRPr="00FC2FD1">
        <w:t>By “utility,” Younger means that authority control efforts should be directed to those areas in which it has the most potential impact on user retrieval.</w:t>
      </w:r>
      <w:r w:rsidR="00F46DF3">
        <w:t xml:space="preserve"> </w:t>
      </w:r>
      <w:r w:rsidR="00F46DF3" w:rsidRPr="00FC2FD1">
        <w:t>“Categories,” she writes, “can be defined for names requiring m</w:t>
      </w:r>
      <w:r w:rsidR="0031190E">
        <w:t>ore or less control.”[</w:t>
      </w:r>
      <w:r w:rsidR="00AA0DCD">
        <w:t>3</w:t>
      </w:r>
      <w:r w:rsidR="00E43B90">
        <w:t>6</w:t>
      </w:r>
      <w:r w:rsidR="0056346D">
        <w:t xml:space="preserve">] </w:t>
      </w:r>
      <w:r w:rsidR="00F46DF3" w:rsidRPr="00FC2FD1">
        <w:t xml:space="preserve">Though Younger’s article is </w:t>
      </w:r>
      <w:r w:rsidR="00F46DF3" w:rsidRPr="00FC2FD1">
        <w:lastRenderedPageBreak/>
        <w:t>concerned mainly with personal names of authors, her thesis is applicable to named entities as subjects as well</w:t>
      </w:r>
      <w:r w:rsidR="000B7488">
        <w:t xml:space="preserve">. </w:t>
      </w:r>
    </w:p>
    <w:p w:rsidR="005827CB" w:rsidRDefault="00296B84" w:rsidP="00877353">
      <w:pPr>
        <w:spacing w:line="480" w:lineRule="auto"/>
        <w:ind w:firstLine="720"/>
      </w:pPr>
      <w:r w:rsidRPr="00FC2FD1">
        <w:t xml:space="preserve">Despite generally espousing the principle of specificity, </w:t>
      </w:r>
      <w:r w:rsidR="0055061D">
        <w:t>cataloging staff</w:t>
      </w:r>
      <w:r w:rsidRPr="00FC2FD1">
        <w:t xml:space="preserve"> did not create all the specific headings possible</w:t>
      </w:r>
      <w:r w:rsidR="0055061D">
        <w:t xml:space="preserve"> for the postcard project</w:t>
      </w:r>
      <w:r w:rsidRPr="00FC2FD1">
        <w:t>.</w:t>
      </w:r>
      <w:r>
        <w:t xml:space="preserve"> </w:t>
      </w:r>
      <w:r w:rsidR="0055061D">
        <w:t>In an attempt to meet the challenge of high volume, a selection process was applied to pare down the number of specific headings created</w:t>
      </w:r>
      <w:r w:rsidR="000B7488">
        <w:t xml:space="preserve">. </w:t>
      </w:r>
      <w:r w:rsidR="0055061D">
        <w:t xml:space="preserve">This selection process was informed by Younger’s concept of utility. </w:t>
      </w:r>
      <w:r w:rsidR="001F4FB0">
        <w:t>Those images not receiving a specific subject heading received only a generic category subject heading</w:t>
      </w:r>
      <w:r w:rsidR="000B7488">
        <w:t xml:space="preserve">. </w:t>
      </w:r>
      <w:r w:rsidR="005827CB" w:rsidRPr="00FC2FD1">
        <w:t xml:space="preserve">In deciding whether to create a </w:t>
      </w:r>
      <w:r w:rsidR="0055061D">
        <w:t xml:space="preserve">specific </w:t>
      </w:r>
      <w:r w:rsidR="005827CB" w:rsidRPr="00FC2FD1">
        <w:t xml:space="preserve">heading for a named entity, </w:t>
      </w:r>
      <w:r w:rsidR="00032144">
        <w:t>the cataloger</w:t>
      </w:r>
      <w:r w:rsidR="005827CB" w:rsidRPr="00FC2FD1">
        <w:t xml:space="preserve"> tried to be as consistent as possible across a generic </w:t>
      </w:r>
      <w:r w:rsidR="005827CB">
        <w:t xml:space="preserve">subject </w:t>
      </w:r>
      <w:r w:rsidR="005827CB" w:rsidRPr="00FC2FD1">
        <w:t>category.</w:t>
      </w:r>
      <w:r w:rsidR="005827CB">
        <w:t xml:space="preserve"> </w:t>
      </w:r>
      <w:r w:rsidR="001F4FB0">
        <w:t xml:space="preserve">The decision about how to treat </w:t>
      </w:r>
      <w:r w:rsidR="005827CB">
        <w:t>subject categories</w:t>
      </w:r>
      <w:r w:rsidR="001F4FB0">
        <w:t xml:space="preserve"> was guided mainly by considerations of the impact on user retrieval</w:t>
      </w:r>
      <w:r w:rsidR="000B7488">
        <w:t xml:space="preserve">. </w:t>
      </w:r>
      <w:r w:rsidR="0055061D">
        <w:t>U</w:t>
      </w:r>
      <w:r w:rsidR="001F4FB0" w:rsidRPr="00FC2FD1">
        <w:t>ser retrieval is most greatly improved by specific headings when a specific heading adds unique information to the subject file, when there are many similar names to keep organized, and/or when there are many potential links to other materials about the entity through specific subject analysis.</w:t>
      </w:r>
      <w:r w:rsidR="008D000A">
        <w:t xml:space="preserve"> W</w:t>
      </w:r>
      <w:r w:rsidR="001F4FB0" w:rsidRPr="00FC2FD1">
        <w:t xml:space="preserve">hen these conditions were met, </w:t>
      </w:r>
      <w:r w:rsidR="00032144">
        <w:t>the cataloger was</w:t>
      </w:r>
      <w:r w:rsidR="001F4FB0" w:rsidRPr="00FC2FD1">
        <w:t xml:space="preserve"> more likely to </w:t>
      </w:r>
      <w:r w:rsidR="005827CB">
        <w:t>create</w:t>
      </w:r>
      <w:r w:rsidR="001F4FB0" w:rsidRPr="00FC2FD1">
        <w:t xml:space="preserve"> specific headings for that category of entity</w:t>
      </w:r>
      <w:r w:rsidR="000B7488">
        <w:t xml:space="preserve">. </w:t>
      </w:r>
      <w:r w:rsidR="005827CB">
        <w:t xml:space="preserve">Other considerations included </w:t>
      </w:r>
      <w:r w:rsidRPr="00FC2FD1">
        <w:t>practical concerns regarding the prohibitive amount of research involved</w:t>
      </w:r>
      <w:r w:rsidR="005827CB">
        <w:t xml:space="preserve"> in specific heading creation</w:t>
      </w:r>
      <w:r w:rsidRPr="00FC2FD1">
        <w:t>.</w:t>
      </w:r>
      <w:r>
        <w:t xml:space="preserve"> </w:t>
      </w:r>
      <w:r w:rsidRPr="00FC2FD1">
        <w:t>B</w:t>
      </w:r>
      <w:r w:rsidR="008D000A">
        <w:t>y the end of the project,</w:t>
      </w:r>
      <w:r w:rsidRPr="00FC2FD1">
        <w:t xml:space="preserve"> 126 unique new </w:t>
      </w:r>
      <w:r w:rsidR="005827CB">
        <w:t>specific</w:t>
      </w:r>
      <w:r w:rsidRPr="00FC2FD1">
        <w:t xml:space="preserve"> headings for proper named entities</w:t>
      </w:r>
      <w:r w:rsidR="008D000A">
        <w:t xml:space="preserve"> had been created</w:t>
      </w:r>
      <w:r w:rsidRPr="00FC2FD1">
        <w:t>.</w:t>
      </w:r>
      <w:r>
        <w:t xml:space="preserve"> </w:t>
      </w:r>
      <w:r w:rsidR="000D6B2D">
        <w:t xml:space="preserve">The Table of </w:t>
      </w:r>
      <w:r w:rsidR="00AE6AB0">
        <w:t>g</w:t>
      </w:r>
      <w:r w:rsidR="000D6B2D">
        <w:t xml:space="preserve">eneric </w:t>
      </w:r>
      <w:r w:rsidR="00AE6AB0">
        <w:t>c</w:t>
      </w:r>
      <w:r w:rsidR="000D6B2D">
        <w:t xml:space="preserve">ategory </w:t>
      </w:r>
      <w:r w:rsidR="00AE6AB0">
        <w:t>t</w:t>
      </w:r>
      <w:r w:rsidR="000D6B2D">
        <w:t>reatment (Appendix)</w:t>
      </w:r>
      <w:r w:rsidR="00877353">
        <w:t xml:space="preserve"> </w:t>
      </w:r>
      <w:r w:rsidRPr="00FC2FD1">
        <w:t xml:space="preserve">shows the breakdown of how generic </w:t>
      </w:r>
      <w:r w:rsidR="005827CB">
        <w:t xml:space="preserve">subject </w:t>
      </w:r>
      <w:r w:rsidRPr="00FC2FD1">
        <w:t xml:space="preserve">categories </w:t>
      </w:r>
      <w:r>
        <w:t>we</w:t>
      </w:r>
      <w:r w:rsidRPr="00FC2FD1">
        <w:t>re treated.</w:t>
      </w:r>
    </w:p>
    <w:p w:rsidR="00296B84" w:rsidRDefault="00877353" w:rsidP="00296B84">
      <w:pPr>
        <w:spacing w:line="480" w:lineRule="auto"/>
        <w:ind w:firstLine="720"/>
      </w:pPr>
      <w:r>
        <w:t>In order to make a decision about how to treat each subject category, it was necessary to create a kind of checklist of three questions</w:t>
      </w:r>
      <w:r w:rsidR="000B7488">
        <w:t xml:space="preserve">. </w:t>
      </w:r>
      <w:r w:rsidR="00296B84" w:rsidRPr="00FC2FD1">
        <w:t xml:space="preserve">The </w:t>
      </w:r>
      <w:r w:rsidR="000B0877">
        <w:t>first</w:t>
      </w:r>
      <w:r w:rsidR="00296B84" w:rsidRPr="00FC2FD1">
        <w:t xml:space="preserve"> question </w:t>
      </w:r>
      <w:r>
        <w:t>on the checklist</w:t>
      </w:r>
      <w:r w:rsidR="00296B84" w:rsidRPr="00FC2FD1">
        <w:t xml:space="preserve"> was whether assigning the specific names in the </w:t>
      </w:r>
      <w:r>
        <w:t xml:space="preserve">subject </w:t>
      </w:r>
      <w:r w:rsidR="00296B84" w:rsidRPr="00FC2FD1">
        <w:t>category added unique information to the subject file.</w:t>
      </w:r>
      <w:r w:rsidR="00296B84">
        <w:t xml:space="preserve"> </w:t>
      </w:r>
      <w:r w:rsidR="00296B84" w:rsidRPr="00FC2FD1">
        <w:t>A generic term plus geographic qualifier has a high likelihood of resulting in exactly the same words as a generic heading with geographic subdivision.</w:t>
      </w:r>
      <w:r w:rsidR="00296B84">
        <w:t xml:space="preserve"> </w:t>
      </w:r>
      <w:r w:rsidR="000B0877">
        <w:t>F</w:t>
      </w:r>
      <w:r w:rsidR="008D000A">
        <w:t xml:space="preserve">or instance, </w:t>
      </w:r>
      <w:r w:rsidR="000B0877">
        <w:t>specific headings</w:t>
      </w:r>
      <w:r w:rsidR="008D000A">
        <w:t xml:space="preserve"> were created</w:t>
      </w:r>
      <w:r w:rsidR="000B0877">
        <w:t xml:space="preserve"> for</w:t>
      </w:r>
      <w:r w:rsidR="00296B84" w:rsidRPr="00FC2FD1">
        <w:t xml:space="preserve"> hotels, because most of the hotels had non-generic names:</w:t>
      </w:r>
      <w:r w:rsidR="00296B84">
        <w:t xml:space="preserve"> </w:t>
      </w:r>
      <w:r w:rsidR="008D000A">
        <w:t xml:space="preserve">for instance, Hotel Kennon </w:t>
      </w:r>
      <w:r w:rsidR="00296B84" w:rsidRPr="00FC2FD1">
        <w:t>adds the unique word “Kennon” to the subject file.</w:t>
      </w:r>
      <w:r w:rsidR="00296B84">
        <w:t xml:space="preserve"> </w:t>
      </w:r>
      <w:r w:rsidR="008D000A">
        <w:t>C</w:t>
      </w:r>
      <w:r w:rsidR="00296B84" w:rsidRPr="00FC2FD1">
        <w:t>ourthouses, which have generic nam</w:t>
      </w:r>
      <w:r w:rsidR="000B0877">
        <w:t xml:space="preserve">es like Pitt County Court House, </w:t>
      </w:r>
      <w:r w:rsidR="008D000A">
        <w:t xml:space="preserve">did not receive specific headings, </w:t>
      </w:r>
      <w:r w:rsidR="000B0877">
        <w:t>rather</w:t>
      </w:r>
      <w:r w:rsidR="00296B84" w:rsidRPr="00FC2FD1">
        <w:t xml:space="preserve"> </w:t>
      </w:r>
      <w:r w:rsidR="008D000A">
        <w:t>only</w:t>
      </w:r>
      <w:r w:rsidR="00296B84" w:rsidRPr="00FC2FD1">
        <w:t xml:space="preserve"> generic heading with the nearly identical words </w:t>
      </w:r>
      <w:r w:rsidR="00296B84">
        <w:t>“</w:t>
      </w:r>
      <w:r w:rsidR="008D000A">
        <w:t>Courthouses--North Carolina--</w:t>
      </w:r>
      <w:r w:rsidR="00296B84" w:rsidRPr="00FC2FD1">
        <w:t>Pitt County.</w:t>
      </w:r>
      <w:r w:rsidR="00296B84">
        <w:t xml:space="preserve">” </w:t>
      </w:r>
      <w:r w:rsidR="00296B84" w:rsidRPr="00FC2FD1">
        <w:t xml:space="preserve">Assigning </w:t>
      </w:r>
      <w:r>
        <w:t xml:space="preserve">exclusively </w:t>
      </w:r>
      <w:r w:rsidR="00296B84" w:rsidRPr="00FC2FD1">
        <w:t xml:space="preserve">generic headings only for </w:t>
      </w:r>
      <w:r>
        <w:t>courthouses</w:t>
      </w:r>
      <w:r w:rsidR="00296B84" w:rsidRPr="00FC2FD1">
        <w:t xml:space="preserve"> actually results in more </w:t>
      </w:r>
      <w:r w:rsidR="00296B84" w:rsidRPr="00FC2FD1">
        <w:lastRenderedPageBreak/>
        <w:t xml:space="preserve">consistency because it means </w:t>
      </w:r>
      <w:r w:rsidR="008D000A">
        <w:t>“</w:t>
      </w:r>
      <w:r w:rsidR="00296B84" w:rsidRPr="00FC2FD1">
        <w:t>courthouse</w:t>
      </w:r>
      <w:r w:rsidR="008D000A">
        <w:t>”</w:t>
      </w:r>
      <w:r w:rsidR="000B0877">
        <w:t xml:space="preserve"> is</w:t>
      </w:r>
      <w:r w:rsidR="00296B84" w:rsidRPr="00FC2FD1">
        <w:t xml:space="preserve"> always entered as a single compound word in the subject file, rather than as it appears on the postcard, where it is sometimes “courthouse” and sometimes “court house.”</w:t>
      </w:r>
      <w:r w:rsidR="00296B84">
        <w:t xml:space="preserve"> </w:t>
      </w:r>
      <w:r w:rsidR="000B0877">
        <w:t xml:space="preserve"> If there was judged to be a positive impact for user searching through</w:t>
      </w:r>
      <w:r w:rsidR="000B0877" w:rsidRPr="00FC2FD1">
        <w:t xml:space="preserve"> unique </w:t>
      </w:r>
      <w:r w:rsidR="000B0877">
        <w:t xml:space="preserve">and more consistent </w:t>
      </w:r>
      <w:r w:rsidR="000B0877" w:rsidRPr="00FC2FD1">
        <w:t xml:space="preserve">information </w:t>
      </w:r>
      <w:r w:rsidR="000B0877">
        <w:t>in</w:t>
      </w:r>
      <w:r w:rsidR="000B0877" w:rsidRPr="00FC2FD1">
        <w:t xml:space="preserve"> the subject file</w:t>
      </w:r>
      <w:r w:rsidR="000B0877">
        <w:t xml:space="preserve">, </w:t>
      </w:r>
      <w:r w:rsidR="00032144">
        <w:t>the cataloger was</w:t>
      </w:r>
      <w:r w:rsidR="000B0877">
        <w:t xml:space="preserve"> more likely to assign specific headings to a given subject category.</w:t>
      </w:r>
    </w:p>
    <w:p w:rsidR="00833873" w:rsidRDefault="00833873" w:rsidP="00296B84">
      <w:pPr>
        <w:spacing w:line="480" w:lineRule="auto"/>
        <w:ind w:firstLine="720"/>
      </w:pPr>
    </w:p>
    <w:p w:rsidR="00833873" w:rsidRDefault="00833873" w:rsidP="00833873">
      <w:pPr>
        <w:spacing w:line="480" w:lineRule="auto"/>
        <w:ind w:firstLine="0"/>
      </w:pPr>
      <w:r>
        <w:t>[Figure 4. Pitt County Court House]</w:t>
      </w:r>
    </w:p>
    <w:p w:rsidR="00833873" w:rsidRPr="00FC2FD1" w:rsidRDefault="00833873" w:rsidP="00296B84">
      <w:pPr>
        <w:spacing w:line="480" w:lineRule="auto"/>
        <w:ind w:firstLine="720"/>
      </w:pPr>
    </w:p>
    <w:p w:rsidR="00296B84" w:rsidRDefault="00296B84" w:rsidP="00296B84">
      <w:pPr>
        <w:spacing w:line="480" w:lineRule="auto"/>
        <w:ind w:firstLine="720"/>
      </w:pPr>
      <w:r w:rsidRPr="00FC2FD1">
        <w:t xml:space="preserve">The </w:t>
      </w:r>
      <w:r w:rsidR="000B0877">
        <w:t>second</w:t>
      </w:r>
      <w:r w:rsidRPr="00FC2FD1">
        <w:t xml:space="preserve"> question </w:t>
      </w:r>
      <w:r w:rsidR="00877353">
        <w:t>on the checklist</w:t>
      </w:r>
      <w:r w:rsidRPr="00FC2FD1">
        <w:t xml:space="preserve"> was whether this category was a focus of the postcard collection and of </w:t>
      </w:r>
      <w:r>
        <w:t>the</w:t>
      </w:r>
      <w:r w:rsidRPr="00FC2FD1">
        <w:t xml:space="preserve"> larger library collection.</w:t>
      </w:r>
      <w:r>
        <w:t xml:space="preserve"> </w:t>
      </w:r>
      <w:r w:rsidRPr="00FC2FD1">
        <w:t xml:space="preserve">That is, </w:t>
      </w:r>
      <w:r w:rsidR="000B0877">
        <w:t>are there</w:t>
      </w:r>
      <w:r w:rsidRPr="00FC2FD1">
        <w:t xml:space="preserve"> a significant number of images in this category, perhaps several images of each entity in the category, to keep organized?</w:t>
      </w:r>
      <w:r>
        <w:t xml:space="preserve"> </w:t>
      </w:r>
      <w:r w:rsidRPr="00FC2FD1">
        <w:t>If so, it was a point in favor of assigning specific subject headings in that category.</w:t>
      </w:r>
      <w:r>
        <w:t xml:space="preserve"> </w:t>
      </w:r>
      <w:r w:rsidRPr="00FC2FD1">
        <w:t xml:space="preserve">For </w:t>
      </w:r>
      <w:r>
        <w:t>example</w:t>
      </w:r>
      <w:r w:rsidRPr="00FC2FD1">
        <w:t>, the largest category of named entities is street names.</w:t>
      </w:r>
      <w:r>
        <w:t xml:space="preserve"> </w:t>
      </w:r>
      <w:r w:rsidRPr="00FC2FD1">
        <w:t xml:space="preserve">Thirty-seven distinct named streets are depicted in </w:t>
      </w:r>
      <w:r>
        <w:t xml:space="preserve">the </w:t>
      </w:r>
      <w:r w:rsidRPr="00FC2FD1">
        <w:t>postcards, several streets featuring in as many as eleven different postcards.</w:t>
      </w:r>
      <w:r>
        <w:t xml:space="preserve"> </w:t>
      </w:r>
      <w:r w:rsidRPr="00FC2FD1">
        <w:t>S</w:t>
      </w:r>
      <w:r w:rsidR="00355506">
        <w:t>pecific s</w:t>
      </w:r>
      <w:r w:rsidRPr="00FC2FD1">
        <w:t xml:space="preserve">treet name headings were </w:t>
      </w:r>
      <w:r w:rsidR="00355506">
        <w:t>assigned</w:t>
      </w:r>
      <w:r w:rsidRPr="00FC2FD1">
        <w:t xml:space="preserve"> because of the benefit perceived in linking directly to other images of the same street.</w:t>
      </w:r>
      <w:r>
        <w:t xml:space="preserve"> H</w:t>
      </w:r>
      <w:r w:rsidRPr="00FC2FD1">
        <w:t xml:space="preserve">aving only one image of a pier, </w:t>
      </w:r>
      <w:r w:rsidR="00355506">
        <w:t>however, the collection does not gain much in navigability by a specific name heading in this subject category.</w:t>
      </w:r>
      <w:r>
        <w:t xml:space="preserve"> </w:t>
      </w:r>
      <w:r w:rsidRPr="00FC2FD1">
        <w:t>If the library owned other materials by or about the entities in that category, it was also a point in favor of specific heading assignment.</w:t>
      </w:r>
      <w:r>
        <w:t xml:space="preserve"> </w:t>
      </w:r>
      <w:r w:rsidR="00355506">
        <w:t xml:space="preserve">For instance, </w:t>
      </w:r>
      <w:r w:rsidR="008D000A">
        <w:t xml:space="preserve">because the library collection includes many histories of local churches, </w:t>
      </w:r>
      <w:r w:rsidR="00032144">
        <w:t>it was useful</w:t>
      </w:r>
      <w:r w:rsidRPr="00FC2FD1">
        <w:t xml:space="preserve"> to </w:t>
      </w:r>
      <w:r w:rsidR="00355506">
        <w:t>assign specific headings for</w:t>
      </w:r>
      <w:r w:rsidRPr="00FC2FD1">
        <w:t xml:space="preserve"> churches</w:t>
      </w:r>
      <w:r w:rsidR="008D000A">
        <w:t xml:space="preserve"> in </w:t>
      </w:r>
      <w:r w:rsidRPr="00FC2FD1">
        <w:t xml:space="preserve">order to integrate the postcard collection with </w:t>
      </w:r>
      <w:r>
        <w:t>the</w:t>
      </w:r>
      <w:r w:rsidRPr="00FC2FD1">
        <w:t xml:space="preserve"> existing </w:t>
      </w:r>
      <w:r w:rsidR="008D000A">
        <w:t xml:space="preserve">library </w:t>
      </w:r>
      <w:r w:rsidRPr="00FC2FD1">
        <w:t>collection.</w:t>
      </w:r>
      <w:r>
        <w:t xml:space="preserve"> </w:t>
      </w:r>
    </w:p>
    <w:p w:rsidR="00355506" w:rsidRDefault="008D000A" w:rsidP="00355506">
      <w:pPr>
        <w:spacing w:line="480" w:lineRule="auto"/>
        <w:ind w:firstLine="720"/>
      </w:pPr>
      <w:r>
        <w:t>Finally</w:t>
      </w:r>
      <w:r w:rsidR="000B0877" w:rsidRPr="00FC2FD1">
        <w:t xml:space="preserve">, </w:t>
      </w:r>
      <w:r w:rsidR="000B0877">
        <w:t>were</w:t>
      </w:r>
      <w:r w:rsidR="000B0877" w:rsidRPr="00FC2FD1">
        <w:t xml:space="preserve"> the names in this </w:t>
      </w:r>
      <w:r w:rsidR="000B0877">
        <w:t xml:space="preserve">subject </w:t>
      </w:r>
      <w:r w:rsidR="000B0877" w:rsidRPr="00FC2FD1">
        <w:t>category actual proper names?</w:t>
      </w:r>
      <w:r w:rsidR="000B0877">
        <w:t xml:space="preserve"> </w:t>
      </w:r>
      <w:r w:rsidR="000B0877" w:rsidRPr="00FC2FD1">
        <w:t>Some names are clearly proper names: for example, St. Peter’s Episcopal Church</w:t>
      </w:r>
      <w:r w:rsidR="000B0877">
        <w:t>, b</w:t>
      </w:r>
      <w:r w:rsidR="000B0877" w:rsidRPr="00FC2FD1">
        <w:t>ut what about Old Tar River Bridge?</w:t>
      </w:r>
      <w:r w:rsidR="000B0877">
        <w:t xml:space="preserve"> </w:t>
      </w:r>
      <w:r w:rsidR="000B0877" w:rsidRPr="00FC2FD1">
        <w:t>Is that the name of a bridge, or simply a description of a bridge that goes over the Tar River?</w:t>
      </w:r>
      <w:r w:rsidR="000B0877">
        <w:t xml:space="preserve"> </w:t>
      </w:r>
      <w:r w:rsidR="000B0877" w:rsidRPr="00FC2FD1">
        <w:t>The “name” is capitalized on the postcard, but that does not necessarily signify a proper name.</w:t>
      </w:r>
      <w:r w:rsidR="000B0877">
        <w:t xml:space="preserve"> </w:t>
      </w:r>
      <w:r w:rsidR="000B0877" w:rsidRPr="00FC2FD1">
        <w:rPr>
          <w:i/>
        </w:rPr>
        <w:t xml:space="preserve">Subject Cataloging Manual </w:t>
      </w:r>
      <w:r w:rsidR="000B0877" w:rsidRPr="00FC2FD1">
        <w:t xml:space="preserve">H 1334 instructs catalogers: “Do not formulate a heading for a named structure that consists solely of a generic term with a geographic qualifier unless there is evidence that this is also the </w:t>
      </w:r>
      <w:r w:rsidR="000B0877" w:rsidRPr="00FC2FD1">
        <w:rPr>
          <w:i/>
          <w:iCs/>
        </w:rPr>
        <w:t>proper</w:t>
      </w:r>
      <w:r w:rsidR="000B0877" w:rsidRPr="00FC2FD1">
        <w:t xml:space="preserve"> </w:t>
      </w:r>
      <w:r w:rsidR="000B0877" w:rsidRPr="00FC2FD1">
        <w:lastRenderedPageBreak/>
        <w:t>name of the structure.”</w:t>
      </w:r>
      <w:r w:rsidR="000B0877">
        <w:t>[</w:t>
      </w:r>
      <w:r w:rsidR="00E43B90">
        <w:t>37</w:t>
      </w:r>
      <w:r w:rsidR="000B0877">
        <w:t xml:space="preserve">] </w:t>
      </w:r>
      <w:r w:rsidR="000B0877" w:rsidRPr="00FC2FD1">
        <w:t xml:space="preserve">Being </w:t>
      </w:r>
      <w:r w:rsidR="000B0877">
        <w:t xml:space="preserve">certain it was a proper name </w:t>
      </w:r>
      <w:r w:rsidR="000B0877" w:rsidRPr="00FC2FD1">
        <w:t>would probably require prohibitively extensive research into city records, and even then it may be difficult to be positive.</w:t>
      </w:r>
      <w:r w:rsidR="000B0877">
        <w:t xml:space="preserve"> </w:t>
      </w:r>
      <w:r w:rsidR="000B0877" w:rsidRPr="00EC4324">
        <w:rPr>
          <w:i/>
        </w:rPr>
        <w:t>CCO</w:t>
      </w:r>
      <w:r w:rsidR="00EC4324">
        <w:rPr>
          <w:i/>
        </w:rPr>
        <w:t xml:space="preserve"> </w:t>
      </w:r>
      <w:r w:rsidR="00EC4324" w:rsidRPr="00EC4324">
        <w:t>warns</w:t>
      </w:r>
      <w:r w:rsidR="000B0877" w:rsidRPr="00FC2FD1">
        <w:t>: “Catalogers should never use a specific term unless they have the research, documentation, or ex</w:t>
      </w:r>
      <w:r w:rsidR="0031190E">
        <w:t>pertise to support that use.”[</w:t>
      </w:r>
      <w:r w:rsidR="00D55141">
        <w:t>38</w:t>
      </w:r>
      <w:r w:rsidR="0056346D">
        <w:t xml:space="preserve">] </w:t>
      </w:r>
      <w:r w:rsidR="003D5815">
        <w:t>This last item on the checklist shows how</w:t>
      </w:r>
      <w:r w:rsidR="00EC4324">
        <w:t>,</w:t>
      </w:r>
      <w:r w:rsidR="003D5815">
        <w:t xml:space="preserve"> in addition to considerations of impact on user retrieval, decisions about the treatment of particular subject categories must be guided by </w:t>
      </w:r>
      <w:r w:rsidR="00355506" w:rsidRPr="00FC2FD1">
        <w:t>practical concerns regarding the amount of research involved</w:t>
      </w:r>
      <w:r w:rsidR="00355506">
        <w:t xml:space="preserve"> in specific heading creation</w:t>
      </w:r>
      <w:r w:rsidR="003D5815">
        <w:t xml:space="preserve">, as well as a desire to avoid introducing </w:t>
      </w:r>
      <w:r w:rsidR="004A2DBC">
        <w:t>misleading</w:t>
      </w:r>
      <w:r w:rsidR="003D5815">
        <w:t xml:space="preserve"> data into the repository.</w:t>
      </w:r>
    </w:p>
    <w:p w:rsidR="004A2DBC" w:rsidRDefault="00EC4324" w:rsidP="00355506">
      <w:pPr>
        <w:spacing w:line="480" w:lineRule="auto"/>
        <w:ind w:firstLine="720"/>
      </w:pPr>
      <w:r>
        <w:t>When in doubt</w:t>
      </w:r>
      <w:r w:rsidR="00296B84" w:rsidRPr="00FC2FD1">
        <w:t xml:space="preserve"> </w:t>
      </w:r>
      <w:r w:rsidR="00032144">
        <w:t>the cataloger</w:t>
      </w:r>
      <w:r w:rsidR="00296B84" w:rsidRPr="00FC2FD1">
        <w:t xml:space="preserve"> tended not to </w:t>
      </w:r>
      <w:r w:rsidR="0035547B">
        <w:t>create</w:t>
      </w:r>
      <w:r w:rsidR="00296B84" w:rsidRPr="00FC2FD1">
        <w:t xml:space="preserve"> specific headings, </w:t>
      </w:r>
      <w:r>
        <w:t>under</w:t>
      </w:r>
      <w:r w:rsidR="00296B84" w:rsidRPr="00FC2FD1">
        <w:t xml:space="preserve"> the assumption that should circumstances change, for instance if </w:t>
      </w:r>
      <w:r>
        <w:t>the library should</w:t>
      </w:r>
      <w:r w:rsidR="00296B84" w:rsidRPr="00FC2FD1">
        <w:t xml:space="preserve"> digitiz</w:t>
      </w:r>
      <w:r>
        <w:t>e</w:t>
      </w:r>
      <w:r w:rsidR="00296B84" w:rsidRPr="00FC2FD1">
        <w:t xml:space="preserve"> a whole collection of images of university buildings, specific subject analysis </w:t>
      </w:r>
      <w:r>
        <w:t xml:space="preserve">could then be done </w:t>
      </w:r>
      <w:r w:rsidR="00296B84" w:rsidRPr="00FC2FD1">
        <w:t>on categories initially left generic.</w:t>
      </w:r>
      <w:r w:rsidR="00296B84">
        <w:t xml:space="preserve"> </w:t>
      </w:r>
      <w:r w:rsidR="00296B84" w:rsidRPr="00FC2FD1">
        <w:t xml:space="preserve">A vital complement to Younger’s concept of utility is her assertion that cataloging of monographs should be </w:t>
      </w:r>
      <w:r w:rsidR="00296B84">
        <w:t>viewed</w:t>
      </w:r>
      <w:r w:rsidR="00296B84" w:rsidRPr="00FC2FD1">
        <w:t xml:space="preserve"> as more of a dynamic, iterative process than it traditionally has been.</w:t>
      </w:r>
      <w:r w:rsidR="00296B84">
        <w:t xml:space="preserve"> </w:t>
      </w:r>
      <w:r w:rsidR="00296B84" w:rsidRPr="00FC2FD1">
        <w:t>“Authority control …,” Younger writes, “requires continual evaluation of how a name fits into the la</w:t>
      </w:r>
      <w:r w:rsidR="0031190E">
        <w:t>rger context of the catalog.”[</w:t>
      </w:r>
      <w:r w:rsidR="00D55141">
        <w:t>39</w:t>
      </w:r>
      <w:r w:rsidR="00296B84" w:rsidRPr="008E6B3F">
        <w:t xml:space="preserve">] This iterative process is perhaps more compatible with digital repository metadata creation, in which standards are more flexible and policies more subject to </w:t>
      </w:r>
      <w:r>
        <w:t>continual</w:t>
      </w:r>
      <w:r w:rsidR="00296B84" w:rsidRPr="008E6B3F">
        <w:t xml:space="preserve"> revision</w:t>
      </w:r>
      <w:r>
        <w:t>,</w:t>
      </w:r>
      <w:r w:rsidR="00296B84" w:rsidRPr="008E6B3F">
        <w:t xml:space="preserve"> than they have been in traditional monograph cataloging</w:t>
      </w:r>
      <w:r w:rsidR="000B7488">
        <w:t xml:space="preserve">. </w:t>
      </w:r>
    </w:p>
    <w:p w:rsidR="00296B84" w:rsidRPr="00FC2FD1" w:rsidRDefault="00032144" w:rsidP="00355506">
      <w:pPr>
        <w:spacing w:line="480" w:lineRule="auto"/>
        <w:ind w:firstLine="720"/>
      </w:pPr>
      <w:r>
        <w:t xml:space="preserve">As an </w:t>
      </w:r>
      <w:r w:rsidR="004A2DBC">
        <w:t>attempt to meet the challenge of the high volume of authority work associated with this digital project</w:t>
      </w:r>
      <w:r>
        <w:t>,</w:t>
      </w:r>
      <w:r w:rsidR="004A2DBC">
        <w:t xml:space="preserve"> a checklist of considerations</w:t>
      </w:r>
      <w:r>
        <w:t xml:space="preserve"> was used</w:t>
      </w:r>
      <w:r w:rsidR="004A2DBC">
        <w:t xml:space="preserve"> in order to select various subject categories for which to create specific name subject headings</w:t>
      </w:r>
      <w:r w:rsidR="000B7488">
        <w:t xml:space="preserve">. </w:t>
      </w:r>
      <w:r w:rsidR="004A2DBC">
        <w:t>Nevertheless the volume of authority work produced by such a relatively small project was significant</w:t>
      </w:r>
      <w:r w:rsidR="000B7488">
        <w:t xml:space="preserve">. </w:t>
      </w:r>
      <w:r w:rsidR="004A2DBC">
        <w:t>The exact approach would probably not be scalable to larger projects, at least not without substantial increases in committed personnel</w:t>
      </w:r>
      <w:r w:rsidR="000B7488">
        <w:t xml:space="preserve">. </w:t>
      </w:r>
      <w:r w:rsidR="004A2DBC">
        <w:t xml:space="preserve">While the use </w:t>
      </w:r>
      <w:r w:rsidR="00EC4324">
        <w:t>made</w:t>
      </w:r>
      <w:r w:rsidR="004A2DBC">
        <w:t xml:space="preserve"> of the checklist may differ from project to project</w:t>
      </w:r>
      <w:r w:rsidR="00006BA2">
        <w:t xml:space="preserve">, the process of separating the images into generic subject categories and the checklist itself remain </w:t>
      </w:r>
      <w:r w:rsidR="004A2DBC">
        <w:t xml:space="preserve">valuable </w:t>
      </w:r>
      <w:r w:rsidR="00006BA2">
        <w:t xml:space="preserve">tools in meeting the challenge of the high </w:t>
      </w:r>
      <w:r w:rsidR="00440374">
        <w:t xml:space="preserve">ratio of </w:t>
      </w:r>
      <w:r w:rsidR="00006BA2">
        <w:t>new heading</w:t>
      </w:r>
      <w:r w:rsidR="00440374">
        <w:t>s</w:t>
      </w:r>
      <w:r w:rsidR="00006BA2">
        <w:t xml:space="preserve"> to image description</w:t>
      </w:r>
      <w:r w:rsidR="00440374">
        <w:t>s</w:t>
      </w:r>
      <w:r w:rsidR="00006BA2">
        <w:t xml:space="preserve"> that is typical for these types of projects.</w:t>
      </w:r>
    </w:p>
    <w:p w:rsidR="00E74DC8" w:rsidRDefault="00E74DC8" w:rsidP="00296B84">
      <w:pPr>
        <w:spacing w:line="480" w:lineRule="auto"/>
        <w:ind w:firstLine="720"/>
      </w:pPr>
    </w:p>
    <w:p w:rsidR="00C14A36" w:rsidRDefault="0031190E" w:rsidP="00693142">
      <w:pPr>
        <w:spacing w:line="480" w:lineRule="auto"/>
        <w:ind w:firstLine="0"/>
      </w:pPr>
      <w:r>
        <w:t>&lt;2</w:t>
      </w:r>
      <w:r w:rsidR="00693142">
        <w:t xml:space="preserve">&gt;Challenge 3: </w:t>
      </w:r>
      <w:r w:rsidR="00B24137">
        <w:t>I</w:t>
      </w:r>
      <w:r w:rsidR="00093E83">
        <w:t xml:space="preserve">nefficiency </w:t>
      </w:r>
      <w:r w:rsidR="00693142">
        <w:t>caused</w:t>
      </w:r>
      <w:r w:rsidR="00093E83">
        <w:t xml:space="preserve"> by lack of authority </w:t>
      </w:r>
      <w:r w:rsidR="00693142">
        <w:t>data in the repository database</w:t>
      </w:r>
    </w:p>
    <w:p w:rsidR="00C14A36" w:rsidRDefault="00C14A36" w:rsidP="00C14A36">
      <w:pPr>
        <w:spacing w:line="480" w:lineRule="auto"/>
        <w:ind w:firstLine="720"/>
      </w:pPr>
    </w:p>
    <w:p w:rsidR="00CE7562" w:rsidRPr="00FC2FD1" w:rsidRDefault="00EC4324" w:rsidP="00CE7562">
      <w:pPr>
        <w:spacing w:line="480" w:lineRule="auto"/>
        <w:ind w:firstLine="720"/>
      </w:pPr>
      <w:r>
        <w:t>T</w:t>
      </w:r>
      <w:r w:rsidR="0023412A">
        <w:t xml:space="preserve">hough many new headings were created for named entities, </w:t>
      </w:r>
      <w:r w:rsidR="00440374">
        <w:t>no actual authority reco</w:t>
      </w:r>
      <w:r w:rsidR="0023412A">
        <w:t>rds were created</w:t>
      </w:r>
      <w:r w:rsidR="00440374">
        <w:t xml:space="preserve"> because there was no structure to accommodate them in the</w:t>
      </w:r>
      <w:r w:rsidR="00CE7562">
        <w:t xml:space="preserve"> repository database</w:t>
      </w:r>
      <w:r w:rsidR="000B7488">
        <w:t xml:space="preserve">. </w:t>
      </w:r>
      <w:r w:rsidR="00CE7562">
        <w:t xml:space="preserve">While initially </w:t>
      </w:r>
      <w:r w:rsidR="00440374">
        <w:t xml:space="preserve">a time savings, this </w:t>
      </w:r>
      <w:r w:rsidR="00CE7562">
        <w:t>omission ultimately results in inefficiencies that constitute an additional challenge for the cataloger</w:t>
      </w:r>
      <w:r w:rsidR="000B7488">
        <w:t xml:space="preserve">. </w:t>
      </w:r>
      <w:r w:rsidR="00CE7562">
        <w:t>A lack of structure for authority data is not</w:t>
      </w:r>
      <w:r w:rsidR="00CE7562" w:rsidRPr="00FC2FD1">
        <w:t xml:space="preserve"> </w:t>
      </w:r>
      <w:r>
        <w:t>a</w:t>
      </w:r>
      <w:r w:rsidR="00CE7562" w:rsidRPr="00FC2FD1">
        <w:t xml:space="preserve">typical for metadata projects, where </w:t>
      </w:r>
      <w:r w:rsidR="00CE7562">
        <w:t xml:space="preserve">most </w:t>
      </w:r>
      <w:r w:rsidR="00CE7562" w:rsidRPr="00FC2FD1">
        <w:t>of the emph</w:t>
      </w:r>
      <w:r w:rsidR="00CE7562">
        <w:t>asis is on resource description</w:t>
      </w:r>
      <w:r w:rsidR="00CE7562" w:rsidRPr="00FC2FD1">
        <w:t>.</w:t>
      </w:r>
      <w:r w:rsidR="00CE7562">
        <w:t xml:space="preserve"> </w:t>
      </w:r>
      <w:r w:rsidR="00CE7562" w:rsidRPr="00FC2FD1">
        <w:t xml:space="preserve">In the </w:t>
      </w:r>
      <w:r w:rsidR="00CE7562">
        <w:t xml:space="preserve">non-MARC </w:t>
      </w:r>
      <w:r w:rsidR="00CE7562" w:rsidRPr="00FC2FD1">
        <w:t>metadata context, “do</w:t>
      </w:r>
      <w:r w:rsidR="00CE7562">
        <w:t>ing</w:t>
      </w:r>
      <w:r w:rsidR="00CE7562" w:rsidRPr="00FC2FD1">
        <w:t xml:space="preserve"> authority control” is usually used to mean</w:t>
      </w:r>
      <w:r w:rsidR="00CE7562">
        <w:t xml:space="preserve"> merely</w:t>
      </w:r>
      <w:r w:rsidR="00CE7562" w:rsidRPr="00FC2FD1">
        <w:t xml:space="preserve"> “us</w:t>
      </w:r>
      <w:r w:rsidR="00CE7562">
        <w:t xml:space="preserve">ing </w:t>
      </w:r>
      <w:r w:rsidR="00CE7562" w:rsidRPr="00FC2FD1">
        <w:t>controlled vocabulary.”</w:t>
      </w:r>
      <w:r w:rsidR="00CE7562">
        <w:t xml:space="preserve"> </w:t>
      </w:r>
      <w:r w:rsidR="00CE7562" w:rsidRPr="00FC2FD1">
        <w:t>However, this is akin to doing authority work without the authority record.</w:t>
      </w:r>
      <w:r w:rsidR="00CE7562">
        <w:t xml:space="preserve"> </w:t>
      </w:r>
      <w:r w:rsidR="00CE7562" w:rsidRPr="00FC2FD1">
        <w:t>In traditional bibliographic databases with authority control, the data in an authority record includes not only the authorized form of the heading, but also cross references to variants of the name:</w:t>
      </w:r>
      <w:r w:rsidR="00CE7562">
        <w:t xml:space="preserve"> </w:t>
      </w:r>
      <w:r w:rsidR="00CE7562" w:rsidRPr="00FC2FD1">
        <w:t>in the case of corporate bodies to earlier and later names, and in the case of headings established under subject conventions, to broader or narrower terms.</w:t>
      </w:r>
      <w:r w:rsidR="00CE7562">
        <w:t xml:space="preserve"> </w:t>
      </w:r>
      <w:r w:rsidR="00CE7562" w:rsidRPr="00FC2FD1">
        <w:t>It also includes additional information about the entity represented by the heading, useful when determining the appropriateness of a heading to a given bibliographic record, and references to the sources of information used when establishing the heading.</w:t>
      </w:r>
      <w:r w:rsidR="00CE7562">
        <w:t xml:space="preserve"> </w:t>
      </w:r>
      <w:r w:rsidR="00CE7562" w:rsidRPr="00FC2FD1">
        <w:t xml:space="preserve">Lacking authority records, </w:t>
      </w:r>
      <w:r w:rsidR="00705DE2">
        <w:t>the library’s</w:t>
      </w:r>
      <w:r w:rsidR="00CE7562" w:rsidRPr="00FC2FD1">
        <w:t xml:space="preserve"> repository lacks this data.</w:t>
      </w:r>
    </w:p>
    <w:p w:rsidR="00B24137" w:rsidRPr="00FC2FD1" w:rsidRDefault="00B24137" w:rsidP="00447CD2">
      <w:pPr>
        <w:spacing w:line="480" w:lineRule="auto"/>
        <w:ind w:firstLine="720"/>
      </w:pPr>
      <w:r w:rsidRPr="00FC2FD1">
        <w:t xml:space="preserve">According to the </w:t>
      </w:r>
      <w:r w:rsidRPr="00FC2FD1">
        <w:rPr>
          <w:i/>
        </w:rPr>
        <w:t>Functional Requirements for Authority Data</w:t>
      </w:r>
      <w:r w:rsidRPr="00FC2FD1">
        <w:t xml:space="preserve"> (</w:t>
      </w:r>
      <w:r w:rsidRPr="000C59EE">
        <w:rPr>
          <w:i/>
        </w:rPr>
        <w:t>FRAD</w:t>
      </w:r>
      <w:r w:rsidRPr="00FC2FD1">
        <w:t xml:space="preserve">), a conceptual model developed to accompany the </w:t>
      </w:r>
      <w:r w:rsidRPr="00FC2FD1">
        <w:rPr>
          <w:i/>
        </w:rPr>
        <w:t>Functional Requirements for Bibliographic Records</w:t>
      </w:r>
      <w:r w:rsidRPr="00FC2FD1">
        <w:t xml:space="preserve"> (</w:t>
      </w:r>
      <w:r w:rsidRPr="000C59EE">
        <w:rPr>
          <w:i/>
        </w:rPr>
        <w:t>FRBR</w:t>
      </w:r>
      <w:r w:rsidRPr="00FC2FD1">
        <w:t xml:space="preserve">), </w:t>
      </w:r>
      <w:r w:rsidR="00447CD2">
        <w:t>a</w:t>
      </w:r>
      <w:r w:rsidRPr="00FC2FD1">
        <w:t xml:space="preserve">uthority data has five functions, some aiding </w:t>
      </w:r>
      <w:r w:rsidR="002B1469">
        <w:t>the cataloger and some the user.</w:t>
      </w:r>
      <w:r w:rsidR="00D55141">
        <w:t>[40]</w:t>
      </w:r>
      <w:r w:rsidR="002B1469">
        <w:t xml:space="preserve"> Authority data should:</w:t>
      </w:r>
      <w:r w:rsidRPr="00FC2FD1">
        <w:t xml:space="preserve"> </w:t>
      </w:r>
    </w:p>
    <w:p w:rsidR="00B24137" w:rsidRPr="00FC2FD1" w:rsidRDefault="00517A50" w:rsidP="00B24137">
      <w:pPr>
        <w:spacing w:line="480" w:lineRule="auto"/>
        <w:ind w:left="720" w:firstLine="0"/>
      </w:pPr>
      <w:r>
        <w:t>1. d</w:t>
      </w:r>
      <w:r w:rsidR="00B24137" w:rsidRPr="00FC2FD1">
        <w:t>ocument decisions for the catal</w:t>
      </w:r>
      <w:r>
        <w:t>oger;</w:t>
      </w:r>
    </w:p>
    <w:p w:rsidR="00B24137" w:rsidRPr="00FC2FD1" w:rsidRDefault="00517A50" w:rsidP="00B24137">
      <w:pPr>
        <w:spacing w:line="480" w:lineRule="auto"/>
        <w:ind w:left="720" w:firstLine="0"/>
      </w:pPr>
      <w:r>
        <w:t>2. s</w:t>
      </w:r>
      <w:r w:rsidR="00B24137" w:rsidRPr="00FC2FD1">
        <w:t>erve as a reference tool for the cataloger creating more descriptions</w:t>
      </w:r>
      <w:r>
        <w:t>;</w:t>
      </w:r>
      <w:r w:rsidR="00B24137" w:rsidRPr="00FC2FD1">
        <w:t xml:space="preserve"> </w:t>
      </w:r>
    </w:p>
    <w:p w:rsidR="00B24137" w:rsidRPr="00FC2FD1" w:rsidRDefault="002B1469" w:rsidP="00B24137">
      <w:pPr>
        <w:spacing w:line="480" w:lineRule="auto"/>
        <w:ind w:left="720" w:firstLine="0"/>
      </w:pPr>
      <w:r>
        <w:t xml:space="preserve">3. </w:t>
      </w:r>
      <w:r w:rsidR="00517A50">
        <w:t>c</w:t>
      </w:r>
      <w:r w:rsidR="00B24137" w:rsidRPr="00FC2FD1">
        <w:t>ontrol the form of access points so that a user may find all relevant item</w:t>
      </w:r>
      <w:r w:rsidR="00517A50">
        <w:t>s under a certain access point;</w:t>
      </w:r>
    </w:p>
    <w:p w:rsidR="00B24137" w:rsidRPr="00FC2FD1" w:rsidRDefault="00517A50" w:rsidP="00B24137">
      <w:pPr>
        <w:spacing w:line="480" w:lineRule="auto"/>
        <w:ind w:left="720" w:firstLine="0"/>
      </w:pPr>
      <w:r>
        <w:t>4. s</w:t>
      </w:r>
      <w:r w:rsidR="00B24137" w:rsidRPr="00FC2FD1">
        <w:t xml:space="preserve">upport access to the bibliographic file by the user, e.g. via cross-references </w:t>
      </w:r>
      <w:r>
        <w:t>and additional information;</w:t>
      </w:r>
    </w:p>
    <w:p w:rsidR="00B24137" w:rsidRDefault="00517A50" w:rsidP="00B24137">
      <w:pPr>
        <w:spacing w:line="480" w:lineRule="auto"/>
        <w:ind w:left="720" w:firstLine="0"/>
      </w:pPr>
      <w:r>
        <w:t>5. l</w:t>
      </w:r>
      <w:r w:rsidR="00B24137" w:rsidRPr="00FC2FD1">
        <w:t>ink bibliographic and authority records for automatic bibliographic file maintenance.</w:t>
      </w:r>
      <w:r w:rsidR="0056346D">
        <w:t>[</w:t>
      </w:r>
      <w:r w:rsidR="00D55141">
        <w:t>41</w:t>
      </w:r>
      <w:r w:rsidR="00B24137" w:rsidRPr="00FC2FD1">
        <w:t>]</w:t>
      </w:r>
      <w:r w:rsidR="00B24137">
        <w:t xml:space="preserve"> </w:t>
      </w:r>
    </w:p>
    <w:p w:rsidR="00447CD2" w:rsidRDefault="00447CD2" w:rsidP="00103E5A">
      <w:pPr>
        <w:spacing w:line="480" w:lineRule="auto"/>
        <w:ind w:firstLine="0"/>
      </w:pPr>
      <w:r>
        <w:t xml:space="preserve">In </w:t>
      </w:r>
      <w:r w:rsidR="00103E5A">
        <w:t xml:space="preserve">the metadata implementation of the Eastern North Carolina Postcard </w:t>
      </w:r>
      <w:r w:rsidR="00B935AC">
        <w:t>Collection</w:t>
      </w:r>
      <w:r w:rsidR="00103E5A">
        <w:t>, only the third function listed above is fully executed</w:t>
      </w:r>
      <w:r w:rsidR="000B7488">
        <w:t xml:space="preserve">. </w:t>
      </w:r>
      <w:r w:rsidR="00696C96">
        <w:t xml:space="preserve">Though </w:t>
      </w:r>
      <w:r w:rsidR="00B740F6">
        <w:t xml:space="preserve">some work-arounds </w:t>
      </w:r>
      <w:r w:rsidR="00696C96">
        <w:t>partially</w:t>
      </w:r>
      <w:r w:rsidR="00B740F6">
        <w:t xml:space="preserve"> fulfill the other four functions and </w:t>
      </w:r>
      <w:r w:rsidR="00B740F6">
        <w:lastRenderedPageBreak/>
        <w:t>mitigate the effect of the lack of an authority file, inefficiencies remain that could be eliminated by the introduction of an actual authority file. These in</w:t>
      </w:r>
      <w:r w:rsidR="0043026E">
        <w:t>efficiencies are a major source</w:t>
      </w:r>
      <w:r w:rsidR="00B740F6">
        <w:t xml:space="preserve"> of challenge for</w:t>
      </w:r>
      <w:r w:rsidR="003F38E2">
        <w:t xml:space="preserve"> the</w:t>
      </w:r>
      <w:r w:rsidR="00B740F6">
        <w:t xml:space="preserve"> </w:t>
      </w:r>
      <w:r w:rsidR="0043026E">
        <w:t xml:space="preserve">user as well as </w:t>
      </w:r>
      <w:r w:rsidR="00B740F6">
        <w:t>the cataloger</w:t>
      </w:r>
      <w:r w:rsidR="0043026E">
        <w:t>.</w:t>
      </w:r>
    </w:p>
    <w:p w:rsidR="000E664A" w:rsidRDefault="003F38E2" w:rsidP="000E664A">
      <w:pPr>
        <w:spacing w:line="480" w:lineRule="auto"/>
        <w:ind w:firstLine="720"/>
      </w:pPr>
      <w:r>
        <w:t>One example of a work-around addresses the function</w:t>
      </w:r>
      <w:r w:rsidR="00107871">
        <w:t>s</w:t>
      </w:r>
      <w:r>
        <w:t xml:space="preserve"> of </w:t>
      </w:r>
      <w:r w:rsidR="00447CD2" w:rsidRPr="00FC2FD1">
        <w:t>document</w:t>
      </w:r>
      <w:r>
        <w:t>ing cataloging decisions and serving</w:t>
      </w:r>
      <w:r w:rsidR="00447CD2" w:rsidRPr="00FC2FD1">
        <w:t xml:space="preserve"> as a reference tool for future cataloging.</w:t>
      </w:r>
      <w:r w:rsidR="00447CD2">
        <w:t xml:space="preserve"> </w:t>
      </w:r>
      <w:r>
        <w:t xml:space="preserve">In the absence of MARC authority field 670, </w:t>
      </w:r>
      <w:r w:rsidR="00032144">
        <w:t>records in the repository include</w:t>
      </w:r>
      <w:r w:rsidR="00447CD2" w:rsidRPr="00FC2FD1">
        <w:t xml:space="preserve"> an addition</w:t>
      </w:r>
      <w:r w:rsidR="00032144">
        <w:t>al note field</w:t>
      </w:r>
      <w:r w:rsidR="00447CD2" w:rsidRPr="00FC2FD1">
        <w:t xml:space="preserve"> </w:t>
      </w:r>
      <w:r w:rsidR="00696C96">
        <w:t>in which</w:t>
      </w:r>
      <w:r w:rsidR="00447CD2" w:rsidRPr="00FC2FD1">
        <w:t xml:space="preserve"> </w:t>
      </w:r>
      <w:r w:rsidR="00696C96">
        <w:t xml:space="preserve">are cited </w:t>
      </w:r>
      <w:r w:rsidR="00447CD2" w:rsidRPr="00FC2FD1">
        <w:t>outside sources consulted in creating the description and access points for each image.</w:t>
      </w:r>
      <w:r w:rsidR="00447CD2">
        <w:t xml:space="preserve"> </w:t>
      </w:r>
      <w:r w:rsidR="00696C96">
        <w:t>F</w:t>
      </w:r>
      <w:r w:rsidR="00447CD2" w:rsidRPr="00FC2FD1">
        <w:t xml:space="preserve">or instance, in the case of </w:t>
      </w:r>
      <w:r w:rsidR="00567AF2">
        <w:t>the</w:t>
      </w:r>
      <w:r w:rsidR="00447CD2" w:rsidRPr="00FC2FD1">
        <w:t xml:space="preserve"> image of </w:t>
      </w:r>
      <w:r w:rsidR="00567AF2">
        <w:t xml:space="preserve">the Lumina Pavilion, </w:t>
      </w:r>
      <w:r w:rsidR="00447CD2" w:rsidRPr="00FC2FD1">
        <w:t xml:space="preserve">this note field </w:t>
      </w:r>
      <w:r w:rsidR="00567AF2">
        <w:t>contains</w:t>
      </w:r>
      <w:r w:rsidR="00447CD2" w:rsidRPr="00FC2FD1">
        <w:t xml:space="preserve"> a citation to the history of </w:t>
      </w:r>
      <w:r w:rsidR="00567AF2">
        <w:t>Wrightsville Beach</w:t>
      </w:r>
      <w:r w:rsidR="00447CD2" w:rsidRPr="00FC2FD1">
        <w:t xml:space="preserve"> consulted to confirm the name of the </w:t>
      </w:r>
      <w:r w:rsidR="00567AF2">
        <w:t>pavilion</w:t>
      </w:r>
      <w:r w:rsidR="00447CD2" w:rsidRPr="00FC2FD1">
        <w:t>.</w:t>
      </w:r>
      <w:r w:rsidR="00447CD2">
        <w:t xml:space="preserve"> </w:t>
      </w:r>
      <w:r w:rsidR="00447CD2" w:rsidRPr="00FC2FD1">
        <w:t xml:space="preserve">This note is only used for citations of outside reference sources, not simply to justify the form of the name, as </w:t>
      </w:r>
      <w:r w:rsidR="00567AF2">
        <w:t>would be the case for</w:t>
      </w:r>
      <w:r w:rsidR="00447CD2" w:rsidRPr="00FC2FD1">
        <w:t xml:space="preserve"> MARC field 670</w:t>
      </w:r>
      <w:r w:rsidR="000B7488">
        <w:t xml:space="preserve">. </w:t>
      </w:r>
      <w:r w:rsidR="00567AF2">
        <w:t>Though</w:t>
      </w:r>
      <w:r w:rsidR="00447CD2" w:rsidRPr="00FC2FD1">
        <w:t xml:space="preserve"> not visible to users, this data, which could be useful to a future cataloger adding records to the repository, will not be lost.</w:t>
      </w:r>
      <w:r w:rsidR="00447CD2">
        <w:t xml:space="preserve"> </w:t>
      </w:r>
      <w:r w:rsidR="000E664A">
        <w:t>Tying this information to the</w:t>
      </w:r>
      <w:r w:rsidR="00567AF2">
        <w:t xml:space="preserve"> image description rather </w:t>
      </w:r>
      <w:r w:rsidR="000E664A">
        <w:t>to</w:t>
      </w:r>
      <w:r w:rsidR="00567AF2">
        <w:t xml:space="preserve"> </w:t>
      </w:r>
      <w:r w:rsidR="000E664A">
        <w:t xml:space="preserve">the </w:t>
      </w:r>
      <w:r w:rsidR="00567AF2">
        <w:t>named</w:t>
      </w:r>
      <w:r w:rsidR="000E664A">
        <w:t xml:space="preserve"> entity itself, as it would be in an authority record</w:t>
      </w:r>
      <w:r w:rsidR="00696C96">
        <w:t>,</w:t>
      </w:r>
      <w:r w:rsidR="000E664A">
        <w:t xml:space="preserve"> is not ideal, however</w:t>
      </w:r>
      <w:r w:rsidR="000B7488">
        <w:t xml:space="preserve">. </w:t>
      </w:r>
      <w:r w:rsidR="00696C96">
        <w:t xml:space="preserve">The future cataloger would </w:t>
      </w:r>
      <w:r w:rsidR="000E664A">
        <w:t>have to locate that particular image and its description in order to use the information in the note, unless the note were repeated in each description with an access point for that na</w:t>
      </w:r>
      <w:r w:rsidR="00696C96">
        <w:t>med entity</w:t>
      </w:r>
      <w:r w:rsidR="000E664A">
        <w:t>.</w:t>
      </w:r>
    </w:p>
    <w:p w:rsidR="00447CD2" w:rsidRDefault="000E664A" w:rsidP="000E664A">
      <w:pPr>
        <w:spacing w:line="480" w:lineRule="auto"/>
        <w:ind w:firstLine="720"/>
      </w:pPr>
      <w:r w:rsidRPr="00293DDD">
        <w:rPr>
          <w:i/>
        </w:rPr>
        <w:t>FRAD</w:t>
      </w:r>
      <w:r>
        <w:t xml:space="preserve"> states that authority data also supports access to the bibliographic file by the user via c</w:t>
      </w:r>
      <w:r w:rsidR="00B24137" w:rsidRPr="00FC2FD1">
        <w:t>ross-references and additional information</w:t>
      </w:r>
      <w:r w:rsidR="000B7488">
        <w:t>.</w:t>
      </w:r>
      <w:r w:rsidR="00107871">
        <w:t>[</w:t>
      </w:r>
      <w:r w:rsidR="00D55141">
        <w:t>42</w:t>
      </w:r>
      <w:r w:rsidR="00107871">
        <w:t>]</w:t>
      </w:r>
      <w:r w:rsidR="000B7488">
        <w:t xml:space="preserve"> </w:t>
      </w:r>
      <w:r>
        <w:t>The lack of this data in d</w:t>
      </w:r>
      <w:r w:rsidR="0035547B">
        <w:t xml:space="preserve">igital repositories </w:t>
      </w:r>
      <w:r w:rsidR="00B24137" w:rsidRPr="00FC2FD1">
        <w:t>is a</w:t>
      </w:r>
      <w:r w:rsidR="006F7719">
        <w:t xml:space="preserve"> clear disadvantage to the user, who may not know the exact name of a named entity for which to search. </w:t>
      </w:r>
      <w:r w:rsidR="00032144">
        <w:t>A</w:t>
      </w:r>
      <w:r w:rsidR="006F7719">
        <w:t xml:space="preserve"> portion of this </w:t>
      </w:r>
      <w:r w:rsidR="00B24137" w:rsidRPr="00FC2FD1">
        <w:t>pr</w:t>
      </w:r>
      <w:r w:rsidR="006F7719">
        <w:t xml:space="preserve">oblem </w:t>
      </w:r>
      <w:r w:rsidR="00032144">
        <w:t xml:space="preserve">has been addressed </w:t>
      </w:r>
      <w:r w:rsidR="006F7719">
        <w:t xml:space="preserve">by </w:t>
      </w:r>
      <w:r w:rsidR="008A1D4F">
        <w:t>adding</w:t>
      </w:r>
      <w:r w:rsidR="006F7719">
        <w:t xml:space="preserve"> headings for generic subject categories</w:t>
      </w:r>
      <w:r w:rsidR="00B24137" w:rsidRPr="00FC2FD1">
        <w:t xml:space="preserve"> in the subject analysis for </w:t>
      </w:r>
      <w:r w:rsidR="008A1D4F">
        <w:t>each</w:t>
      </w:r>
      <w:r w:rsidR="00B24137" w:rsidRPr="00FC2FD1">
        <w:t xml:space="preserve"> image, hopefully helping more users find what they are looking for.</w:t>
      </w:r>
      <w:r w:rsidR="00B24137">
        <w:t xml:space="preserve"> </w:t>
      </w:r>
      <w:r w:rsidR="006F7719">
        <w:t xml:space="preserve">The inability to navigate through cross-reference structures and broader/narrower trees is a minus, as is the </w:t>
      </w:r>
      <w:r w:rsidR="008A1D4F">
        <w:t>inability to view</w:t>
      </w:r>
      <w:r w:rsidR="006F7719">
        <w:t xml:space="preserve"> additional identifying information to help the user determine whether a named entity is actually the intent of their search</w:t>
      </w:r>
      <w:r w:rsidR="00696C96">
        <w:t>. T</w:t>
      </w:r>
      <w:r w:rsidR="006F7719">
        <w:t>hese shortcomings</w:t>
      </w:r>
      <w:r w:rsidR="00696C96">
        <w:t>, however, are</w:t>
      </w:r>
      <w:r w:rsidR="006F7719">
        <w:t xml:space="preserve"> frequently found even in dat</w:t>
      </w:r>
      <w:r w:rsidR="00696C96">
        <w:t>abases with authority files</w:t>
      </w:r>
      <w:r w:rsidR="00001D0B">
        <w:t>, if they are implemented imperfectly</w:t>
      </w:r>
      <w:r w:rsidR="006F7719">
        <w:t>.</w:t>
      </w:r>
    </w:p>
    <w:p w:rsidR="0036766B" w:rsidRDefault="003D3F4D" w:rsidP="00B24137">
      <w:pPr>
        <w:spacing w:line="480" w:lineRule="auto"/>
        <w:ind w:firstLine="720"/>
      </w:pPr>
      <w:r>
        <w:t>Automatic m</w:t>
      </w:r>
      <w:r w:rsidR="00B24137" w:rsidRPr="00FC2FD1">
        <w:t>aintenance of headings in the bibliographic file</w:t>
      </w:r>
      <w:r>
        <w:t>, the final</w:t>
      </w:r>
      <w:r w:rsidR="00391A61">
        <w:t xml:space="preserve"> </w:t>
      </w:r>
      <w:r w:rsidR="00391A61" w:rsidRPr="00391A61">
        <w:rPr>
          <w:i/>
        </w:rPr>
        <w:t>FRAD</w:t>
      </w:r>
      <w:r>
        <w:t xml:space="preserve"> function of auth</w:t>
      </w:r>
      <w:r w:rsidR="00391A61">
        <w:t>ority data</w:t>
      </w:r>
      <w:r>
        <w:t>,</w:t>
      </w:r>
      <w:r w:rsidR="00B24137" w:rsidRPr="00FC2FD1">
        <w:t xml:space="preserve"> is </w:t>
      </w:r>
      <w:r>
        <w:t>impossible</w:t>
      </w:r>
      <w:r w:rsidR="00B24137" w:rsidRPr="00FC2FD1">
        <w:t xml:space="preserve"> without linked authority records, of course.</w:t>
      </w:r>
      <w:r w:rsidR="00B24137">
        <w:t xml:space="preserve"> </w:t>
      </w:r>
      <w:r w:rsidR="00B24137" w:rsidRPr="00FC2FD1">
        <w:t xml:space="preserve">Without the ability to effect a global </w:t>
      </w:r>
      <w:r w:rsidR="00B24137" w:rsidRPr="00FC2FD1">
        <w:lastRenderedPageBreak/>
        <w:t>change by changing one authority record, the cataloger must manually update each affected bibliographic record if it is determined that a heading needs to change.</w:t>
      </w:r>
      <w:r w:rsidR="00B24137">
        <w:t xml:space="preserve"> </w:t>
      </w:r>
      <w:r>
        <w:t>There is no</w:t>
      </w:r>
      <w:r w:rsidR="00391A61">
        <w:t xml:space="preserve"> </w:t>
      </w:r>
      <w:r>
        <w:t>work-around for this</w:t>
      </w:r>
      <w:r w:rsidR="000B7488">
        <w:t xml:space="preserve">. </w:t>
      </w:r>
      <w:r w:rsidR="00293DDD">
        <w:t>The change process can be made as easy as possible with the inclusion of a good search function that identifies all the records that need to be changed, and with the ability to cut and paste the updated headings into each record, but nevertheless the process is inefficient and prone to human error.</w:t>
      </w:r>
      <w:r w:rsidR="003A6E59">
        <w:t xml:space="preserve"> </w:t>
      </w:r>
    </w:p>
    <w:p w:rsidR="006C44D2" w:rsidRDefault="006C44D2" w:rsidP="006C44D2">
      <w:pPr>
        <w:spacing w:line="480" w:lineRule="auto"/>
        <w:ind w:firstLine="720"/>
      </w:pPr>
      <w:r>
        <w:t xml:space="preserve">There is no doubt that work-arounds such as the ones described above, when they are even a possibility, are responses to the limitations of the </w:t>
      </w:r>
      <w:r w:rsidR="00391A61">
        <w:t xml:space="preserve">current </w:t>
      </w:r>
      <w:r>
        <w:t>system</w:t>
      </w:r>
      <w:r w:rsidR="000B7488">
        <w:t xml:space="preserve">. </w:t>
      </w:r>
      <w:r>
        <w:t xml:space="preserve">From the cataloger’s, and presumably the user’s, </w:t>
      </w:r>
      <w:r w:rsidR="003F54C7">
        <w:t xml:space="preserve">perspectives, the addition of </w:t>
      </w:r>
      <w:r>
        <w:t xml:space="preserve">authority </w:t>
      </w:r>
      <w:r w:rsidR="003F54C7">
        <w:t xml:space="preserve">file </w:t>
      </w:r>
      <w:r w:rsidR="006F6994">
        <w:t xml:space="preserve">functionality </w:t>
      </w:r>
      <w:r w:rsidR="003F54C7">
        <w:t>to</w:t>
      </w:r>
      <w:r>
        <w:t xml:space="preserve"> the repository would be a welcome development, aiding information retrieval and making maintenance more efficient</w:t>
      </w:r>
      <w:r w:rsidR="000B7488">
        <w:t xml:space="preserve">. </w:t>
      </w:r>
      <w:r w:rsidR="006F6994">
        <w:t>Such functionality could be accomplished in a variety of ways, whether by the addition of an actual authority file to the database or through links to an external authority file.  The latter may in fact be preferable, since it would eliminate the need to maintain a separate authority file just for the repository.  Regardless of how it is done, programming complexities would ensue. W</w:t>
      </w:r>
      <w:r>
        <w:t>hether the investment of time and effort would result in overall savings depends on</w:t>
      </w:r>
      <w:r w:rsidRPr="0036766B">
        <w:t xml:space="preserve"> </w:t>
      </w:r>
      <w:r>
        <w:t>projections for the future growth of digitization efforts at a particular institution</w:t>
      </w:r>
      <w:r w:rsidR="000B7488">
        <w:t xml:space="preserve">. </w:t>
      </w:r>
      <w:r w:rsidR="00AF3C58">
        <w:t xml:space="preserve">For a small project such as the </w:t>
      </w:r>
      <w:r w:rsidR="003F54C7">
        <w:t xml:space="preserve">Eastern North Carolina Postcard </w:t>
      </w:r>
      <w:r w:rsidR="00B935AC">
        <w:t>Collection</w:t>
      </w:r>
      <w:r w:rsidR="003F54C7">
        <w:t xml:space="preserve">, </w:t>
      </w:r>
      <w:r w:rsidR="00AF3C58">
        <w:t>success in maintaining a certain level of consistency in subject analysis despite the lack of an authority file was due in major part to the concentration of subject heading assignment responsibility in one person</w:t>
      </w:r>
      <w:r w:rsidR="000B7488">
        <w:t xml:space="preserve">. </w:t>
      </w:r>
      <w:r w:rsidR="00391A61">
        <w:t>S</w:t>
      </w:r>
      <w:r w:rsidR="00917940">
        <w:t>uccess may not be scalable to larger projects</w:t>
      </w:r>
      <w:r w:rsidR="00391A61">
        <w:t>, however</w:t>
      </w:r>
      <w:r w:rsidR="000B7488">
        <w:t xml:space="preserve">. </w:t>
      </w:r>
      <w:r w:rsidR="00917940">
        <w:t>I</w:t>
      </w:r>
      <w:r>
        <w:t xml:space="preserve">f </w:t>
      </w:r>
      <w:r w:rsidR="00917940">
        <w:t>digitization of local materials is</w:t>
      </w:r>
      <w:r>
        <w:t xml:space="preserve"> a growth area for </w:t>
      </w:r>
      <w:r w:rsidR="00032144">
        <w:t xml:space="preserve">an individual </w:t>
      </w:r>
      <w:r>
        <w:t>librar</w:t>
      </w:r>
      <w:r w:rsidR="00032144">
        <w:t>y</w:t>
      </w:r>
      <w:r w:rsidR="00917940">
        <w:t xml:space="preserve">, </w:t>
      </w:r>
      <w:r>
        <w:t xml:space="preserve">new solutions </w:t>
      </w:r>
      <w:r w:rsidR="00917940">
        <w:t>will</w:t>
      </w:r>
      <w:r>
        <w:t xml:space="preserve"> need to be found.</w:t>
      </w:r>
    </w:p>
    <w:p w:rsidR="006C44D2" w:rsidRPr="00FC2FD1" w:rsidRDefault="00917940" w:rsidP="006C44D2">
      <w:pPr>
        <w:spacing w:line="480" w:lineRule="auto"/>
        <w:ind w:firstLine="720"/>
      </w:pPr>
      <w:r>
        <w:t>Fortunately</w:t>
      </w:r>
      <w:r w:rsidR="009B715F">
        <w:t>, progress toward these new solutions is being made</w:t>
      </w:r>
      <w:r w:rsidR="000B7488">
        <w:t xml:space="preserve">. </w:t>
      </w:r>
      <w:r w:rsidR="006C44D2" w:rsidRPr="00FC2FD1">
        <w:t xml:space="preserve">While authority control has frequently been an afterthought to metadata creation, some evidence </w:t>
      </w:r>
      <w:r w:rsidR="006C44D2">
        <w:t xml:space="preserve">exists </w:t>
      </w:r>
      <w:r w:rsidR="00391A61">
        <w:t>that this is changing. O</w:t>
      </w:r>
      <w:r w:rsidR="006C44D2">
        <w:t>ne sees</w:t>
      </w:r>
      <w:r w:rsidR="006C44D2" w:rsidRPr="00FC2FD1">
        <w:t xml:space="preserve"> increasing interest in authority data in the metadata environment.</w:t>
      </w:r>
      <w:r w:rsidR="006C44D2">
        <w:t xml:space="preserve"> </w:t>
      </w:r>
      <w:r w:rsidR="006C44D2" w:rsidRPr="00FC2FD1">
        <w:t>MADS (Metadata Authority Description Schema) was developed as a counterpart to MODS (Metadata Object Description Schema) by the Library of Congress.</w:t>
      </w:r>
      <w:r w:rsidR="00E87E97">
        <w:t>[</w:t>
      </w:r>
      <w:r w:rsidR="00505E2B">
        <w:t>43</w:t>
      </w:r>
      <w:r w:rsidR="00E87E97">
        <w:t>]</w:t>
      </w:r>
      <w:r w:rsidR="006C44D2">
        <w:t xml:space="preserve"> </w:t>
      </w:r>
      <w:r w:rsidR="006C44D2" w:rsidRPr="00FC2FD1">
        <w:t xml:space="preserve">Derived from the MARC21 authority format, MADS records could satisfy the five functions of authority data listed in </w:t>
      </w:r>
      <w:r w:rsidR="006C44D2" w:rsidRPr="000C59EE">
        <w:rPr>
          <w:i/>
        </w:rPr>
        <w:t>FRAD</w:t>
      </w:r>
      <w:r w:rsidR="0031190E">
        <w:t>.[</w:t>
      </w:r>
      <w:r w:rsidR="00505E2B">
        <w:t>44</w:t>
      </w:r>
      <w:r w:rsidR="006C44D2" w:rsidRPr="00FC2FD1">
        <w:t>]</w:t>
      </w:r>
      <w:r w:rsidR="006C44D2">
        <w:t xml:space="preserve"> Alt</w:t>
      </w:r>
      <w:r w:rsidR="006C44D2" w:rsidRPr="00FC2FD1">
        <w:t>hough it has been available since 2005, MADS has not been widely implemented nor experience with it broadly addressed in the professional literature</w:t>
      </w:r>
      <w:r w:rsidR="000B7488">
        <w:t xml:space="preserve">. </w:t>
      </w:r>
      <w:r w:rsidR="00504ACC">
        <w:t>P</w:t>
      </w:r>
      <w:r w:rsidR="006C44D2" w:rsidRPr="00FC2FD1">
        <w:t xml:space="preserve">ractical </w:t>
      </w:r>
      <w:r w:rsidR="006C44D2" w:rsidRPr="00FC2FD1">
        <w:lastRenderedPageBreak/>
        <w:t xml:space="preserve">discussions </w:t>
      </w:r>
      <w:r w:rsidR="00504ACC">
        <w:t xml:space="preserve">of MADS </w:t>
      </w:r>
      <w:r w:rsidR="006C44D2" w:rsidRPr="00FC2FD1">
        <w:t>have started to appear in blogs</w:t>
      </w:r>
      <w:r w:rsidR="00504ACC">
        <w:t>, however</w:t>
      </w:r>
      <w:r w:rsidR="0031190E">
        <w:t>.[</w:t>
      </w:r>
      <w:r w:rsidR="00AA0DCD">
        <w:t>4</w:t>
      </w:r>
      <w:r w:rsidR="00505E2B">
        <w:t>5</w:t>
      </w:r>
      <w:r w:rsidR="006C44D2" w:rsidRPr="00FC2FD1">
        <w:t>]</w:t>
      </w:r>
      <w:r w:rsidR="006C44D2">
        <w:t xml:space="preserve"> </w:t>
      </w:r>
      <w:r w:rsidR="006C44D2" w:rsidRPr="00FC2FD1">
        <w:t xml:space="preserve">Other metadata communities </w:t>
      </w:r>
      <w:r w:rsidR="00504ACC">
        <w:t>besides</w:t>
      </w:r>
      <w:r w:rsidR="006C44D2" w:rsidRPr="00FC2FD1">
        <w:t xml:space="preserve"> the library cataloging community have also begun to recognize the importance of authority data.</w:t>
      </w:r>
      <w:r w:rsidR="006C44D2">
        <w:t xml:space="preserve"> </w:t>
      </w:r>
      <w:r w:rsidR="006C44D2" w:rsidRPr="00FC2FD1">
        <w:t xml:space="preserve">The archival community, for </w:t>
      </w:r>
      <w:r w:rsidR="006C44D2">
        <w:t>example</w:t>
      </w:r>
      <w:r w:rsidR="006C44D2" w:rsidRPr="00FC2FD1">
        <w:t xml:space="preserve">, has developed EAC (Encoded Archival Context) to </w:t>
      </w:r>
      <w:r w:rsidR="00190A6A">
        <w:t>complement</w:t>
      </w:r>
      <w:r w:rsidR="006C44D2" w:rsidRPr="00FC2FD1">
        <w:t xml:space="preserve"> the more established EAD (Encoded</w:t>
      </w:r>
      <w:r w:rsidR="00190A6A">
        <w:t xml:space="preserve"> Archival Description) by housing</w:t>
      </w:r>
      <w:r w:rsidR="006C44D2" w:rsidRPr="00FC2FD1">
        <w:t xml:space="preserve"> </w:t>
      </w:r>
      <w:r w:rsidR="00E615CC">
        <w:t xml:space="preserve">authoritative </w:t>
      </w:r>
      <w:r w:rsidR="006C44D2" w:rsidRPr="00FC2FD1">
        <w:t>data about the creators of archival collections</w:t>
      </w:r>
      <w:r w:rsidR="00190A6A">
        <w:t xml:space="preserve"> separately from but linked to the descriptions of the collections</w:t>
      </w:r>
      <w:r w:rsidR="0031190E">
        <w:t>.[</w:t>
      </w:r>
      <w:r w:rsidR="00505E2B">
        <w:t>46</w:t>
      </w:r>
      <w:r w:rsidR="0056346D">
        <w:t xml:space="preserve">] </w:t>
      </w:r>
      <w:r w:rsidR="00190A6A">
        <w:t>The implementation of EAC, according to Pitti, would not only enable easier collocation of materials with a particular provenance, but also facilitate the sharing of archival authority data across institutions, enable the expression of relationships between different creators, and take advantage of the unique source material held in archives</w:t>
      </w:r>
      <w:r w:rsidR="00D26BB6">
        <w:t xml:space="preserve"> to make this contextual information </w:t>
      </w:r>
      <w:r w:rsidR="00E87E97">
        <w:t>available.[</w:t>
      </w:r>
      <w:r w:rsidR="00505E2B">
        <w:t>47</w:t>
      </w:r>
      <w:r w:rsidR="0056346D">
        <w:t xml:space="preserve">] </w:t>
      </w:r>
      <w:r w:rsidR="006C44D2" w:rsidRPr="00FC2FD1">
        <w:t xml:space="preserve">Whether use of schemas such as MADS </w:t>
      </w:r>
      <w:r w:rsidR="00190A6A">
        <w:t xml:space="preserve">and EAC </w:t>
      </w:r>
      <w:r w:rsidR="006C44D2" w:rsidRPr="00FC2FD1">
        <w:t xml:space="preserve">will become widespread remains to be seen, </w:t>
      </w:r>
      <w:r w:rsidR="00391A61">
        <w:t>al</w:t>
      </w:r>
      <w:r w:rsidR="006C44D2" w:rsidRPr="00FC2FD1">
        <w:t>though it seems clear that their use</w:t>
      </w:r>
      <w:r w:rsidR="00A712BE">
        <w:t xml:space="preserve"> has the potential to address the challenge of inefficiencies created by the lack of authority data in digitization project repositories</w:t>
      </w:r>
      <w:r w:rsidR="006C44D2" w:rsidRPr="00FC2FD1">
        <w:t>.</w:t>
      </w:r>
    </w:p>
    <w:p w:rsidR="0036766B" w:rsidRDefault="0036766B" w:rsidP="00B24137">
      <w:pPr>
        <w:spacing w:line="480" w:lineRule="auto"/>
        <w:ind w:firstLine="720"/>
      </w:pPr>
    </w:p>
    <w:p w:rsidR="0036766B" w:rsidRDefault="0036766B" w:rsidP="002F7235">
      <w:pPr>
        <w:spacing w:line="480" w:lineRule="auto"/>
        <w:ind w:firstLine="0"/>
      </w:pPr>
      <w:r>
        <w:t>&lt;1&gt;</w:t>
      </w:r>
      <w:r w:rsidR="00976B8A">
        <w:t>Topics for further research</w:t>
      </w:r>
    </w:p>
    <w:p w:rsidR="00181AB1" w:rsidRDefault="00181AB1" w:rsidP="002F7235">
      <w:pPr>
        <w:spacing w:line="480" w:lineRule="auto"/>
        <w:ind w:firstLine="0"/>
      </w:pPr>
    </w:p>
    <w:p w:rsidR="00196795" w:rsidRDefault="00196795" w:rsidP="00B00AFC">
      <w:pPr>
        <w:spacing w:line="480" w:lineRule="auto"/>
        <w:ind w:firstLine="720"/>
      </w:pPr>
      <w:r>
        <w:t>As is the case with much of the professional literature on metadata and</w:t>
      </w:r>
      <w:r w:rsidR="00B00AFC">
        <w:t xml:space="preserve"> its application to</w:t>
      </w:r>
      <w:r>
        <w:t xml:space="preserve"> </w:t>
      </w:r>
      <w:r w:rsidR="00391A61">
        <w:t>digitized</w:t>
      </w:r>
      <w:r>
        <w:t xml:space="preserve"> collections during this time of intense and widespread development, this paper solves fewer problems than it raises</w:t>
      </w:r>
      <w:r w:rsidR="000B7488">
        <w:t xml:space="preserve">. </w:t>
      </w:r>
      <w:r w:rsidR="00B00AFC">
        <w:t>These problems are in serious need of attention by the metadata community</w:t>
      </w:r>
      <w:r w:rsidR="000B7488">
        <w:t xml:space="preserve">. </w:t>
      </w:r>
      <w:r w:rsidR="00B00AFC">
        <w:t xml:space="preserve">They include the question of whether there is a continued need </w:t>
      </w:r>
      <w:r w:rsidR="00E918E3">
        <w:t xml:space="preserve">in LC practice </w:t>
      </w:r>
      <w:r w:rsidR="00B00AFC">
        <w:t>to separate the Name Authority File and the Subject Authority F</w:t>
      </w:r>
      <w:r w:rsidR="00E918E3">
        <w:t>ile in an increasingly digital, metadata context</w:t>
      </w:r>
      <w:r w:rsidR="000B7488">
        <w:t xml:space="preserve">. </w:t>
      </w:r>
      <w:r w:rsidR="00E918E3">
        <w:t>As noted above, this separation into two files with separate sets of rules for heading creation gives rise to much complexity in the creation of headings for named entities such as buildings and other structures, and now is the time to ask whether such complexity is worthwhile or beneficial</w:t>
      </w:r>
      <w:r w:rsidR="000B7488">
        <w:t xml:space="preserve">. </w:t>
      </w:r>
      <w:r w:rsidR="00E918E3">
        <w:t>Also worthy of investigation is the problem of how to apply authority control on a selective basis to larger and larger bodies of digitized materials</w:t>
      </w:r>
      <w:r w:rsidR="000B7488">
        <w:t xml:space="preserve">. </w:t>
      </w:r>
      <w:r w:rsidR="008D3596">
        <w:t xml:space="preserve">The applicability of Younger’s utility </w:t>
      </w:r>
      <w:r w:rsidR="00391A61">
        <w:t>principle</w:t>
      </w:r>
      <w:r w:rsidR="008D3596">
        <w:t xml:space="preserve"> to this problem remains to be tested</w:t>
      </w:r>
      <w:r w:rsidR="000B7488">
        <w:t xml:space="preserve">. </w:t>
      </w:r>
      <w:r w:rsidR="008D3596">
        <w:t>Also at issue is the best way for institutions to share the results of the time and effort that goes into t</w:t>
      </w:r>
      <w:r w:rsidR="00391A61">
        <w:t>he subject analysis of digital</w:t>
      </w:r>
      <w:r w:rsidR="008D3596">
        <w:t xml:space="preserve"> projects </w:t>
      </w:r>
      <w:r w:rsidR="008D3596">
        <w:lastRenderedPageBreak/>
        <w:t xml:space="preserve">such as the Eastern North Carolina Postcard </w:t>
      </w:r>
      <w:r w:rsidR="00B935AC">
        <w:t>Collection</w:t>
      </w:r>
      <w:r w:rsidR="008D3596">
        <w:t>. Institutions undertaking the digitization of local materials have widely varying resources</w:t>
      </w:r>
      <w:r w:rsidR="00391A61">
        <w:t>,</w:t>
      </w:r>
      <w:r w:rsidR="008D3596">
        <w:t xml:space="preserve"> and one method of sharing (e.g. NACO) may not fit all</w:t>
      </w:r>
      <w:r w:rsidR="000B7488">
        <w:t xml:space="preserve">. </w:t>
      </w:r>
      <w:r w:rsidR="008D3596">
        <w:t xml:space="preserve">Nevertheless, the sharing of data is the only way to free it from local silos and thus increase the potential benefit in return for </w:t>
      </w:r>
      <w:r w:rsidR="00391A61">
        <w:t>work expenses incurred</w:t>
      </w:r>
      <w:r w:rsidR="008D3596">
        <w:t>. Lastly, but in the author’s opinion most importantly, the problem of including authority data in digital repositories must be tackled</w:t>
      </w:r>
      <w:r w:rsidR="000B7488">
        <w:t xml:space="preserve">. </w:t>
      </w:r>
      <w:r w:rsidR="008D3596">
        <w:t xml:space="preserve">Implementations of schema such as MADS and EAC must be undertaken and reported upon, and pressure exerted on database vendors to incorporate such functionality, much as integrated library system vendors </w:t>
      </w:r>
      <w:r w:rsidR="00AA0DCD">
        <w:t>have been</w:t>
      </w:r>
      <w:r w:rsidR="008D3596">
        <w:t xml:space="preserve"> gradually </w:t>
      </w:r>
      <w:r w:rsidR="00AA0DCD">
        <w:t>pressured</w:t>
      </w:r>
      <w:r w:rsidR="008D3596">
        <w:t xml:space="preserve"> to include authority control functionality in their systems.</w:t>
      </w:r>
    </w:p>
    <w:p w:rsidR="0036766B" w:rsidRDefault="0036766B" w:rsidP="008D3596">
      <w:pPr>
        <w:spacing w:line="480" w:lineRule="auto"/>
        <w:ind w:firstLine="0"/>
      </w:pPr>
    </w:p>
    <w:p w:rsidR="00976B8A" w:rsidRDefault="00976B8A" w:rsidP="00976B8A">
      <w:pPr>
        <w:spacing w:line="480" w:lineRule="auto"/>
        <w:ind w:firstLine="0"/>
      </w:pPr>
      <w:r>
        <w:t>&lt;1&gt;Conclusion</w:t>
      </w:r>
    </w:p>
    <w:p w:rsidR="00F11DAF" w:rsidRDefault="00F11DAF" w:rsidP="00976B8A">
      <w:pPr>
        <w:spacing w:line="480" w:lineRule="auto"/>
        <w:ind w:firstLine="0"/>
      </w:pPr>
    </w:p>
    <w:p w:rsidR="00976B8A" w:rsidRDefault="00F11DAF" w:rsidP="00375B94">
      <w:pPr>
        <w:spacing w:line="480" w:lineRule="auto"/>
        <w:ind w:firstLine="720"/>
      </w:pPr>
      <w:r w:rsidRPr="00FC2FD1">
        <w:t xml:space="preserve">Authority control </w:t>
      </w:r>
      <w:r>
        <w:t>is a part</w:t>
      </w:r>
      <w:r w:rsidRPr="00FC2FD1">
        <w:t xml:space="preserve"> of metadata creation for local digitization projects</w:t>
      </w:r>
      <w:r>
        <w:t xml:space="preserve"> that has received insufficient attention</w:t>
      </w:r>
      <w:r w:rsidR="000B7488">
        <w:t xml:space="preserve">. </w:t>
      </w:r>
      <w:r>
        <w:t xml:space="preserve">By examining the case of the </w:t>
      </w:r>
      <w:r w:rsidRPr="004B3DDC">
        <w:t xml:space="preserve">Eastern North Carolina Postcard Collection, </w:t>
      </w:r>
      <w:r>
        <w:t>a small image collection, this paper discusses the particular challenges involved in the</w:t>
      </w:r>
      <w:r w:rsidRPr="004B3DDC">
        <w:t xml:space="preserve"> authority control of named entities </w:t>
      </w:r>
      <w:r>
        <w:t>used as subject headings for such projects</w:t>
      </w:r>
      <w:r w:rsidR="000B7488">
        <w:t xml:space="preserve">. </w:t>
      </w:r>
      <w:r>
        <w:t>These challenges include</w:t>
      </w:r>
      <w:r w:rsidR="00DD2F72">
        <w:t xml:space="preserve"> </w:t>
      </w:r>
      <w:r w:rsidR="003E18FE">
        <w:t>(</w:t>
      </w:r>
      <w:r w:rsidR="00DD2F72">
        <w:t>1</w:t>
      </w:r>
      <w:r w:rsidR="003E18FE">
        <w:t>)</w:t>
      </w:r>
      <w:r w:rsidR="00DD2F72">
        <w:t xml:space="preserve"> t</w:t>
      </w:r>
      <w:r>
        <w:t xml:space="preserve">he complexity of work arising from the form and subject matter of the materials digitized, </w:t>
      </w:r>
      <w:r w:rsidR="003E18FE">
        <w:t>(</w:t>
      </w:r>
      <w:r>
        <w:t>2</w:t>
      </w:r>
      <w:r w:rsidR="003E18FE">
        <w:t>)</w:t>
      </w:r>
      <w:r>
        <w:t xml:space="preserve"> </w:t>
      </w:r>
      <w:r w:rsidR="00DD2F72">
        <w:t>t</w:t>
      </w:r>
      <w:r>
        <w:t xml:space="preserve">he volume of work created by a high ratio of new authorized headings per bibliographic description, and </w:t>
      </w:r>
      <w:r w:rsidR="003E18FE">
        <w:t>(</w:t>
      </w:r>
      <w:r>
        <w:t>3</w:t>
      </w:r>
      <w:r w:rsidR="003E18FE">
        <w:t>)</w:t>
      </w:r>
      <w:r>
        <w:t xml:space="preserve"> </w:t>
      </w:r>
      <w:r w:rsidR="00DD2F72">
        <w:t>t</w:t>
      </w:r>
      <w:r>
        <w:t>he inefficiency perpetuated by the lack of actual authority data in the repository database</w:t>
      </w:r>
      <w:r w:rsidR="000B7488">
        <w:t xml:space="preserve">. </w:t>
      </w:r>
      <w:r w:rsidR="006B5E9E">
        <w:t xml:space="preserve">How </w:t>
      </w:r>
      <w:r>
        <w:t>these challenges</w:t>
      </w:r>
      <w:r w:rsidR="006B5E9E">
        <w:t xml:space="preserve"> were addressed</w:t>
      </w:r>
      <w:r w:rsidR="00F95A42">
        <w:t xml:space="preserve"> should be of interest to the many institutions undertaking similar projects, if they are concerned with the visibilit</w:t>
      </w:r>
      <w:r w:rsidR="00DD2F72">
        <w:t>y and usability of their digitized</w:t>
      </w:r>
      <w:r w:rsidR="00F95A42">
        <w:t xml:space="preserve"> collections</w:t>
      </w:r>
      <w:r w:rsidR="000B7488">
        <w:t xml:space="preserve">. </w:t>
      </w:r>
      <w:r w:rsidR="007E0838">
        <w:t>The use of widely-applied vocabularies and their rules such as LCSH/LNCAF in digital collections metadata enables th</w:t>
      </w:r>
      <w:r w:rsidR="00DD2F72">
        <w:t xml:space="preserve">e closer integration of digitized </w:t>
      </w:r>
      <w:r w:rsidR="007E0838">
        <w:t xml:space="preserve">collections into the traditional collections of the library, </w:t>
      </w:r>
      <w:r w:rsidR="006B5E9E">
        <w:t>collections</w:t>
      </w:r>
      <w:r w:rsidR="007E0838">
        <w:t xml:space="preserve"> whose metadata is privileged to reside in the library catalog</w:t>
      </w:r>
      <w:r w:rsidR="000B7488">
        <w:t xml:space="preserve">. </w:t>
      </w:r>
      <w:r w:rsidR="00F95A42">
        <w:t>By</w:t>
      </w:r>
      <w:r w:rsidR="007E0838">
        <w:t xml:space="preserve"> ensuring name consistency, the </w:t>
      </w:r>
      <w:r w:rsidR="00B24137" w:rsidRPr="00FC2FD1">
        <w:t>cataloger is creating the potential for headi</w:t>
      </w:r>
      <w:r w:rsidR="007E0838">
        <w:t>ng links across discovery tools</w:t>
      </w:r>
      <w:r w:rsidR="00375B94">
        <w:t>, and setting the stage for the implementation of a federated search function that would enable users to discover traditional library materials as well as digital projects in the same search</w:t>
      </w:r>
      <w:r w:rsidR="007E0838">
        <w:t>.</w:t>
      </w:r>
      <w:r w:rsidR="00B24137">
        <w:t xml:space="preserve"> </w:t>
      </w:r>
      <w:r w:rsidR="00375B94">
        <w:t>A</w:t>
      </w:r>
      <w:r w:rsidR="00375B94" w:rsidRPr="00FC2FD1">
        <w:t xml:space="preserve">uthority control is a large part of what makes the difference between poor and good quality </w:t>
      </w:r>
      <w:r w:rsidR="00375B94" w:rsidRPr="00FC2FD1">
        <w:lastRenderedPageBreak/>
        <w:t>metadata,</w:t>
      </w:r>
      <w:r w:rsidR="00375B94">
        <w:t xml:space="preserve"> and good quality metadata improves the usability of digital repositories</w:t>
      </w:r>
      <w:r w:rsidR="000B7488">
        <w:t xml:space="preserve">. </w:t>
      </w:r>
      <w:r w:rsidR="00FD43AE" w:rsidRPr="00FC2FD1">
        <w:t xml:space="preserve">By taking the time to determine which </w:t>
      </w:r>
      <w:r w:rsidR="00375B94">
        <w:t>structure</w:t>
      </w:r>
      <w:r w:rsidR="00FD43AE" w:rsidRPr="00FC2FD1">
        <w:t xml:space="preserve"> a particular image depicts</w:t>
      </w:r>
      <w:r w:rsidR="00375B94">
        <w:t>, and</w:t>
      </w:r>
      <w:r w:rsidR="006B5E9E">
        <w:t xml:space="preserve"> by</w:t>
      </w:r>
      <w:r w:rsidR="00375B94">
        <w:t xml:space="preserve"> differentiating it from other similar structures</w:t>
      </w:r>
      <w:r w:rsidR="006B5E9E">
        <w:t xml:space="preserve">, </w:t>
      </w:r>
      <w:r w:rsidR="009C0DCC">
        <w:t>libraries</w:t>
      </w:r>
      <w:r w:rsidR="006B5E9E">
        <w:t xml:space="preserve"> avoid</w:t>
      </w:r>
      <w:r w:rsidR="00FD43AE" w:rsidRPr="00FC2FD1">
        <w:t xml:space="preserve"> pushing that challenge off onto the user, </w:t>
      </w:r>
      <w:r w:rsidR="006B5E9E">
        <w:t>as</w:t>
      </w:r>
      <w:r w:rsidR="009C0DCC">
        <w:t xml:space="preserve"> would be the case</w:t>
      </w:r>
      <w:r w:rsidR="00FD43AE" w:rsidRPr="00FC2FD1">
        <w:t xml:space="preserve"> if we </w:t>
      </w:r>
      <w:r w:rsidR="006B5E9E">
        <w:t xml:space="preserve">were to rely </w:t>
      </w:r>
      <w:r w:rsidR="00FD43AE" w:rsidRPr="00FC2FD1">
        <w:t>on keyword access or a generic subject heading only.</w:t>
      </w:r>
      <w:r w:rsidR="00FD43AE">
        <w:t xml:space="preserve"> </w:t>
      </w:r>
      <w:r w:rsidR="00375B94">
        <w:t xml:space="preserve">The added value that authority control brings to traditional </w:t>
      </w:r>
      <w:r w:rsidR="00976B8A" w:rsidRPr="00FC2FD1">
        <w:t xml:space="preserve">bibliographic databases </w:t>
      </w:r>
      <w:r w:rsidR="00631290">
        <w:t>should also, and perhaps even more urgently given the uniqueness of the subject matter, be applied in local digitization projects.</w:t>
      </w:r>
      <w:r w:rsidR="00976B8A">
        <w:t xml:space="preserve"> </w:t>
      </w:r>
      <w:r w:rsidR="0090654C">
        <w:t xml:space="preserve">Establishing best practices for doing so is a major </w:t>
      </w:r>
      <w:r w:rsidR="00B47711">
        <w:t>problem</w:t>
      </w:r>
      <w:r w:rsidR="0090654C">
        <w:t xml:space="preserve"> facing catalogers and digitization librarians in the near term.</w:t>
      </w:r>
    </w:p>
    <w:p w:rsidR="00555673" w:rsidRDefault="00555673" w:rsidP="00375B94">
      <w:pPr>
        <w:spacing w:line="480" w:lineRule="auto"/>
        <w:ind w:firstLine="720"/>
      </w:pPr>
    </w:p>
    <w:p w:rsidR="003E774F" w:rsidRDefault="003E774F" w:rsidP="003E774F">
      <w:r>
        <w:br w:type="page"/>
      </w:r>
    </w:p>
    <w:p w:rsidR="00555673" w:rsidRDefault="00555673" w:rsidP="003E774F">
      <w:pPr>
        <w:ind w:firstLine="0"/>
      </w:pPr>
      <w:r w:rsidRPr="00FC2FD1">
        <w:lastRenderedPageBreak/>
        <w:t>References</w:t>
      </w:r>
    </w:p>
    <w:p w:rsidR="00EE6AB3" w:rsidRDefault="00EE6AB3" w:rsidP="00EE6AB3">
      <w:pPr>
        <w:spacing w:line="480" w:lineRule="auto"/>
        <w:ind w:firstLine="0"/>
      </w:pPr>
    </w:p>
    <w:p w:rsidR="00EE6AB3" w:rsidRPr="00FC2FD1" w:rsidRDefault="00EE6AB3" w:rsidP="00EE6AB3">
      <w:pPr>
        <w:pStyle w:val="NormalWeb"/>
        <w:spacing w:line="480" w:lineRule="auto"/>
        <w:ind w:left="450" w:hanging="450"/>
        <w:rPr>
          <w:sz w:val="22"/>
          <w:szCs w:val="22"/>
        </w:rPr>
      </w:pPr>
      <w:r w:rsidRPr="00FC2FD1">
        <w:rPr>
          <w:sz w:val="22"/>
          <w:szCs w:val="22"/>
        </w:rPr>
        <w:t xml:space="preserve">1. Michael Gorman, "Authority Control in the Context of Bibliographic Control in the Electronic Environment," </w:t>
      </w:r>
      <w:r w:rsidRPr="00FC2FD1">
        <w:rPr>
          <w:i/>
          <w:iCs/>
          <w:sz w:val="22"/>
          <w:szCs w:val="22"/>
        </w:rPr>
        <w:t>Cataloging &amp; Classification Quarterly</w:t>
      </w:r>
      <w:r w:rsidRPr="00FC2FD1">
        <w:rPr>
          <w:sz w:val="22"/>
          <w:szCs w:val="22"/>
        </w:rPr>
        <w:t xml:space="preserve"> 38, no. 3/4 (2004): 11-21. </w:t>
      </w:r>
    </w:p>
    <w:p w:rsidR="00EE6AB3" w:rsidRDefault="00EE6AB3" w:rsidP="00EE6AB3">
      <w:pPr>
        <w:pStyle w:val="NormalWeb"/>
        <w:spacing w:line="480" w:lineRule="auto"/>
        <w:ind w:left="450" w:hanging="450"/>
        <w:rPr>
          <w:sz w:val="22"/>
          <w:szCs w:val="22"/>
        </w:rPr>
      </w:pPr>
      <w:r w:rsidRPr="00FC2FD1">
        <w:rPr>
          <w:sz w:val="22"/>
          <w:szCs w:val="22"/>
        </w:rPr>
        <w:t xml:space="preserve">2. Sherry L. Vellucci, "Metadata and Authority Control," </w:t>
      </w:r>
      <w:r w:rsidRPr="00FC2FD1">
        <w:rPr>
          <w:i/>
          <w:iCs/>
          <w:sz w:val="22"/>
          <w:szCs w:val="22"/>
        </w:rPr>
        <w:t>Library Resources and Technical Services</w:t>
      </w:r>
      <w:r w:rsidRPr="00FC2FD1">
        <w:rPr>
          <w:sz w:val="22"/>
          <w:szCs w:val="22"/>
        </w:rPr>
        <w:t xml:space="preserve"> 44, no. 1 (2000): </w:t>
      </w:r>
      <w:r>
        <w:rPr>
          <w:sz w:val="22"/>
          <w:szCs w:val="22"/>
        </w:rPr>
        <w:t>33-43.</w:t>
      </w:r>
    </w:p>
    <w:p w:rsidR="00EE6AB3" w:rsidRDefault="00EE6AB3" w:rsidP="00EE6AB3">
      <w:pPr>
        <w:pStyle w:val="NormalWeb"/>
        <w:spacing w:line="480" w:lineRule="auto"/>
        <w:ind w:left="450" w:hanging="450"/>
        <w:rPr>
          <w:sz w:val="22"/>
          <w:szCs w:val="22"/>
        </w:rPr>
      </w:pPr>
      <w:r>
        <w:rPr>
          <w:sz w:val="22"/>
          <w:szCs w:val="22"/>
        </w:rPr>
        <w:t xml:space="preserve">3. Ibid., </w:t>
      </w:r>
      <w:r w:rsidRPr="00FC2FD1">
        <w:rPr>
          <w:sz w:val="22"/>
          <w:szCs w:val="22"/>
        </w:rPr>
        <w:t xml:space="preserve">40. </w:t>
      </w:r>
    </w:p>
    <w:p w:rsidR="00EE6AB3" w:rsidRDefault="00EE6AB3" w:rsidP="00EE6AB3">
      <w:pPr>
        <w:pStyle w:val="NormalWeb"/>
        <w:spacing w:line="480" w:lineRule="auto"/>
        <w:ind w:left="450" w:hanging="450"/>
        <w:rPr>
          <w:sz w:val="22"/>
          <w:szCs w:val="22"/>
        </w:rPr>
      </w:pPr>
      <w:r>
        <w:rPr>
          <w:sz w:val="22"/>
          <w:szCs w:val="22"/>
        </w:rPr>
        <w:t xml:space="preserve">4. Murtha Baca, “Practical Issues in Applying Metadata Schemas and Controlled Vocabularies to Cultural Heritage Information,” </w:t>
      </w:r>
      <w:r w:rsidRPr="003A0EAB">
        <w:rPr>
          <w:i/>
          <w:sz w:val="22"/>
          <w:szCs w:val="22"/>
        </w:rPr>
        <w:t>Cataloging &amp; Classification Quarterly</w:t>
      </w:r>
      <w:r>
        <w:rPr>
          <w:sz w:val="22"/>
          <w:szCs w:val="22"/>
        </w:rPr>
        <w:t xml:space="preserve"> 36, no. 3/4 (2003): 47-55.</w:t>
      </w:r>
    </w:p>
    <w:p w:rsidR="00EE6AB3" w:rsidRDefault="00EE6AB3" w:rsidP="00EE6AB3">
      <w:pPr>
        <w:pStyle w:val="NormalWeb"/>
        <w:spacing w:line="480" w:lineRule="auto"/>
        <w:ind w:left="450" w:hanging="450"/>
        <w:rPr>
          <w:sz w:val="22"/>
          <w:szCs w:val="22"/>
        </w:rPr>
      </w:pPr>
      <w:r>
        <w:rPr>
          <w:sz w:val="22"/>
          <w:szCs w:val="22"/>
        </w:rPr>
        <w:t>5. Ibid., 52.</w:t>
      </w:r>
    </w:p>
    <w:p w:rsidR="00EE6AB3" w:rsidRDefault="00EE6AB3" w:rsidP="00EE6AB3">
      <w:pPr>
        <w:pStyle w:val="NormalWeb"/>
        <w:spacing w:line="480" w:lineRule="auto"/>
        <w:ind w:left="450" w:hanging="450"/>
        <w:rPr>
          <w:sz w:val="22"/>
          <w:szCs w:val="22"/>
        </w:rPr>
      </w:pPr>
      <w:r>
        <w:rPr>
          <w:sz w:val="22"/>
          <w:szCs w:val="22"/>
        </w:rPr>
        <w:t>6. Ibid., 52-53.</w:t>
      </w:r>
    </w:p>
    <w:p w:rsidR="00EE6AB3" w:rsidRPr="00FC2FD1" w:rsidRDefault="00EE6AB3" w:rsidP="00EE6AB3">
      <w:pPr>
        <w:pStyle w:val="NormalWeb"/>
        <w:spacing w:line="480" w:lineRule="auto"/>
        <w:ind w:left="450" w:hanging="450"/>
        <w:rPr>
          <w:sz w:val="22"/>
          <w:szCs w:val="22"/>
        </w:rPr>
      </w:pPr>
      <w:r w:rsidRPr="00FC2FD1">
        <w:rPr>
          <w:sz w:val="22"/>
          <w:szCs w:val="22"/>
        </w:rPr>
        <w:t xml:space="preserve">7. </w:t>
      </w:r>
      <w:r w:rsidRPr="00FC2FD1">
        <w:rPr>
          <w:rStyle w:val="rule-text"/>
          <w:i/>
          <w:iCs/>
          <w:sz w:val="22"/>
          <w:szCs w:val="22"/>
        </w:rPr>
        <w:t xml:space="preserve">Anglo-American Cataloguing Rules, </w:t>
      </w:r>
      <w:r w:rsidRPr="00FC2FD1">
        <w:rPr>
          <w:rStyle w:val="rule-text"/>
          <w:iCs/>
          <w:sz w:val="22"/>
          <w:szCs w:val="22"/>
        </w:rPr>
        <w:t>2nd ed., 2002 revision, 2005 update (Chicago: American Library Association, 2005), 24.1A (accessed via Cataloger’s Desktop, Sept. 11, 2008).</w:t>
      </w:r>
    </w:p>
    <w:p w:rsidR="00EE6AB3" w:rsidRPr="00FC2FD1" w:rsidRDefault="00EE6AB3" w:rsidP="00EE6AB3">
      <w:pPr>
        <w:pStyle w:val="NormalWeb"/>
        <w:spacing w:line="480" w:lineRule="auto"/>
        <w:ind w:left="450" w:hanging="450"/>
        <w:rPr>
          <w:sz w:val="22"/>
          <w:szCs w:val="22"/>
        </w:rPr>
      </w:pPr>
      <w:r>
        <w:rPr>
          <w:sz w:val="22"/>
          <w:szCs w:val="22"/>
        </w:rPr>
        <w:t>8</w:t>
      </w:r>
      <w:r w:rsidRPr="00FC2FD1">
        <w:rPr>
          <w:sz w:val="22"/>
          <w:szCs w:val="22"/>
        </w:rPr>
        <w:t xml:space="preserve">. Suzanne R. Graham and Diane DeCesare Ross, "Metadata and Authority Control in the </w:t>
      </w:r>
      <w:r w:rsidRPr="00FC2FD1">
        <w:rPr>
          <w:i/>
          <w:iCs/>
          <w:sz w:val="22"/>
          <w:szCs w:val="22"/>
        </w:rPr>
        <w:t>Civil Rights in Mississippi Digital</w:t>
      </w:r>
      <w:r w:rsidRPr="00FC2FD1">
        <w:rPr>
          <w:sz w:val="22"/>
          <w:szCs w:val="22"/>
        </w:rPr>
        <w:t xml:space="preserve"> </w:t>
      </w:r>
      <w:r w:rsidRPr="00FC2FD1">
        <w:rPr>
          <w:i/>
          <w:iCs/>
          <w:sz w:val="22"/>
          <w:szCs w:val="22"/>
        </w:rPr>
        <w:t>Archive</w:t>
      </w:r>
      <w:r w:rsidRPr="00FC2FD1">
        <w:rPr>
          <w:sz w:val="22"/>
          <w:szCs w:val="22"/>
        </w:rPr>
        <w:t xml:space="preserve">," </w:t>
      </w:r>
      <w:r w:rsidRPr="00FC2FD1">
        <w:rPr>
          <w:i/>
          <w:iCs/>
          <w:sz w:val="22"/>
          <w:szCs w:val="22"/>
        </w:rPr>
        <w:t>Journal of Internet Cataloging</w:t>
      </w:r>
      <w:r w:rsidRPr="00FC2FD1">
        <w:rPr>
          <w:sz w:val="22"/>
          <w:szCs w:val="22"/>
        </w:rPr>
        <w:t xml:space="preserve"> 6, no. 1 (2003): </w:t>
      </w:r>
      <w:r>
        <w:rPr>
          <w:sz w:val="22"/>
          <w:szCs w:val="22"/>
        </w:rPr>
        <w:t>37-</w:t>
      </w:r>
      <w:r w:rsidRPr="00FC2FD1">
        <w:rPr>
          <w:sz w:val="22"/>
          <w:szCs w:val="22"/>
        </w:rPr>
        <w:t xml:space="preserve">38. </w:t>
      </w:r>
    </w:p>
    <w:p w:rsidR="00EE6AB3" w:rsidRDefault="00EE6AB3" w:rsidP="00EE6AB3">
      <w:pPr>
        <w:pStyle w:val="NormalWeb"/>
        <w:spacing w:line="480" w:lineRule="auto"/>
        <w:ind w:left="450" w:hanging="450"/>
        <w:rPr>
          <w:sz w:val="22"/>
          <w:szCs w:val="22"/>
        </w:rPr>
      </w:pPr>
      <w:r>
        <w:rPr>
          <w:sz w:val="22"/>
          <w:szCs w:val="22"/>
        </w:rPr>
        <w:t>9</w:t>
      </w:r>
      <w:r w:rsidRPr="00FC2FD1">
        <w:rPr>
          <w:sz w:val="22"/>
          <w:szCs w:val="22"/>
        </w:rPr>
        <w:t>. Ibid., 3</w:t>
      </w:r>
      <w:r>
        <w:rPr>
          <w:sz w:val="22"/>
          <w:szCs w:val="22"/>
        </w:rPr>
        <w:t>8</w:t>
      </w:r>
      <w:r w:rsidRPr="00FC2FD1">
        <w:rPr>
          <w:sz w:val="22"/>
          <w:szCs w:val="22"/>
        </w:rPr>
        <w:t>.</w:t>
      </w:r>
    </w:p>
    <w:p w:rsidR="00EE6AB3" w:rsidRDefault="00EE6AB3" w:rsidP="00EE6AB3">
      <w:pPr>
        <w:pStyle w:val="NormalWeb"/>
        <w:spacing w:line="480" w:lineRule="auto"/>
        <w:ind w:left="450" w:hanging="450"/>
        <w:rPr>
          <w:sz w:val="22"/>
          <w:szCs w:val="22"/>
        </w:rPr>
      </w:pPr>
      <w:r>
        <w:rPr>
          <w:sz w:val="22"/>
          <w:szCs w:val="22"/>
        </w:rPr>
        <w:t>10. Ibid., 39.</w:t>
      </w:r>
    </w:p>
    <w:p w:rsidR="00EE6AB3" w:rsidRDefault="00EE6AB3" w:rsidP="00EE6AB3">
      <w:pPr>
        <w:pStyle w:val="NormalWeb"/>
        <w:spacing w:line="480" w:lineRule="auto"/>
        <w:ind w:left="450" w:hanging="450"/>
        <w:rPr>
          <w:sz w:val="22"/>
          <w:szCs w:val="22"/>
        </w:rPr>
      </w:pPr>
      <w:r>
        <w:rPr>
          <w:sz w:val="22"/>
          <w:szCs w:val="22"/>
        </w:rPr>
        <w:t>11</w:t>
      </w:r>
      <w:r w:rsidRPr="00FC2FD1">
        <w:rPr>
          <w:sz w:val="22"/>
          <w:szCs w:val="22"/>
        </w:rPr>
        <w:t>.</w:t>
      </w:r>
      <w:r>
        <w:rPr>
          <w:sz w:val="22"/>
          <w:szCs w:val="22"/>
        </w:rPr>
        <w:t xml:space="preserve"> </w:t>
      </w:r>
      <w:r w:rsidRPr="00FC2FD1">
        <w:rPr>
          <w:sz w:val="22"/>
          <w:szCs w:val="22"/>
        </w:rPr>
        <w:t xml:space="preserve">Linda Cuccurullo, "Kicked a Heading Lately? The Challenge of Establishing Headings for Buildings and Other Structures," </w:t>
      </w:r>
      <w:r w:rsidRPr="00FC2FD1">
        <w:rPr>
          <w:i/>
          <w:iCs/>
          <w:sz w:val="22"/>
          <w:szCs w:val="22"/>
        </w:rPr>
        <w:t>Art Documentation: Bulletin of the Art Libraries Society of North America</w:t>
      </w:r>
      <w:r w:rsidRPr="00FC2FD1">
        <w:rPr>
          <w:sz w:val="22"/>
          <w:szCs w:val="22"/>
        </w:rPr>
        <w:t xml:space="preserve"> 25, no. 2 (2006): </w:t>
      </w:r>
      <w:r>
        <w:rPr>
          <w:sz w:val="22"/>
          <w:szCs w:val="22"/>
        </w:rPr>
        <w:t>56-60.</w:t>
      </w:r>
    </w:p>
    <w:p w:rsidR="00EE6AB3" w:rsidRDefault="00EE6AB3" w:rsidP="00EE6AB3">
      <w:pPr>
        <w:pStyle w:val="NormalWeb"/>
        <w:spacing w:line="480" w:lineRule="auto"/>
        <w:ind w:left="450" w:hanging="450"/>
        <w:rPr>
          <w:sz w:val="22"/>
          <w:szCs w:val="22"/>
        </w:rPr>
      </w:pPr>
      <w:r>
        <w:rPr>
          <w:sz w:val="22"/>
          <w:szCs w:val="22"/>
        </w:rPr>
        <w:lastRenderedPageBreak/>
        <w:t xml:space="preserve">12. Ibid., </w:t>
      </w:r>
      <w:r w:rsidRPr="00FC2FD1">
        <w:rPr>
          <w:sz w:val="22"/>
          <w:szCs w:val="22"/>
        </w:rPr>
        <w:t>58</w:t>
      </w:r>
      <w:r>
        <w:rPr>
          <w:sz w:val="22"/>
          <w:szCs w:val="22"/>
        </w:rPr>
        <w:t>-59</w:t>
      </w:r>
      <w:r w:rsidRPr="00FC2FD1">
        <w:rPr>
          <w:sz w:val="22"/>
          <w:szCs w:val="22"/>
        </w:rPr>
        <w:t xml:space="preserve">. </w:t>
      </w:r>
    </w:p>
    <w:p w:rsidR="00EE6AB3" w:rsidRDefault="00EE6AB3" w:rsidP="00EE6AB3">
      <w:pPr>
        <w:pStyle w:val="NormalWeb"/>
        <w:spacing w:line="480" w:lineRule="auto"/>
        <w:ind w:left="450" w:hanging="450"/>
        <w:rPr>
          <w:sz w:val="22"/>
          <w:szCs w:val="22"/>
        </w:rPr>
      </w:pPr>
      <w:r>
        <w:rPr>
          <w:sz w:val="22"/>
          <w:szCs w:val="22"/>
        </w:rPr>
        <w:t>13. Ibid., 58.</w:t>
      </w:r>
    </w:p>
    <w:p w:rsidR="00EE6AB3" w:rsidRPr="00FC2FD1" w:rsidRDefault="00EE6AB3" w:rsidP="00EE6AB3">
      <w:pPr>
        <w:pStyle w:val="NormalWeb"/>
        <w:spacing w:line="480" w:lineRule="auto"/>
        <w:ind w:left="450" w:hanging="450"/>
        <w:rPr>
          <w:sz w:val="22"/>
          <w:szCs w:val="22"/>
        </w:rPr>
      </w:pPr>
      <w:r w:rsidRPr="00FC2FD1">
        <w:rPr>
          <w:sz w:val="22"/>
          <w:szCs w:val="22"/>
        </w:rPr>
        <w:t>1</w:t>
      </w:r>
      <w:r>
        <w:rPr>
          <w:sz w:val="22"/>
          <w:szCs w:val="22"/>
        </w:rPr>
        <w:t>4</w:t>
      </w:r>
      <w:r w:rsidRPr="00FC2FD1">
        <w:rPr>
          <w:sz w:val="22"/>
          <w:szCs w:val="22"/>
        </w:rPr>
        <w:t xml:space="preserve">. Murtha Baca et al., </w:t>
      </w:r>
      <w:r w:rsidRPr="00FC2FD1">
        <w:rPr>
          <w:i/>
          <w:iCs/>
          <w:sz w:val="22"/>
          <w:szCs w:val="22"/>
        </w:rPr>
        <w:t>Cataloging Cultural Objects: A Guide to Describing Cultural Works and their Images</w:t>
      </w:r>
      <w:r w:rsidRPr="00FC2FD1">
        <w:rPr>
          <w:sz w:val="22"/>
          <w:szCs w:val="22"/>
        </w:rPr>
        <w:t xml:space="preserve"> (Chicago: Americ</w:t>
      </w:r>
      <w:r>
        <w:rPr>
          <w:sz w:val="22"/>
          <w:szCs w:val="22"/>
        </w:rPr>
        <w:t>an Library Association, 2006)</w:t>
      </w:r>
      <w:r w:rsidRPr="00FC2FD1">
        <w:rPr>
          <w:sz w:val="22"/>
          <w:szCs w:val="22"/>
        </w:rPr>
        <w:t xml:space="preserve">. </w:t>
      </w:r>
    </w:p>
    <w:p w:rsidR="00EE6AB3" w:rsidRDefault="00EE6AB3" w:rsidP="00EE6AB3">
      <w:pPr>
        <w:pStyle w:val="NormalWeb"/>
        <w:spacing w:line="480" w:lineRule="auto"/>
        <w:ind w:left="450" w:hanging="450"/>
        <w:rPr>
          <w:sz w:val="22"/>
          <w:szCs w:val="22"/>
        </w:rPr>
      </w:pPr>
      <w:r>
        <w:rPr>
          <w:sz w:val="22"/>
          <w:szCs w:val="22"/>
        </w:rPr>
        <w:t>15. Ibid., 8-9.</w:t>
      </w:r>
    </w:p>
    <w:p w:rsidR="00EE6AB3" w:rsidRDefault="00EE6AB3" w:rsidP="00EE6AB3">
      <w:pPr>
        <w:pStyle w:val="NormalWeb"/>
        <w:spacing w:line="480" w:lineRule="auto"/>
        <w:ind w:left="450" w:hanging="450"/>
        <w:rPr>
          <w:sz w:val="22"/>
          <w:szCs w:val="22"/>
        </w:rPr>
      </w:pPr>
      <w:r>
        <w:rPr>
          <w:sz w:val="22"/>
          <w:szCs w:val="22"/>
        </w:rPr>
        <w:t xml:space="preserve">16. Barbara B. Tillett, “Authority Control: State of the Art and New Perspectives,” </w:t>
      </w:r>
      <w:r w:rsidRPr="003A0EAB">
        <w:rPr>
          <w:i/>
          <w:sz w:val="22"/>
          <w:szCs w:val="22"/>
        </w:rPr>
        <w:t>Cataloging &amp; Classification Quarterly</w:t>
      </w:r>
      <w:r>
        <w:rPr>
          <w:sz w:val="22"/>
          <w:szCs w:val="22"/>
        </w:rPr>
        <w:t xml:space="preserve"> 38, no. 3/4 (2004): 24.</w:t>
      </w:r>
    </w:p>
    <w:p w:rsidR="00EE6AB3" w:rsidRDefault="00EE6AB3" w:rsidP="00EE6AB3">
      <w:pPr>
        <w:pStyle w:val="NormalWeb"/>
        <w:spacing w:line="480" w:lineRule="auto"/>
        <w:ind w:left="450" w:hanging="450"/>
        <w:rPr>
          <w:sz w:val="22"/>
          <w:szCs w:val="22"/>
        </w:rPr>
      </w:pPr>
      <w:r>
        <w:rPr>
          <w:sz w:val="22"/>
          <w:szCs w:val="22"/>
        </w:rPr>
        <w:t>17. Ibid., 32-39.</w:t>
      </w:r>
    </w:p>
    <w:p w:rsidR="00EE6AB3" w:rsidRDefault="00EE6AB3" w:rsidP="00EE6AB3">
      <w:pPr>
        <w:pStyle w:val="NormalWeb"/>
        <w:spacing w:line="480" w:lineRule="auto"/>
        <w:ind w:left="450" w:hanging="450"/>
        <w:rPr>
          <w:sz w:val="22"/>
          <w:szCs w:val="22"/>
        </w:rPr>
      </w:pPr>
      <w:r>
        <w:rPr>
          <w:sz w:val="22"/>
          <w:szCs w:val="22"/>
        </w:rPr>
        <w:t xml:space="preserve">18. José Borbinha, “Authority Control in the World of Metadata,” </w:t>
      </w:r>
      <w:r w:rsidRPr="003A0EAB">
        <w:rPr>
          <w:i/>
          <w:sz w:val="22"/>
          <w:szCs w:val="22"/>
        </w:rPr>
        <w:t>Cataloging &amp; Classification Quarterly</w:t>
      </w:r>
      <w:r>
        <w:rPr>
          <w:sz w:val="22"/>
          <w:szCs w:val="22"/>
        </w:rPr>
        <w:t xml:space="preserve"> 38, no. 3/4 (2004): 114.</w:t>
      </w:r>
    </w:p>
    <w:p w:rsidR="00EE6AB3" w:rsidRDefault="00EE6AB3" w:rsidP="00EE6AB3">
      <w:pPr>
        <w:pStyle w:val="NormalWeb"/>
        <w:spacing w:line="480" w:lineRule="auto"/>
        <w:ind w:left="450" w:hanging="450"/>
        <w:rPr>
          <w:sz w:val="22"/>
          <w:szCs w:val="22"/>
        </w:rPr>
      </w:pPr>
      <w:r>
        <w:rPr>
          <w:sz w:val="22"/>
          <w:szCs w:val="22"/>
        </w:rPr>
        <w:t>19</w:t>
      </w:r>
      <w:r w:rsidRPr="00FC2FD1">
        <w:rPr>
          <w:sz w:val="22"/>
          <w:szCs w:val="22"/>
        </w:rPr>
        <w:t xml:space="preserve">. Jennifer Younger, "After Cutter: Authority Control in the Twenty-First Century," </w:t>
      </w:r>
      <w:r w:rsidRPr="00FC2FD1">
        <w:rPr>
          <w:i/>
          <w:iCs/>
          <w:sz w:val="22"/>
          <w:szCs w:val="22"/>
        </w:rPr>
        <w:t>Library Resources and Technical Services</w:t>
      </w:r>
      <w:r w:rsidRPr="00FC2FD1">
        <w:rPr>
          <w:sz w:val="22"/>
          <w:szCs w:val="22"/>
        </w:rPr>
        <w:t xml:space="preserve"> 132, no. 2 (1995): </w:t>
      </w:r>
      <w:r>
        <w:rPr>
          <w:sz w:val="22"/>
          <w:szCs w:val="22"/>
        </w:rPr>
        <w:t>133-41.</w:t>
      </w:r>
    </w:p>
    <w:p w:rsidR="00EE6AB3" w:rsidRPr="00FC2FD1" w:rsidRDefault="00EE6AB3" w:rsidP="00EE6AB3">
      <w:pPr>
        <w:pStyle w:val="NormalWeb"/>
        <w:spacing w:line="480" w:lineRule="auto"/>
        <w:ind w:left="450" w:hanging="450"/>
        <w:rPr>
          <w:sz w:val="22"/>
          <w:szCs w:val="22"/>
        </w:rPr>
      </w:pPr>
      <w:r>
        <w:rPr>
          <w:sz w:val="22"/>
          <w:szCs w:val="22"/>
        </w:rPr>
        <w:t xml:space="preserve">20. Ibid., </w:t>
      </w:r>
      <w:r w:rsidRPr="00FC2FD1">
        <w:rPr>
          <w:sz w:val="22"/>
          <w:szCs w:val="22"/>
        </w:rPr>
        <w:t xml:space="preserve">137. </w:t>
      </w:r>
    </w:p>
    <w:p w:rsidR="00EE6AB3" w:rsidRDefault="00EE6AB3" w:rsidP="00EE6AB3">
      <w:pPr>
        <w:pStyle w:val="NormalWeb"/>
        <w:spacing w:line="480" w:lineRule="auto"/>
        <w:ind w:left="450" w:hanging="450"/>
        <w:rPr>
          <w:sz w:val="22"/>
          <w:szCs w:val="22"/>
        </w:rPr>
      </w:pPr>
      <w:r>
        <w:rPr>
          <w:sz w:val="22"/>
          <w:szCs w:val="22"/>
        </w:rPr>
        <w:t xml:space="preserve">21. </w:t>
      </w:r>
      <w:r w:rsidRPr="00FC2FD1">
        <w:rPr>
          <w:bCs/>
          <w:sz w:val="22"/>
          <w:szCs w:val="22"/>
        </w:rPr>
        <w:t>IFLA Working Group on Functional Requirements and Numbering of Authority Records (FRANAR)</w:t>
      </w:r>
      <w:r w:rsidRPr="00FC2FD1">
        <w:rPr>
          <w:sz w:val="22"/>
          <w:szCs w:val="22"/>
        </w:rPr>
        <w:t xml:space="preserve">, </w:t>
      </w:r>
      <w:r w:rsidRPr="00FC2FD1">
        <w:rPr>
          <w:i/>
          <w:iCs/>
          <w:sz w:val="22"/>
          <w:szCs w:val="22"/>
        </w:rPr>
        <w:t>Functional Requirements for Authority Data: A Conceptual Model</w:t>
      </w:r>
      <w:r w:rsidRPr="00FC2FD1">
        <w:rPr>
          <w:sz w:val="22"/>
          <w:szCs w:val="22"/>
        </w:rPr>
        <w:t xml:space="preserve"> (The Hague: International Federation of</w:t>
      </w:r>
      <w:r>
        <w:rPr>
          <w:sz w:val="22"/>
          <w:szCs w:val="22"/>
        </w:rPr>
        <w:t xml:space="preserve"> Library Associations, 2007)</w:t>
      </w:r>
      <w:r w:rsidRPr="00FC2FD1">
        <w:rPr>
          <w:sz w:val="22"/>
          <w:szCs w:val="22"/>
        </w:rPr>
        <w:t xml:space="preserve">, </w:t>
      </w:r>
      <w:hyperlink r:id="rId8" w:history="1">
        <w:r w:rsidRPr="00236681">
          <w:rPr>
            <w:rStyle w:val="Hyperlink"/>
            <w:sz w:val="22"/>
            <w:szCs w:val="22"/>
          </w:rPr>
          <w:t>www.ifla.org/VII/d4/FRANAR-ConceptualModel-2ndReview.pdf</w:t>
        </w:r>
      </w:hyperlink>
      <w:r>
        <w:rPr>
          <w:sz w:val="22"/>
          <w:szCs w:val="22"/>
        </w:rPr>
        <w:t xml:space="preserve"> (accessed Sept. 11, 2008).</w:t>
      </w:r>
    </w:p>
    <w:p w:rsidR="00EE6AB3" w:rsidRDefault="00EE6AB3" w:rsidP="00EE6AB3">
      <w:pPr>
        <w:pStyle w:val="NormalWeb"/>
        <w:spacing w:line="480" w:lineRule="auto"/>
        <w:ind w:left="450" w:hanging="450"/>
        <w:rPr>
          <w:sz w:val="22"/>
          <w:szCs w:val="22"/>
        </w:rPr>
      </w:pPr>
      <w:r>
        <w:rPr>
          <w:sz w:val="22"/>
          <w:szCs w:val="22"/>
        </w:rPr>
        <w:t>22. Ibid., 56-59.</w:t>
      </w:r>
    </w:p>
    <w:p w:rsidR="00EE6AB3" w:rsidRPr="00FC2FD1" w:rsidRDefault="00EE6AB3" w:rsidP="00EE6AB3">
      <w:pPr>
        <w:pStyle w:val="NormalWeb"/>
        <w:spacing w:line="480" w:lineRule="auto"/>
        <w:ind w:left="450" w:hanging="450"/>
        <w:rPr>
          <w:sz w:val="22"/>
          <w:szCs w:val="22"/>
        </w:rPr>
      </w:pPr>
      <w:r>
        <w:rPr>
          <w:sz w:val="22"/>
          <w:szCs w:val="22"/>
        </w:rPr>
        <w:lastRenderedPageBreak/>
        <w:t>23</w:t>
      </w:r>
      <w:r w:rsidRPr="00FC2FD1">
        <w:rPr>
          <w:sz w:val="22"/>
          <w:szCs w:val="22"/>
        </w:rPr>
        <w:t>. Karen Coyle and Diane Hillman, "Resource Description and Access (RDA): Cataloging Rules for the 20th Century</w:t>
      </w:r>
      <w:r>
        <w:rPr>
          <w:sz w:val="22"/>
          <w:szCs w:val="22"/>
        </w:rPr>
        <w:t>,</w:t>
      </w:r>
      <w:r w:rsidRPr="00FC2FD1">
        <w:rPr>
          <w:sz w:val="22"/>
          <w:szCs w:val="22"/>
        </w:rPr>
        <w:t xml:space="preserve">" </w:t>
      </w:r>
      <w:r w:rsidRPr="00FC2FD1">
        <w:rPr>
          <w:i/>
          <w:iCs/>
          <w:sz w:val="22"/>
          <w:szCs w:val="22"/>
        </w:rPr>
        <w:t>D-Lib Magazine</w:t>
      </w:r>
      <w:r w:rsidRPr="00FC2FD1">
        <w:rPr>
          <w:sz w:val="22"/>
          <w:szCs w:val="22"/>
        </w:rPr>
        <w:t xml:space="preserve"> 13, no. 1 (2007), </w:t>
      </w:r>
      <w:hyperlink r:id="rId9" w:history="1">
        <w:r w:rsidRPr="00FC2FD1">
          <w:rPr>
            <w:rStyle w:val="Hyperlink"/>
            <w:sz w:val="22"/>
            <w:szCs w:val="22"/>
          </w:rPr>
          <w:t>http://www.dlib.org/dlib/january07/coyle/01coyle.html</w:t>
        </w:r>
      </w:hyperlink>
      <w:r w:rsidRPr="00FC2FD1">
        <w:rPr>
          <w:sz w:val="22"/>
          <w:szCs w:val="22"/>
        </w:rPr>
        <w:t xml:space="preserve"> (accessed Sept. 11, 2008).</w:t>
      </w:r>
    </w:p>
    <w:p w:rsidR="00EE6AB3" w:rsidRDefault="00EE6AB3" w:rsidP="00EE6AB3">
      <w:pPr>
        <w:pStyle w:val="NormalWeb"/>
        <w:spacing w:line="480" w:lineRule="auto"/>
        <w:ind w:left="450" w:hanging="450"/>
        <w:rPr>
          <w:sz w:val="22"/>
          <w:szCs w:val="22"/>
        </w:rPr>
      </w:pPr>
      <w:r>
        <w:rPr>
          <w:sz w:val="22"/>
          <w:szCs w:val="22"/>
        </w:rPr>
        <w:t>24</w:t>
      </w:r>
      <w:r w:rsidRPr="00FC2FD1">
        <w:rPr>
          <w:sz w:val="22"/>
          <w:szCs w:val="22"/>
        </w:rPr>
        <w:t xml:space="preserve">. Library of Congress Cataloging Policy and Support Office, </w:t>
      </w:r>
      <w:r>
        <w:rPr>
          <w:sz w:val="22"/>
          <w:szCs w:val="22"/>
        </w:rPr>
        <w:t xml:space="preserve">“H180: Assigning and Constructing Subject Headings,” in </w:t>
      </w:r>
      <w:r w:rsidRPr="00FC2FD1">
        <w:rPr>
          <w:i/>
          <w:iCs/>
          <w:sz w:val="22"/>
          <w:szCs w:val="22"/>
        </w:rPr>
        <w:t>Subject Cataloging Manual. Subject Headings,</w:t>
      </w:r>
      <w:r w:rsidRPr="00FC2FD1">
        <w:rPr>
          <w:sz w:val="22"/>
          <w:szCs w:val="22"/>
        </w:rPr>
        <w:t xml:space="preserve"> 5th ed. (Washington: Cataloging Distribution Service, </w:t>
      </w:r>
      <w:r>
        <w:rPr>
          <w:sz w:val="22"/>
          <w:szCs w:val="22"/>
        </w:rPr>
        <w:t>Library of Congress, 1996),</w:t>
      </w:r>
      <w:r w:rsidRPr="00FC2FD1">
        <w:rPr>
          <w:sz w:val="22"/>
          <w:szCs w:val="22"/>
        </w:rPr>
        <w:t xml:space="preserve"> (accessed via Cataloger’s Desktop, Sept. 11, 2008). </w:t>
      </w:r>
    </w:p>
    <w:p w:rsidR="00EE6AB3" w:rsidRDefault="00EE6AB3" w:rsidP="00EE6AB3">
      <w:pPr>
        <w:pStyle w:val="NormalWeb"/>
        <w:spacing w:line="480" w:lineRule="auto"/>
        <w:ind w:left="450" w:hanging="450"/>
        <w:rPr>
          <w:iCs/>
          <w:sz w:val="22"/>
          <w:szCs w:val="22"/>
        </w:rPr>
      </w:pPr>
      <w:r>
        <w:rPr>
          <w:sz w:val="22"/>
          <w:szCs w:val="22"/>
        </w:rPr>
        <w:t xml:space="preserve">25. </w:t>
      </w:r>
      <w:r w:rsidRPr="00FC2FD1">
        <w:rPr>
          <w:sz w:val="22"/>
          <w:szCs w:val="22"/>
        </w:rPr>
        <w:t xml:space="preserve">Baca et al., </w:t>
      </w:r>
      <w:r w:rsidRPr="00FC2FD1">
        <w:rPr>
          <w:i/>
          <w:iCs/>
          <w:sz w:val="22"/>
          <w:szCs w:val="22"/>
        </w:rPr>
        <w:t>Cataloging Cultural Objects</w:t>
      </w:r>
      <w:r>
        <w:rPr>
          <w:iCs/>
          <w:sz w:val="22"/>
          <w:szCs w:val="22"/>
        </w:rPr>
        <w:t>, 8.</w:t>
      </w:r>
    </w:p>
    <w:p w:rsidR="00EE6AB3" w:rsidRDefault="00EE6AB3" w:rsidP="00EE6AB3">
      <w:pPr>
        <w:pStyle w:val="NormalWeb"/>
        <w:spacing w:line="480" w:lineRule="auto"/>
        <w:ind w:left="450" w:hanging="450"/>
        <w:rPr>
          <w:iCs/>
          <w:sz w:val="22"/>
          <w:szCs w:val="22"/>
        </w:rPr>
      </w:pPr>
      <w:r>
        <w:rPr>
          <w:iCs/>
          <w:sz w:val="22"/>
          <w:szCs w:val="22"/>
        </w:rPr>
        <w:t>26. Ibid., 9.</w:t>
      </w:r>
    </w:p>
    <w:p w:rsidR="00EE6AB3" w:rsidRDefault="00EE6AB3" w:rsidP="00EE6AB3">
      <w:pPr>
        <w:pStyle w:val="NormalWeb"/>
        <w:spacing w:line="480" w:lineRule="auto"/>
        <w:ind w:left="450" w:hanging="450"/>
        <w:rPr>
          <w:sz w:val="22"/>
          <w:szCs w:val="22"/>
        </w:rPr>
      </w:pPr>
      <w:r>
        <w:rPr>
          <w:sz w:val="22"/>
          <w:szCs w:val="22"/>
        </w:rPr>
        <w:t>27</w:t>
      </w:r>
      <w:r w:rsidRPr="00FC2FD1">
        <w:rPr>
          <w:sz w:val="22"/>
          <w:szCs w:val="22"/>
        </w:rPr>
        <w:t xml:space="preserve">. Arlene G. Taylor, "Metadata: Access and Authority Control," in </w:t>
      </w:r>
      <w:r w:rsidRPr="00FC2FD1">
        <w:rPr>
          <w:i/>
          <w:iCs/>
          <w:sz w:val="22"/>
          <w:szCs w:val="22"/>
        </w:rPr>
        <w:t>Organization of Information,</w:t>
      </w:r>
      <w:r w:rsidRPr="00FC2FD1">
        <w:rPr>
          <w:sz w:val="22"/>
          <w:szCs w:val="22"/>
        </w:rPr>
        <w:t xml:space="preserve"> 2nd ed. (Westport, Conn.: Libraries Unlimited, 2004), 204. </w:t>
      </w:r>
    </w:p>
    <w:p w:rsidR="00EE6AB3" w:rsidRDefault="00EE6AB3" w:rsidP="00EE6AB3">
      <w:pPr>
        <w:pStyle w:val="NormalWeb"/>
        <w:spacing w:line="480" w:lineRule="auto"/>
        <w:ind w:left="450" w:hanging="450"/>
        <w:rPr>
          <w:sz w:val="22"/>
          <w:szCs w:val="22"/>
        </w:rPr>
      </w:pPr>
      <w:r>
        <w:rPr>
          <w:sz w:val="22"/>
          <w:szCs w:val="22"/>
        </w:rPr>
        <w:t xml:space="preserve">28. “H405: Establishing Certain Entities in the Name or Subject Authority File,” in </w:t>
      </w:r>
      <w:r w:rsidRPr="00FC2FD1">
        <w:rPr>
          <w:i/>
          <w:iCs/>
          <w:sz w:val="22"/>
          <w:szCs w:val="22"/>
        </w:rPr>
        <w:t>Subject Cataloging Manual. Subject Headings</w:t>
      </w:r>
      <w:r>
        <w:rPr>
          <w:i/>
          <w:iCs/>
          <w:sz w:val="22"/>
          <w:szCs w:val="22"/>
        </w:rPr>
        <w:t xml:space="preserve"> </w:t>
      </w:r>
      <w:r>
        <w:rPr>
          <w:iCs/>
          <w:sz w:val="22"/>
          <w:szCs w:val="22"/>
        </w:rPr>
        <w:t>(see note 24)</w:t>
      </w:r>
      <w:r>
        <w:rPr>
          <w:sz w:val="22"/>
          <w:szCs w:val="22"/>
        </w:rPr>
        <w:t>.</w:t>
      </w:r>
    </w:p>
    <w:p w:rsidR="00EE6AB3" w:rsidRDefault="00EE6AB3" w:rsidP="00EE6AB3">
      <w:pPr>
        <w:pStyle w:val="NormalWeb"/>
        <w:spacing w:line="480" w:lineRule="auto"/>
        <w:ind w:left="450" w:hanging="450"/>
        <w:rPr>
          <w:sz w:val="22"/>
          <w:szCs w:val="22"/>
        </w:rPr>
      </w:pPr>
      <w:r>
        <w:rPr>
          <w:sz w:val="22"/>
          <w:szCs w:val="22"/>
        </w:rPr>
        <w:t xml:space="preserve">29. Sherman Clarke, “FRBR and Buildings” (report to Subject Analysis Committee Task Force on Named Buildings, 2004), </w:t>
      </w:r>
      <w:hyperlink r:id="rId10" w:history="1">
        <w:r w:rsidRPr="00B44553">
          <w:rPr>
            <w:rStyle w:val="Hyperlink"/>
            <w:sz w:val="22"/>
            <w:szCs w:val="22"/>
          </w:rPr>
          <w:t>http://artcataloging.net/ala/mw04/frbrbldg.html</w:t>
        </w:r>
      </w:hyperlink>
      <w:r>
        <w:rPr>
          <w:sz w:val="22"/>
          <w:szCs w:val="22"/>
        </w:rPr>
        <w:t xml:space="preserve"> (accessed Nov. 14, 2008).</w:t>
      </w:r>
    </w:p>
    <w:p w:rsidR="00EE6AB3" w:rsidRDefault="00EE6AB3" w:rsidP="00EE6AB3">
      <w:pPr>
        <w:pStyle w:val="NormalWeb"/>
        <w:spacing w:line="480" w:lineRule="auto"/>
        <w:ind w:left="450" w:hanging="450"/>
        <w:rPr>
          <w:rStyle w:val="rule-text"/>
          <w:iCs/>
          <w:sz w:val="22"/>
          <w:szCs w:val="22"/>
        </w:rPr>
      </w:pPr>
      <w:r>
        <w:rPr>
          <w:sz w:val="22"/>
          <w:szCs w:val="22"/>
        </w:rPr>
        <w:t xml:space="preserve">30. </w:t>
      </w:r>
      <w:r w:rsidRPr="00FC2FD1">
        <w:rPr>
          <w:rStyle w:val="rule-text"/>
          <w:i/>
          <w:iCs/>
          <w:sz w:val="22"/>
          <w:szCs w:val="22"/>
        </w:rPr>
        <w:t xml:space="preserve">Anglo-American Cataloguing Rules, </w:t>
      </w:r>
      <w:r>
        <w:rPr>
          <w:rStyle w:val="rule-text"/>
          <w:iCs/>
          <w:sz w:val="22"/>
          <w:szCs w:val="22"/>
        </w:rPr>
        <w:t>24.1A.</w:t>
      </w:r>
    </w:p>
    <w:p w:rsidR="00EE6AB3" w:rsidRDefault="00EE6AB3" w:rsidP="00EE6AB3">
      <w:pPr>
        <w:pStyle w:val="NormalWeb"/>
        <w:spacing w:line="480" w:lineRule="auto"/>
        <w:ind w:left="450" w:hanging="450"/>
        <w:rPr>
          <w:sz w:val="22"/>
          <w:szCs w:val="22"/>
        </w:rPr>
      </w:pPr>
      <w:r>
        <w:rPr>
          <w:rStyle w:val="rule-text"/>
          <w:iCs/>
          <w:sz w:val="22"/>
          <w:szCs w:val="22"/>
        </w:rPr>
        <w:t xml:space="preserve">31. “H1334: Buildings and Other Structures,” in </w:t>
      </w:r>
      <w:r w:rsidRPr="00FC2FD1">
        <w:rPr>
          <w:i/>
          <w:iCs/>
          <w:sz w:val="22"/>
          <w:szCs w:val="22"/>
        </w:rPr>
        <w:t>Subject Cataloging Manual. Subject Headings</w:t>
      </w:r>
      <w:r>
        <w:rPr>
          <w:i/>
          <w:iCs/>
          <w:sz w:val="22"/>
          <w:szCs w:val="22"/>
        </w:rPr>
        <w:t xml:space="preserve"> </w:t>
      </w:r>
      <w:r>
        <w:rPr>
          <w:iCs/>
          <w:sz w:val="22"/>
          <w:szCs w:val="22"/>
        </w:rPr>
        <w:t>(see note 24)</w:t>
      </w:r>
      <w:r>
        <w:rPr>
          <w:sz w:val="22"/>
          <w:szCs w:val="22"/>
        </w:rPr>
        <w:t>.</w:t>
      </w:r>
    </w:p>
    <w:p w:rsidR="00EE6AB3" w:rsidRDefault="00EE6AB3" w:rsidP="00EE6AB3">
      <w:pPr>
        <w:pStyle w:val="NormalWeb"/>
        <w:spacing w:line="480" w:lineRule="auto"/>
        <w:ind w:left="450" w:hanging="450"/>
        <w:rPr>
          <w:sz w:val="22"/>
          <w:szCs w:val="22"/>
        </w:rPr>
      </w:pPr>
      <w:r>
        <w:rPr>
          <w:sz w:val="22"/>
          <w:szCs w:val="22"/>
        </w:rPr>
        <w:t xml:space="preserve">32. </w:t>
      </w:r>
      <w:r w:rsidRPr="00FC2FD1">
        <w:rPr>
          <w:sz w:val="22"/>
          <w:szCs w:val="22"/>
        </w:rPr>
        <w:t xml:space="preserve">Ray McAllister, </w:t>
      </w:r>
      <w:r w:rsidRPr="00FC2FD1">
        <w:rPr>
          <w:i/>
          <w:iCs/>
          <w:sz w:val="22"/>
          <w:szCs w:val="22"/>
        </w:rPr>
        <w:t>Wrightsville Beach: The Luminous Island</w:t>
      </w:r>
      <w:r w:rsidRPr="00FC2FD1">
        <w:rPr>
          <w:sz w:val="22"/>
          <w:szCs w:val="22"/>
        </w:rPr>
        <w:t xml:space="preserve"> (Wins</w:t>
      </w:r>
      <w:r>
        <w:rPr>
          <w:sz w:val="22"/>
          <w:szCs w:val="22"/>
        </w:rPr>
        <w:t>ton-Salem: John F. Blair, 2007).</w:t>
      </w:r>
    </w:p>
    <w:p w:rsidR="00EE6AB3" w:rsidRDefault="00EE6AB3" w:rsidP="00EE6AB3">
      <w:pPr>
        <w:pStyle w:val="NormalWeb"/>
        <w:spacing w:line="480" w:lineRule="auto"/>
        <w:ind w:left="450" w:hanging="450"/>
        <w:rPr>
          <w:sz w:val="22"/>
          <w:szCs w:val="22"/>
        </w:rPr>
      </w:pPr>
      <w:r>
        <w:rPr>
          <w:sz w:val="22"/>
          <w:szCs w:val="22"/>
        </w:rPr>
        <w:t>33. Ibid., 49.</w:t>
      </w:r>
    </w:p>
    <w:p w:rsidR="00EE6AB3" w:rsidRPr="00FC2FD1" w:rsidRDefault="00EE6AB3" w:rsidP="00EE6AB3">
      <w:pPr>
        <w:pStyle w:val="NormalWeb"/>
        <w:spacing w:line="480" w:lineRule="auto"/>
        <w:ind w:left="450" w:hanging="450"/>
        <w:rPr>
          <w:sz w:val="22"/>
          <w:szCs w:val="22"/>
        </w:rPr>
      </w:pPr>
      <w:r>
        <w:rPr>
          <w:sz w:val="22"/>
          <w:szCs w:val="22"/>
        </w:rPr>
        <w:lastRenderedPageBreak/>
        <w:t xml:space="preserve">34. Cuccurullo, </w:t>
      </w:r>
      <w:r w:rsidRPr="00FC2FD1">
        <w:rPr>
          <w:sz w:val="22"/>
          <w:szCs w:val="22"/>
        </w:rPr>
        <w:t>"Kicked a Heading Lately?</w:t>
      </w:r>
      <w:r>
        <w:rPr>
          <w:sz w:val="22"/>
          <w:szCs w:val="22"/>
        </w:rPr>
        <w:t>” 58.</w:t>
      </w:r>
    </w:p>
    <w:p w:rsidR="00EE6AB3" w:rsidRDefault="00EE6AB3" w:rsidP="00EE6AB3">
      <w:pPr>
        <w:pStyle w:val="NormalWeb"/>
        <w:spacing w:line="480" w:lineRule="auto"/>
        <w:ind w:left="450" w:hanging="450"/>
        <w:rPr>
          <w:iCs/>
          <w:sz w:val="22"/>
          <w:szCs w:val="22"/>
        </w:rPr>
      </w:pPr>
      <w:r>
        <w:rPr>
          <w:iCs/>
          <w:sz w:val="22"/>
          <w:szCs w:val="22"/>
        </w:rPr>
        <w:t>35. Younger, “After Cutter,” 133.</w:t>
      </w:r>
    </w:p>
    <w:p w:rsidR="00EE6AB3" w:rsidRDefault="00EE6AB3" w:rsidP="00EE6AB3">
      <w:pPr>
        <w:pStyle w:val="NormalWeb"/>
        <w:spacing w:line="480" w:lineRule="auto"/>
        <w:ind w:left="450" w:hanging="450"/>
        <w:rPr>
          <w:iCs/>
          <w:sz w:val="22"/>
          <w:szCs w:val="22"/>
        </w:rPr>
      </w:pPr>
      <w:r>
        <w:rPr>
          <w:iCs/>
          <w:sz w:val="22"/>
          <w:szCs w:val="22"/>
        </w:rPr>
        <w:t>36. Ibid., 137.</w:t>
      </w:r>
    </w:p>
    <w:p w:rsidR="00EE6AB3" w:rsidRDefault="00EE6AB3" w:rsidP="00EE6AB3">
      <w:pPr>
        <w:pStyle w:val="NormalWeb"/>
        <w:spacing w:line="480" w:lineRule="auto"/>
        <w:ind w:left="450" w:hanging="450"/>
        <w:rPr>
          <w:sz w:val="22"/>
          <w:szCs w:val="22"/>
        </w:rPr>
      </w:pPr>
      <w:r>
        <w:rPr>
          <w:iCs/>
          <w:sz w:val="22"/>
          <w:szCs w:val="22"/>
        </w:rPr>
        <w:t xml:space="preserve">37. </w:t>
      </w:r>
      <w:r>
        <w:rPr>
          <w:rStyle w:val="rule-text"/>
          <w:iCs/>
          <w:sz w:val="22"/>
          <w:szCs w:val="22"/>
        </w:rPr>
        <w:t xml:space="preserve">“H1334: Buildings and Other Structures,” in </w:t>
      </w:r>
      <w:r w:rsidRPr="00FC2FD1">
        <w:rPr>
          <w:i/>
          <w:iCs/>
          <w:sz w:val="22"/>
          <w:szCs w:val="22"/>
        </w:rPr>
        <w:t>Subject Cataloging Manual. Subject Headings</w:t>
      </w:r>
      <w:r>
        <w:rPr>
          <w:i/>
          <w:iCs/>
          <w:sz w:val="22"/>
          <w:szCs w:val="22"/>
        </w:rPr>
        <w:t xml:space="preserve"> </w:t>
      </w:r>
      <w:r>
        <w:rPr>
          <w:iCs/>
          <w:sz w:val="22"/>
          <w:szCs w:val="22"/>
        </w:rPr>
        <w:t>(see note 24)</w:t>
      </w:r>
      <w:r>
        <w:rPr>
          <w:sz w:val="22"/>
          <w:szCs w:val="22"/>
        </w:rPr>
        <w:t>.</w:t>
      </w:r>
    </w:p>
    <w:p w:rsidR="00EE6AB3" w:rsidRDefault="00EE6AB3" w:rsidP="00EE6AB3">
      <w:pPr>
        <w:pStyle w:val="NormalWeb"/>
        <w:spacing w:line="480" w:lineRule="auto"/>
        <w:ind w:left="450" w:hanging="450"/>
        <w:rPr>
          <w:iCs/>
          <w:sz w:val="22"/>
          <w:szCs w:val="22"/>
        </w:rPr>
      </w:pPr>
      <w:r>
        <w:rPr>
          <w:sz w:val="22"/>
          <w:szCs w:val="22"/>
        </w:rPr>
        <w:t xml:space="preserve">38. </w:t>
      </w:r>
      <w:r w:rsidRPr="00FC2FD1">
        <w:rPr>
          <w:sz w:val="22"/>
          <w:szCs w:val="22"/>
        </w:rPr>
        <w:t xml:space="preserve">Baca et al., </w:t>
      </w:r>
      <w:r w:rsidRPr="00FC2FD1">
        <w:rPr>
          <w:i/>
          <w:iCs/>
          <w:sz w:val="22"/>
          <w:szCs w:val="22"/>
        </w:rPr>
        <w:t>Cataloging Cultural Objects</w:t>
      </w:r>
      <w:r>
        <w:rPr>
          <w:iCs/>
          <w:sz w:val="22"/>
          <w:szCs w:val="22"/>
        </w:rPr>
        <w:t>, 9.</w:t>
      </w:r>
    </w:p>
    <w:p w:rsidR="00EE6AB3" w:rsidRDefault="00EE6AB3" w:rsidP="00EE6AB3">
      <w:pPr>
        <w:pStyle w:val="NormalWeb"/>
        <w:spacing w:line="480" w:lineRule="auto"/>
        <w:ind w:left="450" w:hanging="450"/>
        <w:rPr>
          <w:iCs/>
          <w:sz w:val="22"/>
          <w:szCs w:val="22"/>
        </w:rPr>
      </w:pPr>
      <w:r>
        <w:rPr>
          <w:iCs/>
          <w:sz w:val="22"/>
          <w:szCs w:val="22"/>
        </w:rPr>
        <w:t>39. Younger, “After Cutter,” 138.</w:t>
      </w:r>
    </w:p>
    <w:p w:rsidR="00EE6AB3" w:rsidRPr="00FC2FD1" w:rsidRDefault="00EE6AB3" w:rsidP="00EE6AB3">
      <w:pPr>
        <w:pStyle w:val="Default"/>
        <w:spacing w:line="480" w:lineRule="auto"/>
        <w:ind w:left="450" w:hanging="450"/>
        <w:rPr>
          <w:rFonts w:ascii="Times New Roman" w:hAnsi="Times New Roman" w:cs="Times New Roman"/>
          <w:sz w:val="22"/>
          <w:szCs w:val="22"/>
        </w:rPr>
      </w:pPr>
      <w:r>
        <w:rPr>
          <w:iCs/>
          <w:sz w:val="22"/>
          <w:szCs w:val="22"/>
        </w:rPr>
        <w:t xml:space="preserve">40. </w:t>
      </w:r>
      <w:r w:rsidRPr="00FC2FD1">
        <w:rPr>
          <w:rFonts w:ascii="Times New Roman" w:hAnsi="Times New Roman" w:cs="Times New Roman"/>
          <w:sz w:val="22"/>
          <w:szCs w:val="22"/>
        </w:rPr>
        <w:t xml:space="preserve">IFLA Study Group on Functional Requirements for Bibliographic Records, </w:t>
      </w:r>
      <w:r w:rsidRPr="00FC2FD1">
        <w:rPr>
          <w:rFonts w:ascii="Times New Roman" w:hAnsi="Times New Roman" w:cs="Times New Roman"/>
          <w:i/>
          <w:sz w:val="22"/>
          <w:szCs w:val="22"/>
        </w:rPr>
        <w:t>Functional Requirements for Bibliographic Records: Final Report</w:t>
      </w:r>
      <w:r w:rsidRPr="00FC2FD1">
        <w:rPr>
          <w:rFonts w:ascii="Times New Roman" w:hAnsi="Times New Roman" w:cs="Times New Roman"/>
          <w:sz w:val="22"/>
          <w:szCs w:val="22"/>
        </w:rPr>
        <w:t xml:space="preserve"> (Munich: G.K. Sauer, 1998), </w:t>
      </w:r>
      <w:hyperlink r:id="rId11" w:history="1">
        <w:r w:rsidRPr="00236681">
          <w:rPr>
            <w:rStyle w:val="Hyperlink"/>
            <w:rFonts w:ascii="Times New Roman" w:hAnsi="Times New Roman" w:cs="Times New Roman"/>
            <w:sz w:val="22"/>
            <w:szCs w:val="22"/>
          </w:rPr>
          <w:t>www.ifla.org/VII/s13/frbr/frbr.htm</w:t>
        </w:r>
      </w:hyperlink>
      <w:r w:rsidRPr="00FC2FD1">
        <w:rPr>
          <w:rFonts w:ascii="Times New Roman" w:hAnsi="Times New Roman" w:cs="Times New Roman"/>
          <w:sz w:val="22"/>
          <w:szCs w:val="22"/>
        </w:rPr>
        <w:t xml:space="preserve"> (accessed Sept. 12, 2008).</w:t>
      </w:r>
    </w:p>
    <w:p w:rsidR="00EE6AB3" w:rsidRDefault="00EE6AB3" w:rsidP="00EE6AB3">
      <w:pPr>
        <w:pStyle w:val="NormalWeb"/>
        <w:spacing w:line="480" w:lineRule="auto"/>
        <w:ind w:left="450" w:hanging="450"/>
        <w:rPr>
          <w:iCs/>
          <w:sz w:val="22"/>
          <w:szCs w:val="22"/>
        </w:rPr>
      </w:pPr>
      <w:r>
        <w:rPr>
          <w:iCs/>
          <w:sz w:val="22"/>
          <w:szCs w:val="22"/>
        </w:rPr>
        <w:t xml:space="preserve">41. </w:t>
      </w:r>
      <w:r w:rsidRPr="00FC2FD1">
        <w:rPr>
          <w:bCs/>
          <w:sz w:val="22"/>
          <w:szCs w:val="22"/>
        </w:rPr>
        <w:t>IFLA Working Group on Functional Requirements and Numbering of Authority Records (FRANAR)</w:t>
      </w:r>
      <w:r w:rsidRPr="00FC2FD1">
        <w:rPr>
          <w:sz w:val="22"/>
          <w:szCs w:val="22"/>
        </w:rPr>
        <w:t xml:space="preserve">, </w:t>
      </w:r>
      <w:r w:rsidRPr="00FC2FD1">
        <w:rPr>
          <w:i/>
          <w:iCs/>
          <w:sz w:val="22"/>
          <w:szCs w:val="22"/>
        </w:rPr>
        <w:t>Functional Requirements for Authority Data,</w:t>
      </w:r>
      <w:r w:rsidRPr="00FC2FD1">
        <w:rPr>
          <w:iCs/>
          <w:sz w:val="22"/>
          <w:szCs w:val="22"/>
        </w:rPr>
        <w:t xml:space="preserve"> 58-59.</w:t>
      </w:r>
    </w:p>
    <w:p w:rsidR="00EE6AB3" w:rsidRDefault="00EE6AB3" w:rsidP="00EE6AB3">
      <w:pPr>
        <w:pStyle w:val="NormalWeb"/>
        <w:spacing w:line="480" w:lineRule="auto"/>
        <w:ind w:left="450" w:hanging="450"/>
        <w:rPr>
          <w:iCs/>
          <w:sz w:val="22"/>
          <w:szCs w:val="22"/>
        </w:rPr>
      </w:pPr>
      <w:r>
        <w:rPr>
          <w:iCs/>
          <w:sz w:val="22"/>
          <w:szCs w:val="22"/>
        </w:rPr>
        <w:t>42. Ibid., 59.</w:t>
      </w:r>
    </w:p>
    <w:p w:rsidR="00EE6AB3" w:rsidRDefault="00EE6AB3" w:rsidP="00EE6AB3">
      <w:pPr>
        <w:pStyle w:val="NormalWeb"/>
        <w:spacing w:line="480" w:lineRule="auto"/>
        <w:ind w:left="450" w:hanging="450"/>
        <w:rPr>
          <w:iCs/>
          <w:sz w:val="22"/>
          <w:szCs w:val="22"/>
        </w:rPr>
      </w:pPr>
      <w:r>
        <w:rPr>
          <w:iCs/>
          <w:sz w:val="22"/>
          <w:szCs w:val="22"/>
        </w:rPr>
        <w:t xml:space="preserve">43. Library of Congress, “MADS: Metadata Authority Description Schema Official Web Site,” Library of Congress, </w:t>
      </w:r>
      <w:hyperlink r:id="rId12" w:history="1">
        <w:r w:rsidRPr="00333AA9">
          <w:rPr>
            <w:rStyle w:val="Hyperlink"/>
            <w:iCs/>
            <w:sz w:val="22"/>
            <w:szCs w:val="22"/>
          </w:rPr>
          <w:t>http://www.loc.gov/standards/mads/</w:t>
        </w:r>
      </w:hyperlink>
      <w:r>
        <w:rPr>
          <w:iCs/>
          <w:sz w:val="22"/>
          <w:szCs w:val="22"/>
        </w:rPr>
        <w:t xml:space="preserve"> (accessed Nov. 18, 2008).</w:t>
      </w:r>
    </w:p>
    <w:p w:rsidR="00EE6AB3" w:rsidRPr="00FC2FD1" w:rsidRDefault="00EE6AB3" w:rsidP="00EE6AB3">
      <w:pPr>
        <w:pStyle w:val="NormalWeb"/>
        <w:spacing w:line="480" w:lineRule="auto"/>
        <w:ind w:left="450" w:hanging="450"/>
        <w:rPr>
          <w:sz w:val="22"/>
          <w:szCs w:val="22"/>
        </w:rPr>
      </w:pPr>
      <w:r>
        <w:rPr>
          <w:iCs/>
          <w:sz w:val="22"/>
          <w:szCs w:val="22"/>
        </w:rPr>
        <w:t xml:space="preserve">44. </w:t>
      </w:r>
      <w:r w:rsidRPr="00FC2FD1">
        <w:rPr>
          <w:sz w:val="22"/>
          <w:szCs w:val="22"/>
        </w:rPr>
        <w:t xml:space="preserve">Rebecca Guenther, "MADS," </w:t>
      </w:r>
      <w:r w:rsidRPr="00FC2FD1">
        <w:rPr>
          <w:i/>
          <w:iCs/>
          <w:sz w:val="22"/>
          <w:szCs w:val="22"/>
        </w:rPr>
        <w:t>Computers in Libraries</w:t>
      </w:r>
      <w:r w:rsidRPr="00FC2FD1">
        <w:rPr>
          <w:sz w:val="22"/>
          <w:szCs w:val="22"/>
        </w:rPr>
        <w:t xml:space="preserve"> 27, no. 4 (2007): 14. </w:t>
      </w:r>
    </w:p>
    <w:p w:rsidR="00EE6AB3" w:rsidRDefault="00EE6AB3" w:rsidP="00EE6AB3">
      <w:pPr>
        <w:pStyle w:val="NormalWeb"/>
        <w:spacing w:line="480" w:lineRule="auto"/>
        <w:ind w:left="450" w:hanging="450"/>
        <w:rPr>
          <w:sz w:val="22"/>
          <w:szCs w:val="22"/>
        </w:rPr>
      </w:pPr>
      <w:r>
        <w:rPr>
          <w:iCs/>
          <w:sz w:val="22"/>
          <w:szCs w:val="22"/>
        </w:rPr>
        <w:t xml:space="preserve">45. </w:t>
      </w:r>
      <w:r w:rsidRPr="00FC2FD1">
        <w:rPr>
          <w:sz w:val="22"/>
          <w:szCs w:val="22"/>
        </w:rPr>
        <w:t xml:space="preserve">Winona Salesky, “Authority Control: MODS &amp; MADS,” </w:t>
      </w:r>
      <w:r>
        <w:rPr>
          <w:sz w:val="22"/>
          <w:szCs w:val="22"/>
        </w:rPr>
        <w:t xml:space="preserve">online posting, </w:t>
      </w:r>
      <w:r w:rsidRPr="00FC2FD1">
        <w:rPr>
          <w:sz w:val="22"/>
          <w:szCs w:val="22"/>
        </w:rPr>
        <w:t xml:space="preserve">the </w:t>
      </w:r>
      <w:r w:rsidRPr="00FC2FD1">
        <w:rPr>
          <w:iCs/>
          <w:sz w:val="22"/>
          <w:szCs w:val="22"/>
        </w:rPr>
        <w:t>DIL, Oct. 30, 2007,</w:t>
      </w:r>
      <w:r w:rsidRPr="00FC2FD1">
        <w:rPr>
          <w:sz w:val="22"/>
          <w:szCs w:val="22"/>
        </w:rPr>
        <w:t xml:space="preserve"> </w:t>
      </w:r>
      <w:hyperlink r:id="rId13" w:history="1">
        <w:r w:rsidRPr="00FC2FD1">
          <w:rPr>
            <w:rStyle w:val="Hyperlink"/>
            <w:sz w:val="22"/>
            <w:szCs w:val="22"/>
          </w:rPr>
          <w:t>http://thedil.wordpress.com/2007/10/30/authority -control-mods-mads/</w:t>
        </w:r>
      </w:hyperlink>
      <w:r w:rsidRPr="00FC2FD1">
        <w:rPr>
          <w:sz w:val="22"/>
          <w:szCs w:val="22"/>
        </w:rPr>
        <w:t xml:space="preserve"> (accessed Sept. 12, 2008).</w:t>
      </w:r>
    </w:p>
    <w:p w:rsidR="00EE6AB3" w:rsidRDefault="00EE6AB3" w:rsidP="00EE6AB3">
      <w:pPr>
        <w:pStyle w:val="NormalWeb"/>
        <w:spacing w:line="480" w:lineRule="auto"/>
        <w:ind w:left="450" w:hanging="450"/>
        <w:rPr>
          <w:sz w:val="22"/>
          <w:szCs w:val="22"/>
        </w:rPr>
      </w:pPr>
      <w:r>
        <w:rPr>
          <w:sz w:val="22"/>
          <w:szCs w:val="22"/>
        </w:rPr>
        <w:lastRenderedPageBreak/>
        <w:t xml:space="preserve">46. </w:t>
      </w:r>
      <w:r w:rsidRPr="00FC2FD1">
        <w:rPr>
          <w:sz w:val="22"/>
          <w:szCs w:val="22"/>
        </w:rPr>
        <w:t xml:space="preserve">Jean Dryden, "From Authority Control to Context Control," </w:t>
      </w:r>
      <w:r w:rsidRPr="00FC2FD1">
        <w:rPr>
          <w:i/>
          <w:iCs/>
          <w:sz w:val="22"/>
          <w:szCs w:val="22"/>
        </w:rPr>
        <w:t>Journal of Archival Organization</w:t>
      </w:r>
      <w:r w:rsidRPr="00FC2FD1">
        <w:rPr>
          <w:sz w:val="22"/>
          <w:szCs w:val="22"/>
        </w:rPr>
        <w:t xml:space="preserve"> 5, no. 1 (2007): 1-13.</w:t>
      </w:r>
    </w:p>
    <w:p w:rsidR="00EE6AB3" w:rsidRDefault="00EE6AB3" w:rsidP="00EE6AB3">
      <w:pPr>
        <w:pStyle w:val="NormalWeb"/>
        <w:spacing w:line="480" w:lineRule="auto"/>
        <w:ind w:left="450" w:hanging="450"/>
        <w:rPr>
          <w:iCs/>
          <w:sz w:val="22"/>
          <w:szCs w:val="22"/>
        </w:rPr>
      </w:pPr>
      <w:r>
        <w:rPr>
          <w:sz w:val="22"/>
          <w:szCs w:val="22"/>
        </w:rPr>
        <w:t xml:space="preserve">47. Daniel V. Pitti, “Creator Description: Encoded Archival Context,” </w:t>
      </w:r>
      <w:r w:rsidRPr="003A0EAB">
        <w:rPr>
          <w:i/>
          <w:sz w:val="22"/>
          <w:szCs w:val="22"/>
        </w:rPr>
        <w:t>Cataloging &amp; Classification Quarterly</w:t>
      </w:r>
      <w:r>
        <w:rPr>
          <w:sz w:val="22"/>
          <w:szCs w:val="22"/>
        </w:rPr>
        <w:t xml:space="preserve"> 38, no. 3/4 (2004): 201-26.</w:t>
      </w:r>
    </w:p>
    <w:p w:rsidR="00EE6AB3" w:rsidRDefault="00EE6AB3" w:rsidP="00EE6AB3"/>
    <w:p w:rsidR="00EE6AB3" w:rsidRDefault="00EE6AB3" w:rsidP="0031190E">
      <w:pPr>
        <w:spacing w:line="480" w:lineRule="auto"/>
        <w:ind w:firstLine="0"/>
      </w:pPr>
    </w:p>
    <w:p w:rsidR="00344CC3" w:rsidRDefault="00344CC3" w:rsidP="00344CC3">
      <w:pPr>
        <w:spacing w:line="480" w:lineRule="auto"/>
      </w:pPr>
    </w:p>
    <w:sectPr w:rsidR="00344CC3" w:rsidSect="00F05659">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AE4" w:rsidRDefault="00C40AE4" w:rsidP="00AA0DCD">
      <w:r>
        <w:separator/>
      </w:r>
    </w:p>
  </w:endnote>
  <w:endnote w:type="continuationSeparator" w:id="1">
    <w:p w:rsidR="00C40AE4" w:rsidRDefault="00C40AE4" w:rsidP="00AA0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11669"/>
      <w:docPartObj>
        <w:docPartGallery w:val="Page Numbers (Bottom of Page)"/>
        <w:docPartUnique/>
      </w:docPartObj>
    </w:sdtPr>
    <w:sdtContent>
      <w:p w:rsidR="00F05659" w:rsidRDefault="00860EE4">
        <w:pPr>
          <w:pStyle w:val="Footer"/>
          <w:jc w:val="center"/>
        </w:pPr>
        <w:fldSimple w:instr=" PAGE   \* MERGEFORMAT ">
          <w:r w:rsidR="00833873">
            <w:rPr>
              <w:noProof/>
            </w:rPr>
            <w:t>15</w:t>
          </w:r>
        </w:fldSimple>
      </w:p>
    </w:sdtContent>
  </w:sdt>
  <w:p w:rsidR="00F05659" w:rsidRDefault="00F056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AE4" w:rsidRDefault="00C40AE4" w:rsidP="00AA0DCD">
      <w:r>
        <w:separator/>
      </w:r>
    </w:p>
  </w:footnote>
  <w:footnote w:type="continuationSeparator" w:id="1">
    <w:p w:rsidR="00C40AE4" w:rsidRDefault="00C40AE4" w:rsidP="00AA0D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4CC3"/>
    <w:rsid w:val="00001D0B"/>
    <w:rsid w:val="000037FA"/>
    <w:rsid w:val="00006BA2"/>
    <w:rsid w:val="00007C53"/>
    <w:rsid w:val="000279C1"/>
    <w:rsid w:val="00032144"/>
    <w:rsid w:val="000849D9"/>
    <w:rsid w:val="00091472"/>
    <w:rsid w:val="00093E83"/>
    <w:rsid w:val="000B0877"/>
    <w:rsid w:val="000B3758"/>
    <w:rsid w:val="000B4F94"/>
    <w:rsid w:val="000B7488"/>
    <w:rsid w:val="000D5C02"/>
    <w:rsid w:val="000D6B2D"/>
    <w:rsid w:val="000E664A"/>
    <w:rsid w:val="000F6954"/>
    <w:rsid w:val="00101760"/>
    <w:rsid w:val="00103E5A"/>
    <w:rsid w:val="00107871"/>
    <w:rsid w:val="0015441D"/>
    <w:rsid w:val="00155390"/>
    <w:rsid w:val="00157AFB"/>
    <w:rsid w:val="001607FE"/>
    <w:rsid w:val="0016627A"/>
    <w:rsid w:val="00176BEF"/>
    <w:rsid w:val="0017772B"/>
    <w:rsid w:val="00181AB1"/>
    <w:rsid w:val="00190A6A"/>
    <w:rsid w:val="00196795"/>
    <w:rsid w:val="001B6B3E"/>
    <w:rsid w:val="001C510B"/>
    <w:rsid w:val="001D78D5"/>
    <w:rsid w:val="001E08DE"/>
    <w:rsid w:val="001E106A"/>
    <w:rsid w:val="001F4FB0"/>
    <w:rsid w:val="0022714F"/>
    <w:rsid w:val="0023405A"/>
    <w:rsid w:val="0023412A"/>
    <w:rsid w:val="00243B57"/>
    <w:rsid w:val="00293649"/>
    <w:rsid w:val="00293DDD"/>
    <w:rsid w:val="00296B84"/>
    <w:rsid w:val="002A0CFA"/>
    <w:rsid w:val="002A3472"/>
    <w:rsid w:val="002B1469"/>
    <w:rsid w:val="002B186B"/>
    <w:rsid w:val="002C5430"/>
    <w:rsid w:val="002F7235"/>
    <w:rsid w:val="003002B6"/>
    <w:rsid w:val="0031190E"/>
    <w:rsid w:val="00344291"/>
    <w:rsid w:val="00344CC3"/>
    <w:rsid w:val="0035547B"/>
    <w:rsid w:val="00355506"/>
    <w:rsid w:val="0036766B"/>
    <w:rsid w:val="00370A56"/>
    <w:rsid w:val="00375B94"/>
    <w:rsid w:val="00377D59"/>
    <w:rsid w:val="00391A61"/>
    <w:rsid w:val="003A0EAB"/>
    <w:rsid w:val="003A6E59"/>
    <w:rsid w:val="003D09F4"/>
    <w:rsid w:val="003D23BA"/>
    <w:rsid w:val="003D3F4D"/>
    <w:rsid w:val="003D5815"/>
    <w:rsid w:val="003D71ED"/>
    <w:rsid w:val="003E18FE"/>
    <w:rsid w:val="003E774F"/>
    <w:rsid w:val="003F38E2"/>
    <w:rsid w:val="003F54C7"/>
    <w:rsid w:val="00426A12"/>
    <w:rsid w:val="0043026E"/>
    <w:rsid w:val="00432CEA"/>
    <w:rsid w:val="00440374"/>
    <w:rsid w:val="00445DAE"/>
    <w:rsid w:val="00447CD2"/>
    <w:rsid w:val="00447D6F"/>
    <w:rsid w:val="004505EB"/>
    <w:rsid w:val="00453A94"/>
    <w:rsid w:val="00463199"/>
    <w:rsid w:val="00464409"/>
    <w:rsid w:val="004A2DBC"/>
    <w:rsid w:val="004D3C8D"/>
    <w:rsid w:val="004F077B"/>
    <w:rsid w:val="00504ACC"/>
    <w:rsid w:val="00505E2B"/>
    <w:rsid w:val="00517A50"/>
    <w:rsid w:val="00543213"/>
    <w:rsid w:val="0055061D"/>
    <w:rsid w:val="00555673"/>
    <w:rsid w:val="0056346D"/>
    <w:rsid w:val="00566705"/>
    <w:rsid w:val="00567AF2"/>
    <w:rsid w:val="005827CB"/>
    <w:rsid w:val="0059513C"/>
    <w:rsid w:val="005A7449"/>
    <w:rsid w:val="005B17C5"/>
    <w:rsid w:val="005F07E6"/>
    <w:rsid w:val="0062291B"/>
    <w:rsid w:val="00631290"/>
    <w:rsid w:val="006518C5"/>
    <w:rsid w:val="006728B3"/>
    <w:rsid w:val="00673DA8"/>
    <w:rsid w:val="00687160"/>
    <w:rsid w:val="00693142"/>
    <w:rsid w:val="00696AB4"/>
    <w:rsid w:val="00696C96"/>
    <w:rsid w:val="006B5E9E"/>
    <w:rsid w:val="006C44D2"/>
    <w:rsid w:val="006C6888"/>
    <w:rsid w:val="006D16F3"/>
    <w:rsid w:val="006F20C3"/>
    <w:rsid w:val="006F6994"/>
    <w:rsid w:val="006F7719"/>
    <w:rsid w:val="00705DE2"/>
    <w:rsid w:val="00756AB3"/>
    <w:rsid w:val="00757E3A"/>
    <w:rsid w:val="0076784B"/>
    <w:rsid w:val="007A0C84"/>
    <w:rsid w:val="007B563B"/>
    <w:rsid w:val="007B6441"/>
    <w:rsid w:val="007C66B4"/>
    <w:rsid w:val="007E0838"/>
    <w:rsid w:val="007E08BB"/>
    <w:rsid w:val="008049F8"/>
    <w:rsid w:val="00833873"/>
    <w:rsid w:val="00860EE4"/>
    <w:rsid w:val="00861352"/>
    <w:rsid w:val="00877353"/>
    <w:rsid w:val="008A1D4F"/>
    <w:rsid w:val="008A3F5C"/>
    <w:rsid w:val="008A4E5E"/>
    <w:rsid w:val="008D000A"/>
    <w:rsid w:val="008D3596"/>
    <w:rsid w:val="00900E63"/>
    <w:rsid w:val="0090654C"/>
    <w:rsid w:val="0090670A"/>
    <w:rsid w:val="00917940"/>
    <w:rsid w:val="00917B8D"/>
    <w:rsid w:val="00936983"/>
    <w:rsid w:val="009432E7"/>
    <w:rsid w:val="00976B8A"/>
    <w:rsid w:val="009830BC"/>
    <w:rsid w:val="009B715F"/>
    <w:rsid w:val="009C0DCC"/>
    <w:rsid w:val="009C35ED"/>
    <w:rsid w:val="009E08A0"/>
    <w:rsid w:val="009E24E6"/>
    <w:rsid w:val="009E4029"/>
    <w:rsid w:val="00A45D55"/>
    <w:rsid w:val="00A47912"/>
    <w:rsid w:val="00A504FC"/>
    <w:rsid w:val="00A65F22"/>
    <w:rsid w:val="00A712BE"/>
    <w:rsid w:val="00AA0DCD"/>
    <w:rsid w:val="00AC4E51"/>
    <w:rsid w:val="00AE1DA7"/>
    <w:rsid w:val="00AE6AB0"/>
    <w:rsid w:val="00AF3C58"/>
    <w:rsid w:val="00B00AFC"/>
    <w:rsid w:val="00B24137"/>
    <w:rsid w:val="00B451D7"/>
    <w:rsid w:val="00B47711"/>
    <w:rsid w:val="00B532D3"/>
    <w:rsid w:val="00B54770"/>
    <w:rsid w:val="00B67179"/>
    <w:rsid w:val="00B740F6"/>
    <w:rsid w:val="00B935AC"/>
    <w:rsid w:val="00BA1F6A"/>
    <w:rsid w:val="00BB5AD2"/>
    <w:rsid w:val="00BE26DB"/>
    <w:rsid w:val="00BF158D"/>
    <w:rsid w:val="00BF7AE9"/>
    <w:rsid w:val="00C14A36"/>
    <w:rsid w:val="00C26ABA"/>
    <w:rsid w:val="00C35CAC"/>
    <w:rsid w:val="00C40AE4"/>
    <w:rsid w:val="00C42BB0"/>
    <w:rsid w:val="00C57BD9"/>
    <w:rsid w:val="00C85D92"/>
    <w:rsid w:val="00C95300"/>
    <w:rsid w:val="00CB5F9B"/>
    <w:rsid w:val="00CD1934"/>
    <w:rsid w:val="00CE7562"/>
    <w:rsid w:val="00CF2ACD"/>
    <w:rsid w:val="00D26BB6"/>
    <w:rsid w:val="00D524C1"/>
    <w:rsid w:val="00D55141"/>
    <w:rsid w:val="00D85307"/>
    <w:rsid w:val="00D90DD2"/>
    <w:rsid w:val="00D951C3"/>
    <w:rsid w:val="00DD2F72"/>
    <w:rsid w:val="00DD67DF"/>
    <w:rsid w:val="00DD68F1"/>
    <w:rsid w:val="00DF3E79"/>
    <w:rsid w:val="00E106DF"/>
    <w:rsid w:val="00E12EE3"/>
    <w:rsid w:val="00E30B9A"/>
    <w:rsid w:val="00E422AC"/>
    <w:rsid w:val="00E43B90"/>
    <w:rsid w:val="00E47812"/>
    <w:rsid w:val="00E60B75"/>
    <w:rsid w:val="00E615CC"/>
    <w:rsid w:val="00E74DC8"/>
    <w:rsid w:val="00E75F5E"/>
    <w:rsid w:val="00E87E97"/>
    <w:rsid w:val="00E918E3"/>
    <w:rsid w:val="00E928A2"/>
    <w:rsid w:val="00EA6039"/>
    <w:rsid w:val="00EC4324"/>
    <w:rsid w:val="00ED5624"/>
    <w:rsid w:val="00EE12C5"/>
    <w:rsid w:val="00EE6AB3"/>
    <w:rsid w:val="00F05659"/>
    <w:rsid w:val="00F11DAF"/>
    <w:rsid w:val="00F37664"/>
    <w:rsid w:val="00F4042C"/>
    <w:rsid w:val="00F404A7"/>
    <w:rsid w:val="00F46DF3"/>
    <w:rsid w:val="00F5137D"/>
    <w:rsid w:val="00F51970"/>
    <w:rsid w:val="00F5246A"/>
    <w:rsid w:val="00F73BF3"/>
    <w:rsid w:val="00F91917"/>
    <w:rsid w:val="00F95A42"/>
    <w:rsid w:val="00FA1BD6"/>
    <w:rsid w:val="00FA569C"/>
    <w:rsid w:val="00FB2A60"/>
    <w:rsid w:val="00FB7166"/>
    <w:rsid w:val="00FC3A3E"/>
    <w:rsid w:val="00FD43AE"/>
    <w:rsid w:val="00FE30B2"/>
    <w:rsid w:val="00FE67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CC3"/>
    <w:rPr>
      <w:rFonts w:ascii="Times New Roman" w:eastAsia="Times New Roman" w:hAnsi="Times New Roman" w:cs="Times New Roman"/>
    </w:rPr>
  </w:style>
  <w:style w:type="paragraph" w:styleId="Heading1">
    <w:name w:val="heading 1"/>
    <w:basedOn w:val="Normal"/>
    <w:next w:val="Normal"/>
    <w:link w:val="Heading1Char"/>
    <w:uiPriority w:val="9"/>
    <w:qFormat/>
    <w:rsid w:val="00673DA8"/>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673DA8"/>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673DA8"/>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673DA8"/>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673DA8"/>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673DA8"/>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673DA8"/>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673DA8"/>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673DA8"/>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DA8"/>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673DA8"/>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673DA8"/>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673DA8"/>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673DA8"/>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673DA8"/>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673DA8"/>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673DA8"/>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673DA8"/>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673DA8"/>
    <w:rPr>
      <w:rFonts w:asciiTheme="minorHAnsi" w:eastAsiaTheme="minorHAnsi" w:hAnsiTheme="minorHAnsi" w:cstheme="minorBidi"/>
      <w:b/>
      <w:bCs/>
      <w:sz w:val="18"/>
      <w:szCs w:val="18"/>
    </w:rPr>
  </w:style>
  <w:style w:type="paragraph" w:styleId="Title">
    <w:name w:val="Title"/>
    <w:basedOn w:val="Normal"/>
    <w:next w:val="Normal"/>
    <w:link w:val="TitleChar"/>
    <w:uiPriority w:val="10"/>
    <w:qFormat/>
    <w:rsid w:val="00673DA8"/>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673DA8"/>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673DA8"/>
    <w:pPr>
      <w:spacing w:before="200" w:after="900"/>
      <w:ind w:firstLine="0"/>
      <w:jc w:val="right"/>
    </w:pPr>
    <w:rPr>
      <w:rFonts w:asciiTheme="minorHAnsi" w:eastAsiaTheme="minorHAnsi" w:hAnsiTheme="minorHAnsi" w:cstheme="minorBidi"/>
      <w:i/>
      <w:iCs/>
      <w:sz w:val="24"/>
      <w:szCs w:val="24"/>
    </w:rPr>
  </w:style>
  <w:style w:type="character" w:customStyle="1" w:styleId="SubtitleChar">
    <w:name w:val="Subtitle Char"/>
    <w:basedOn w:val="DefaultParagraphFont"/>
    <w:link w:val="Subtitle"/>
    <w:uiPriority w:val="11"/>
    <w:rsid w:val="00673DA8"/>
    <w:rPr>
      <w:rFonts w:asciiTheme="minorHAnsi"/>
      <w:i/>
      <w:iCs/>
      <w:sz w:val="24"/>
      <w:szCs w:val="24"/>
    </w:rPr>
  </w:style>
  <w:style w:type="character" w:styleId="Strong">
    <w:name w:val="Strong"/>
    <w:basedOn w:val="DefaultParagraphFont"/>
    <w:uiPriority w:val="22"/>
    <w:qFormat/>
    <w:rsid w:val="00673DA8"/>
    <w:rPr>
      <w:b/>
      <w:bCs/>
      <w:spacing w:val="0"/>
    </w:rPr>
  </w:style>
  <w:style w:type="character" w:styleId="Emphasis">
    <w:name w:val="Emphasis"/>
    <w:uiPriority w:val="20"/>
    <w:qFormat/>
    <w:rsid w:val="00673DA8"/>
    <w:rPr>
      <w:b/>
      <w:bCs/>
      <w:i/>
      <w:iCs/>
      <w:color w:val="5A5A5A" w:themeColor="text1" w:themeTint="A5"/>
    </w:rPr>
  </w:style>
  <w:style w:type="paragraph" w:styleId="NoSpacing">
    <w:name w:val="No Spacing"/>
    <w:basedOn w:val="Normal"/>
    <w:link w:val="NoSpacingChar"/>
    <w:uiPriority w:val="1"/>
    <w:qFormat/>
    <w:rsid w:val="00673DA8"/>
    <w:pPr>
      <w:ind w:firstLine="0"/>
    </w:pPr>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673DA8"/>
  </w:style>
  <w:style w:type="paragraph" w:styleId="ListParagraph">
    <w:name w:val="List Paragraph"/>
    <w:basedOn w:val="Normal"/>
    <w:uiPriority w:val="34"/>
    <w:qFormat/>
    <w:rsid w:val="00673DA8"/>
    <w:pPr>
      <w:ind w:left="720"/>
      <w:contextualSpacing/>
    </w:pPr>
    <w:rPr>
      <w:rFonts w:asciiTheme="minorHAnsi" w:eastAsiaTheme="minorHAnsi" w:hAnsiTheme="minorHAnsi" w:cstheme="minorBidi"/>
    </w:rPr>
  </w:style>
  <w:style w:type="paragraph" w:styleId="Quote">
    <w:name w:val="Quote"/>
    <w:basedOn w:val="Normal"/>
    <w:next w:val="Normal"/>
    <w:link w:val="QuoteChar"/>
    <w:uiPriority w:val="29"/>
    <w:qFormat/>
    <w:rsid w:val="00673DA8"/>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673DA8"/>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673DA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673DA8"/>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673DA8"/>
    <w:rPr>
      <w:i/>
      <w:iCs/>
      <w:color w:val="5A5A5A" w:themeColor="text1" w:themeTint="A5"/>
    </w:rPr>
  </w:style>
  <w:style w:type="character" w:styleId="IntenseEmphasis">
    <w:name w:val="Intense Emphasis"/>
    <w:uiPriority w:val="21"/>
    <w:qFormat/>
    <w:rsid w:val="00673DA8"/>
    <w:rPr>
      <w:b/>
      <w:bCs/>
      <w:i/>
      <w:iCs/>
      <w:color w:val="4F81BD" w:themeColor="accent1"/>
      <w:sz w:val="22"/>
      <w:szCs w:val="22"/>
    </w:rPr>
  </w:style>
  <w:style w:type="character" w:styleId="SubtleReference">
    <w:name w:val="Subtle Reference"/>
    <w:uiPriority w:val="31"/>
    <w:qFormat/>
    <w:rsid w:val="00673DA8"/>
    <w:rPr>
      <w:color w:val="auto"/>
      <w:u w:val="single" w:color="9BBB59" w:themeColor="accent3"/>
    </w:rPr>
  </w:style>
  <w:style w:type="character" w:styleId="IntenseReference">
    <w:name w:val="Intense Reference"/>
    <w:basedOn w:val="DefaultParagraphFont"/>
    <w:uiPriority w:val="32"/>
    <w:qFormat/>
    <w:rsid w:val="00673DA8"/>
    <w:rPr>
      <w:b/>
      <w:bCs/>
      <w:color w:val="76923C" w:themeColor="accent3" w:themeShade="BF"/>
      <w:u w:val="single" w:color="9BBB59" w:themeColor="accent3"/>
    </w:rPr>
  </w:style>
  <w:style w:type="character" w:styleId="BookTitle">
    <w:name w:val="Book Title"/>
    <w:basedOn w:val="DefaultParagraphFont"/>
    <w:uiPriority w:val="33"/>
    <w:qFormat/>
    <w:rsid w:val="00673DA8"/>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673DA8"/>
    <w:pPr>
      <w:outlineLvl w:val="9"/>
    </w:pPr>
  </w:style>
  <w:style w:type="character" w:styleId="CommentReference">
    <w:name w:val="annotation reference"/>
    <w:basedOn w:val="DefaultParagraphFont"/>
    <w:uiPriority w:val="99"/>
    <w:semiHidden/>
    <w:unhideWhenUsed/>
    <w:rsid w:val="00A45D55"/>
    <w:rPr>
      <w:sz w:val="16"/>
      <w:szCs w:val="16"/>
    </w:rPr>
  </w:style>
  <w:style w:type="paragraph" w:styleId="CommentText">
    <w:name w:val="annotation text"/>
    <w:basedOn w:val="Normal"/>
    <w:link w:val="CommentTextChar"/>
    <w:uiPriority w:val="99"/>
    <w:semiHidden/>
    <w:unhideWhenUsed/>
    <w:rsid w:val="00A45D55"/>
    <w:rPr>
      <w:sz w:val="20"/>
      <w:szCs w:val="20"/>
    </w:rPr>
  </w:style>
  <w:style w:type="character" w:customStyle="1" w:styleId="CommentTextChar">
    <w:name w:val="Comment Text Char"/>
    <w:basedOn w:val="DefaultParagraphFont"/>
    <w:link w:val="CommentText"/>
    <w:uiPriority w:val="99"/>
    <w:semiHidden/>
    <w:rsid w:val="00A45D5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45D55"/>
    <w:rPr>
      <w:rFonts w:ascii="Tahoma" w:hAnsi="Tahoma" w:cs="Tahoma"/>
      <w:sz w:val="16"/>
      <w:szCs w:val="16"/>
    </w:rPr>
  </w:style>
  <w:style w:type="character" w:customStyle="1" w:styleId="BalloonTextChar">
    <w:name w:val="Balloon Text Char"/>
    <w:basedOn w:val="DefaultParagraphFont"/>
    <w:link w:val="BalloonText"/>
    <w:uiPriority w:val="99"/>
    <w:semiHidden/>
    <w:rsid w:val="00A45D55"/>
    <w:rPr>
      <w:rFonts w:ascii="Tahoma" w:eastAsia="Times New Roman" w:hAnsi="Tahoma" w:cs="Tahoma"/>
      <w:sz w:val="16"/>
      <w:szCs w:val="16"/>
    </w:rPr>
  </w:style>
  <w:style w:type="character" w:styleId="Hyperlink">
    <w:name w:val="Hyperlink"/>
    <w:basedOn w:val="DefaultParagraphFont"/>
    <w:uiPriority w:val="99"/>
    <w:unhideWhenUsed/>
    <w:rsid w:val="00555673"/>
    <w:rPr>
      <w:color w:val="0000FF"/>
      <w:u w:val="single"/>
    </w:rPr>
  </w:style>
  <w:style w:type="paragraph" w:styleId="NormalWeb">
    <w:name w:val="Normal (Web)"/>
    <w:basedOn w:val="Normal"/>
    <w:uiPriority w:val="99"/>
    <w:semiHidden/>
    <w:unhideWhenUsed/>
    <w:rsid w:val="00555673"/>
    <w:pPr>
      <w:spacing w:before="100" w:beforeAutospacing="1" w:after="100" w:afterAutospacing="1"/>
      <w:ind w:firstLine="0"/>
    </w:pPr>
    <w:rPr>
      <w:sz w:val="24"/>
      <w:szCs w:val="24"/>
      <w:lang w:bidi="ar-SA"/>
    </w:rPr>
  </w:style>
  <w:style w:type="character" w:customStyle="1" w:styleId="rule-text">
    <w:name w:val="rule-text"/>
    <w:basedOn w:val="DefaultParagraphFont"/>
    <w:rsid w:val="00555673"/>
  </w:style>
  <w:style w:type="paragraph" w:customStyle="1" w:styleId="Default">
    <w:name w:val="Default"/>
    <w:rsid w:val="00555673"/>
    <w:pPr>
      <w:autoSpaceDE w:val="0"/>
      <w:autoSpaceDN w:val="0"/>
      <w:adjustRightInd w:val="0"/>
      <w:ind w:firstLine="0"/>
    </w:pPr>
    <w:rPr>
      <w:rFonts w:ascii="Arial" w:eastAsia="Times New Roman" w:hAnsi="Arial" w:cs="Arial"/>
      <w:color w:val="000000"/>
      <w:sz w:val="24"/>
      <w:szCs w:val="24"/>
      <w:lang w:bidi="ar-SA"/>
    </w:rPr>
  </w:style>
  <w:style w:type="paragraph" w:styleId="EndnoteText">
    <w:name w:val="endnote text"/>
    <w:basedOn w:val="Normal"/>
    <w:link w:val="EndnoteTextChar"/>
    <w:uiPriority w:val="99"/>
    <w:semiHidden/>
    <w:unhideWhenUsed/>
    <w:rsid w:val="00AA0DCD"/>
    <w:rPr>
      <w:sz w:val="20"/>
      <w:szCs w:val="20"/>
    </w:rPr>
  </w:style>
  <w:style w:type="character" w:customStyle="1" w:styleId="EndnoteTextChar">
    <w:name w:val="Endnote Text Char"/>
    <w:basedOn w:val="DefaultParagraphFont"/>
    <w:link w:val="EndnoteText"/>
    <w:uiPriority w:val="99"/>
    <w:semiHidden/>
    <w:rsid w:val="00AA0DC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A0DCD"/>
    <w:rPr>
      <w:vertAlign w:val="superscript"/>
    </w:rPr>
  </w:style>
  <w:style w:type="paragraph" w:styleId="Header">
    <w:name w:val="header"/>
    <w:basedOn w:val="Normal"/>
    <w:link w:val="HeaderChar"/>
    <w:uiPriority w:val="99"/>
    <w:semiHidden/>
    <w:unhideWhenUsed/>
    <w:rsid w:val="00F05659"/>
    <w:pPr>
      <w:tabs>
        <w:tab w:val="center" w:pos="4680"/>
        <w:tab w:val="right" w:pos="9360"/>
      </w:tabs>
    </w:pPr>
  </w:style>
  <w:style w:type="character" w:customStyle="1" w:styleId="HeaderChar">
    <w:name w:val="Header Char"/>
    <w:basedOn w:val="DefaultParagraphFont"/>
    <w:link w:val="Header"/>
    <w:uiPriority w:val="99"/>
    <w:semiHidden/>
    <w:rsid w:val="00F05659"/>
    <w:rPr>
      <w:rFonts w:ascii="Times New Roman" w:eastAsia="Times New Roman" w:hAnsi="Times New Roman" w:cs="Times New Roman"/>
    </w:rPr>
  </w:style>
  <w:style w:type="paragraph" w:styleId="Footer">
    <w:name w:val="footer"/>
    <w:basedOn w:val="Normal"/>
    <w:link w:val="FooterChar"/>
    <w:uiPriority w:val="99"/>
    <w:unhideWhenUsed/>
    <w:rsid w:val="00F05659"/>
    <w:pPr>
      <w:tabs>
        <w:tab w:val="center" w:pos="4680"/>
        <w:tab w:val="right" w:pos="9360"/>
      </w:tabs>
    </w:pPr>
  </w:style>
  <w:style w:type="character" w:customStyle="1" w:styleId="FooterChar">
    <w:name w:val="Footer Char"/>
    <w:basedOn w:val="DefaultParagraphFont"/>
    <w:link w:val="Footer"/>
    <w:uiPriority w:val="99"/>
    <w:rsid w:val="00F05659"/>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046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la.org/VII/d4/FRANAR-ConceptualModel-2ndReview.pdf" TargetMode="External"/><Relationship Id="rId13" Type="http://schemas.openxmlformats.org/officeDocument/2006/relationships/hyperlink" Target="http://thedil.wordpress.com/2007/10/30/authority%20-control-mods-mads/" TargetMode="External"/><Relationship Id="rId3" Type="http://schemas.openxmlformats.org/officeDocument/2006/relationships/settings" Target="settings.xml"/><Relationship Id="rId7" Type="http://schemas.openxmlformats.org/officeDocument/2006/relationships/hyperlink" Target="mailto:dragonp@ecu.edu" TargetMode="External"/><Relationship Id="rId12" Type="http://schemas.openxmlformats.org/officeDocument/2006/relationships/hyperlink" Target="http://www.loc.gov/standards/mad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fla.org/VII/s13/frbr/frbr.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rtcataloging.net/ala/mw04/frbrbldg.html" TargetMode="External"/><Relationship Id="rId4" Type="http://schemas.openxmlformats.org/officeDocument/2006/relationships/webSettings" Target="webSettings.xml"/><Relationship Id="rId9" Type="http://schemas.openxmlformats.org/officeDocument/2006/relationships/hyperlink" Target="http://www.dlib.org/dlib/january07/coyle/01coyl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3F8AD-4333-4DC9-89A3-DC1C3FEB1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27</Pages>
  <Words>8047</Words>
  <Characters>45871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ECU</Company>
  <LinksUpToDate>false</LinksUpToDate>
  <CharactersWithSpaces>53811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Dragon, Patricia M</dc:creator>
  <cp:keywords/>
  <dc:description/>
  <cp:lastModifiedBy>Dragon, Patricia M</cp:lastModifiedBy>
  <cp:revision>82</cp:revision>
  <dcterms:created xsi:type="dcterms:W3CDTF">2008-11-07T14:20:00Z</dcterms:created>
  <dcterms:modified xsi:type="dcterms:W3CDTF">2008-11-19T15:39:00Z</dcterms:modified>
</cp:coreProperties>
</file>