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6DDF8" w14:textId="77777777" w:rsidR="00FF2B0F" w:rsidRPr="00A63F91" w:rsidRDefault="00FF2B0F" w:rsidP="00FF2B0F">
      <w:pPr>
        <w:rPr>
          <w:rFonts w:ascii="Times" w:hAnsi="Times"/>
          <w:b/>
        </w:rPr>
      </w:pPr>
    </w:p>
    <w:p w14:paraId="36FE3CF9" w14:textId="77777777" w:rsidR="00FF2B0F" w:rsidRPr="00A63F91" w:rsidRDefault="00FF2B0F" w:rsidP="00FF2B0F">
      <w:pPr>
        <w:jc w:val="center"/>
        <w:rPr>
          <w:rFonts w:ascii="Times" w:hAnsi="Times"/>
          <w:b/>
          <w:bCs/>
        </w:rPr>
      </w:pPr>
    </w:p>
    <w:p w14:paraId="5275FA0B" w14:textId="77777777" w:rsidR="00FF2B0F" w:rsidRPr="00A63F91" w:rsidRDefault="00FF2B0F" w:rsidP="00FF2B0F">
      <w:pPr>
        <w:jc w:val="center"/>
        <w:rPr>
          <w:rFonts w:ascii="Times" w:hAnsi="Times"/>
          <w:b/>
          <w:bCs/>
        </w:rPr>
      </w:pPr>
    </w:p>
    <w:p w14:paraId="13064CD1" w14:textId="77777777" w:rsidR="00FF2B0F" w:rsidRPr="00A63F91" w:rsidRDefault="00FF2B0F" w:rsidP="00FF2B0F">
      <w:pPr>
        <w:jc w:val="center"/>
        <w:rPr>
          <w:rFonts w:ascii="Times" w:hAnsi="Times"/>
          <w:b/>
          <w:bCs/>
        </w:rPr>
      </w:pPr>
    </w:p>
    <w:p w14:paraId="73BDB913" w14:textId="77777777" w:rsidR="00FF2B0F" w:rsidRPr="00A63F91" w:rsidRDefault="00FF2B0F" w:rsidP="00FF2B0F">
      <w:pPr>
        <w:jc w:val="center"/>
        <w:rPr>
          <w:rFonts w:ascii="Times" w:hAnsi="Times"/>
          <w:b/>
          <w:bCs/>
        </w:rPr>
      </w:pPr>
    </w:p>
    <w:p w14:paraId="50721539" w14:textId="77777777" w:rsidR="00FF2B0F" w:rsidRPr="00A63F91" w:rsidRDefault="00FF2B0F" w:rsidP="00FF2B0F">
      <w:pPr>
        <w:jc w:val="center"/>
        <w:rPr>
          <w:rFonts w:ascii="Times" w:hAnsi="Times"/>
          <w:b/>
          <w:bCs/>
        </w:rPr>
      </w:pPr>
    </w:p>
    <w:p w14:paraId="43A50758" w14:textId="77777777" w:rsidR="00FF2B0F" w:rsidRPr="00A63F91" w:rsidRDefault="00FF2B0F" w:rsidP="00FF2B0F">
      <w:pPr>
        <w:jc w:val="center"/>
        <w:rPr>
          <w:rFonts w:ascii="Times" w:hAnsi="Times"/>
          <w:b/>
          <w:bCs/>
        </w:rPr>
      </w:pPr>
    </w:p>
    <w:p w14:paraId="2D179A6E" w14:textId="410CEBD1" w:rsidR="00FF2B0F" w:rsidRPr="00A63F91" w:rsidRDefault="0069155A" w:rsidP="00FF2B0F">
      <w:pPr>
        <w:jc w:val="center"/>
        <w:rPr>
          <w:rFonts w:ascii="Times" w:hAnsi="Times"/>
          <w:b/>
          <w:bCs/>
          <w:i/>
          <w:iCs/>
        </w:rPr>
      </w:pPr>
      <w:r>
        <w:rPr>
          <w:rFonts w:ascii="Times" w:hAnsi="Times"/>
          <w:b/>
          <w:bCs/>
        </w:rPr>
        <w:t>Assessing Shock Anxiety</w:t>
      </w:r>
      <w:r w:rsidR="00FF2B0F" w:rsidRPr="00A63F91">
        <w:rPr>
          <w:rFonts w:ascii="Times" w:hAnsi="Times"/>
          <w:b/>
          <w:bCs/>
        </w:rPr>
        <w:t xml:space="preserve"> in Patients with </w:t>
      </w:r>
      <w:r w:rsidR="00C03EFD">
        <w:rPr>
          <w:rFonts w:ascii="Times" w:hAnsi="Times"/>
          <w:b/>
          <w:bCs/>
        </w:rPr>
        <w:t>ICDs</w:t>
      </w:r>
      <w:r w:rsidR="00FF2B0F" w:rsidRPr="00A63F91">
        <w:rPr>
          <w:rFonts w:ascii="Times" w:hAnsi="Times"/>
          <w:b/>
          <w:bCs/>
        </w:rPr>
        <w:t xml:space="preserve"> </w:t>
      </w:r>
    </w:p>
    <w:p w14:paraId="7D8C312B" w14:textId="77777777" w:rsidR="00FF2B0F" w:rsidRPr="00A63F91" w:rsidRDefault="00FF2B0F" w:rsidP="00FF2B0F">
      <w:pPr>
        <w:jc w:val="center"/>
        <w:rPr>
          <w:rFonts w:ascii="Times" w:hAnsi="Times"/>
          <w:b/>
          <w:bCs/>
        </w:rPr>
      </w:pPr>
    </w:p>
    <w:p w14:paraId="06473C34" w14:textId="77777777" w:rsidR="00FF2B0F" w:rsidRPr="00A63F91" w:rsidRDefault="00FF2B0F" w:rsidP="00FF2B0F">
      <w:pPr>
        <w:spacing w:line="480" w:lineRule="auto"/>
        <w:jc w:val="center"/>
        <w:rPr>
          <w:rFonts w:ascii="Times" w:hAnsi="Times"/>
          <w:b/>
          <w:bCs/>
        </w:rPr>
      </w:pPr>
    </w:p>
    <w:p w14:paraId="75DD5AD9" w14:textId="3E87171E" w:rsidR="00FF2B0F" w:rsidRPr="00A63F91" w:rsidRDefault="0055792B" w:rsidP="00FF2B0F">
      <w:pPr>
        <w:spacing w:line="480" w:lineRule="auto"/>
        <w:jc w:val="center"/>
        <w:rPr>
          <w:rFonts w:ascii="Times" w:hAnsi="Times"/>
        </w:rPr>
      </w:pPr>
      <w:r>
        <w:rPr>
          <w:rFonts w:ascii="Times" w:hAnsi="Times"/>
        </w:rPr>
        <w:t xml:space="preserve">Dr. </w:t>
      </w:r>
      <w:r w:rsidR="00FF2B0F" w:rsidRPr="00A63F91">
        <w:rPr>
          <w:rFonts w:ascii="Times" w:hAnsi="Times"/>
        </w:rPr>
        <w:t xml:space="preserve">Taylor S. Hawkins, </w:t>
      </w:r>
      <w:r>
        <w:rPr>
          <w:rFonts w:ascii="Times" w:hAnsi="Times"/>
        </w:rPr>
        <w:t>DNP, AGPCNP-C</w:t>
      </w:r>
    </w:p>
    <w:p w14:paraId="47F32D5E" w14:textId="77777777" w:rsidR="00FF2B0F" w:rsidRPr="00A63F91" w:rsidRDefault="00FF2B0F" w:rsidP="00FF2B0F">
      <w:pPr>
        <w:pStyle w:val="APA"/>
        <w:ind w:firstLine="0"/>
        <w:contextualSpacing/>
        <w:jc w:val="center"/>
        <w:rPr>
          <w:rFonts w:ascii="Times" w:hAnsi="Times"/>
          <w:szCs w:val="24"/>
        </w:rPr>
      </w:pPr>
      <w:r w:rsidRPr="00A63F91">
        <w:rPr>
          <w:rFonts w:ascii="Times" w:hAnsi="Times"/>
          <w:szCs w:val="24"/>
        </w:rPr>
        <w:t>College of Nursing, East Carolina University</w:t>
      </w:r>
    </w:p>
    <w:p w14:paraId="572056C6" w14:textId="77777777" w:rsidR="00FF2B0F" w:rsidRPr="00A63F91" w:rsidRDefault="00FF2B0F" w:rsidP="00FF2B0F">
      <w:pPr>
        <w:pStyle w:val="APA"/>
        <w:ind w:firstLine="0"/>
        <w:contextualSpacing/>
        <w:jc w:val="center"/>
        <w:rPr>
          <w:rFonts w:ascii="Times" w:hAnsi="Times"/>
          <w:szCs w:val="24"/>
        </w:rPr>
      </w:pPr>
      <w:r w:rsidRPr="00A63F91">
        <w:rPr>
          <w:rFonts w:ascii="Times" w:hAnsi="Times"/>
          <w:szCs w:val="24"/>
        </w:rPr>
        <w:t>Doctor of Nursing Practice Program</w:t>
      </w:r>
    </w:p>
    <w:p w14:paraId="0EADCBCA" w14:textId="77777777" w:rsidR="00FF2B0F" w:rsidRPr="00A63F91" w:rsidRDefault="00FF2B0F" w:rsidP="00730E6D">
      <w:pPr>
        <w:pStyle w:val="NormalWeb"/>
        <w:spacing w:before="180" w:beforeAutospacing="0" w:after="180" w:afterAutospacing="0" w:line="480" w:lineRule="auto"/>
        <w:rPr>
          <w:rFonts w:ascii="Times" w:hAnsi="Times"/>
          <w:b/>
          <w:bCs/>
        </w:rPr>
      </w:pPr>
    </w:p>
    <w:p w14:paraId="3C6FC067" w14:textId="77777777" w:rsidR="00FF2B0F" w:rsidRPr="00A63F91" w:rsidRDefault="00FF2B0F" w:rsidP="00730E6D">
      <w:pPr>
        <w:pStyle w:val="NormalWeb"/>
        <w:spacing w:before="180" w:beforeAutospacing="0" w:after="180" w:afterAutospacing="0" w:line="480" w:lineRule="auto"/>
        <w:rPr>
          <w:rFonts w:ascii="Times" w:hAnsi="Times"/>
          <w:b/>
          <w:bCs/>
        </w:rPr>
      </w:pPr>
    </w:p>
    <w:p w14:paraId="2634F5DA" w14:textId="77777777" w:rsidR="00FF2B0F" w:rsidRPr="00A63F91" w:rsidRDefault="00FF2B0F" w:rsidP="00730E6D">
      <w:pPr>
        <w:pStyle w:val="NormalWeb"/>
        <w:spacing w:before="180" w:beforeAutospacing="0" w:after="180" w:afterAutospacing="0" w:line="480" w:lineRule="auto"/>
        <w:rPr>
          <w:rFonts w:ascii="Times" w:hAnsi="Times"/>
          <w:b/>
          <w:bCs/>
        </w:rPr>
      </w:pPr>
    </w:p>
    <w:p w14:paraId="58C87C25" w14:textId="77777777" w:rsidR="00FF2B0F" w:rsidRPr="00A63F91" w:rsidRDefault="00FF2B0F" w:rsidP="00730E6D">
      <w:pPr>
        <w:pStyle w:val="NormalWeb"/>
        <w:spacing w:before="180" w:beforeAutospacing="0" w:after="180" w:afterAutospacing="0" w:line="480" w:lineRule="auto"/>
        <w:rPr>
          <w:rFonts w:ascii="Times" w:hAnsi="Times"/>
          <w:b/>
          <w:bCs/>
        </w:rPr>
      </w:pPr>
    </w:p>
    <w:p w14:paraId="1E4F6A04" w14:textId="77777777" w:rsidR="00FF2B0F" w:rsidRPr="00A63F91" w:rsidRDefault="00FF2B0F" w:rsidP="00730E6D">
      <w:pPr>
        <w:pStyle w:val="NormalWeb"/>
        <w:spacing w:before="180" w:beforeAutospacing="0" w:after="180" w:afterAutospacing="0" w:line="480" w:lineRule="auto"/>
        <w:rPr>
          <w:rFonts w:ascii="Times" w:hAnsi="Times"/>
          <w:b/>
          <w:bCs/>
        </w:rPr>
      </w:pPr>
    </w:p>
    <w:p w14:paraId="67A2D55F" w14:textId="77777777" w:rsidR="00FF2B0F" w:rsidRPr="00A63F91" w:rsidRDefault="00FF2B0F" w:rsidP="00730E6D">
      <w:pPr>
        <w:pStyle w:val="NormalWeb"/>
        <w:spacing w:before="180" w:beforeAutospacing="0" w:after="180" w:afterAutospacing="0" w:line="480" w:lineRule="auto"/>
        <w:rPr>
          <w:rFonts w:ascii="Times" w:hAnsi="Times"/>
          <w:b/>
          <w:bCs/>
        </w:rPr>
      </w:pPr>
    </w:p>
    <w:p w14:paraId="6CE08702" w14:textId="77777777" w:rsidR="00CD1ED5" w:rsidRPr="00A63F91" w:rsidRDefault="00CD1ED5" w:rsidP="00730E6D">
      <w:pPr>
        <w:pStyle w:val="NormalWeb"/>
        <w:spacing w:before="180" w:beforeAutospacing="0" w:after="180" w:afterAutospacing="0" w:line="480" w:lineRule="auto"/>
        <w:rPr>
          <w:rFonts w:ascii="Times" w:hAnsi="Times"/>
          <w:b/>
          <w:bCs/>
        </w:rPr>
      </w:pPr>
    </w:p>
    <w:p w14:paraId="31AB1C83" w14:textId="77777777" w:rsidR="0055792B" w:rsidRDefault="0055792B" w:rsidP="00604498">
      <w:pPr>
        <w:spacing w:line="480" w:lineRule="auto"/>
        <w:jc w:val="center"/>
        <w:rPr>
          <w:rFonts w:ascii="Times" w:hAnsi="Times"/>
        </w:rPr>
      </w:pPr>
    </w:p>
    <w:p w14:paraId="7E0EA5B1" w14:textId="77777777" w:rsidR="0055792B" w:rsidRDefault="0055792B" w:rsidP="00604498">
      <w:pPr>
        <w:spacing w:line="480" w:lineRule="auto"/>
        <w:jc w:val="center"/>
        <w:rPr>
          <w:rFonts w:ascii="Times" w:hAnsi="Times"/>
        </w:rPr>
      </w:pPr>
    </w:p>
    <w:p w14:paraId="39C1CC45" w14:textId="77777777" w:rsidR="0055792B" w:rsidRDefault="0055792B" w:rsidP="00604498">
      <w:pPr>
        <w:spacing w:line="480" w:lineRule="auto"/>
        <w:jc w:val="center"/>
        <w:rPr>
          <w:rFonts w:ascii="Times" w:hAnsi="Times"/>
        </w:rPr>
      </w:pPr>
    </w:p>
    <w:p w14:paraId="03F4584B" w14:textId="77777777" w:rsidR="0055792B" w:rsidRDefault="0055792B" w:rsidP="00604498">
      <w:pPr>
        <w:spacing w:line="480" w:lineRule="auto"/>
        <w:jc w:val="center"/>
        <w:rPr>
          <w:rFonts w:ascii="Times" w:hAnsi="Times"/>
        </w:rPr>
      </w:pPr>
    </w:p>
    <w:p w14:paraId="29BEA233" w14:textId="77777777" w:rsidR="0055792B" w:rsidRDefault="0055792B" w:rsidP="00604498">
      <w:pPr>
        <w:spacing w:line="480" w:lineRule="auto"/>
        <w:jc w:val="center"/>
        <w:rPr>
          <w:rFonts w:ascii="Times" w:hAnsi="Times"/>
        </w:rPr>
      </w:pPr>
    </w:p>
    <w:p w14:paraId="070BE4DE" w14:textId="4FEBF263" w:rsidR="00604498" w:rsidRPr="007B1C1C" w:rsidRDefault="007B1C1C" w:rsidP="00604498">
      <w:pPr>
        <w:spacing w:line="480" w:lineRule="auto"/>
        <w:jc w:val="center"/>
        <w:rPr>
          <w:rFonts w:ascii="Times" w:hAnsi="Times"/>
          <w:b/>
          <w:bCs/>
        </w:rPr>
      </w:pPr>
      <w:r w:rsidRPr="007B1C1C">
        <w:rPr>
          <w:rFonts w:ascii="Times" w:hAnsi="Times"/>
          <w:b/>
          <w:bCs/>
        </w:rPr>
        <w:lastRenderedPageBreak/>
        <w:t>Abstract</w:t>
      </w:r>
    </w:p>
    <w:p w14:paraId="6E57D7E3" w14:textId="77777777" w:rsidR="007B1C1C" w:rsidRDefault="007B1C1C" w:rsidP="007A5A9F">
      <w:pPr>
        <w:spacing w:line="480" w:lineRule="auto"/>
        <w:rPr>
          <w:rFonts w:ascii="Times" w:hAnsi="Times"/>
          <w:b/>
          <w:bCs/>
        </w:rPr>
      </w:pPr>
      <w:r w:rsidRPr="007B1C1C">
        <w:rPr>
          <w:rFonts w:ascii="Times" w:hAnsi="Times"/>
          <w:b/>
          <w:bCs/>
        </w:rPr>
        <w:t>Background</w:t>
      </w:r>
    </w:p>
    <w:p w14:paraId="3B0204FE" w14:textId="3BA25394" w:rsidR="007A5A9F" w:rsidRPr="007B1C1C" w:rsidRDefault="007A5A9F" w:rsidP="007A5A9F">
      <w:pPr>
        <w:spacing w:line="480" w:lineRule="auto"/>
        <w:rPr>
          <w:rFonts w:ascii="Times" w:hAnsi="Times"/>
          <w:b/>
          <w:bCs/>
        </w:rPr>
      </w:pPr>
      <w:r>
        <w:rPr>
          <w:rFonts w:ascii="Times" w:hAnsi="Times"/>
          <w:b/>
          <w:bCs/>
        </w:rPr>
        <w:tab/>
      </w:r>
      <w:r w:rsidR="000E1BC4" w:rsidRPr="00715ECA">
        <w:rPr>
          <w:rFonts w:ascii="Times" w:hAnsi="Times"/>
        </w:rPr>
        <w:t xml:space="preserve">The Electrophysiology </w:t>
      </w:r>
      <w:r w:rsidR="000E1BC4">
        <w:rPr>
          <w:rFonts w:ascii="Times" w:hAnsi="Times"/>
        </w:rPr>
        <w:t xml:space="preserve">department </w:t>
      </w:r>
      <w:r w:rsidR="000E1BC4" w:rsidRPr="00715ECA">
        <w:rPr>
          <w:rFonts w:ascii="Times" w:hAnsi="Times"/>
        </w:rPr>
        <w:t xml:space="preserve">at the collaborating institution </w:t>
      </w:r>
      <w:r w:rsidR="000E1BC4">
        <w:rPr>
          <w:rFonts w:ascii="Times" w:hAnsi="Times"/>
        </w:rPr>
        <w:t xml:space="preserve">for this DNP Project </w:t>
      </w:r>
      <w:r w:rsidR="000E1BC4" w:rsidRPr="00715ECA">
        <w:rPr>
          <w:rFonts w:ascii="Times" w:hAnsi="Times"/>
        </w:rPr>
        <w:t xml:space="preserve">serves </w:t>
      </w:r>
      <w:r w:rsidR="000E1BC4">
        <w:rPr>
          <w:rFonts w:ascii="Times" w:hAnsi="Times"/>
        </w:rPr>
        <w:t xml:space="preserve">approximately </w:t>
      </w:r>
      <w:r w:rsidR="000E1BC4" w:rsidRPr="00715ECA">
        <w:rPr>
          <w:rFonts w:ascii="Times" w:hAnsi="Times"/>
        </w:rPr>
        <w:t>3,500</w:t>
      </w:r>
      <w:r w:rsidR="001C01AE">
        <w:rPr>
          <w:rFonts w:ascii="Times" w:hAnsi="Times"/>
        </w:rPr>
        <w:t xml:space="preserve"> patients with implantable cardiac devices such as ICDs, pacemakers, and loop recorders</w:t>
      </w:r>
      <w:r w:rsidR="000E1BC4">
        <w:rPr>
          <w:rFonts w:ascii="Times" w:hAnsi="Times"/>
        </w:rPr>
        <w:t>.</w:t>
      </w:r>
      <w:r w:rsidR="000E1BC4" w:rsidRPr="000E1BC4">
        <w:rPr>
          <w:rFonts w:ascii="Times" w:hAnsi="Times"/>
        </w:rPr>
        <w:t xml:space="preserve"> </w:t>
      </w:r>
      <w:r w:rsidR="000E1BC4">
        <w:rPr>
          <w:rFonts w:ascii="Times" w:hAnsi="Times"/>
        </w:rPr>
        <w:t xml:space="preserve">The site was identified </w:t>
      </w:r>
      <w:r w:rsidR="001C01AE">
        <w:rPr>
          <w:rFonts w:ascii="Times" w:hAnsi="Times"/>
        </w:rPr>
        <w:t>as having no set metric</w:t>
      </w:r>
      <w:r w:rsidR="000E1BC4" w:rsidRPr="00715ECA">
        <w:rPr>
          <w:rFonts w:ascii="Times" w:hAnsi="Times"/>
        </w:rPr>
        <w:t xml:space="preserve"> to assess the </w:t>
      </w:r>
      <w:r w:rsidR="000E1BC4">
        <w:rPr>
          <w:rFonts w:ascii="Times" w:hAnsi="Times"/>
        </w:rPr>
        <w:t>patient's</w:t>
      </w:r>
      <w:r w:rsidR="000E1BC4" w:rsidRPr="00715ECA">
        <w:rPr>
          <w:rFonts w:ascii="Times" w:hAnsi="Times"/>
        </w:rPr>
        <w:t xml:space="preserve"> psychological response to the implantation of an ICD. Instead, the clinic intervenes with extensive education or </w:t>
      </w:r>
      <w:r w:rsidR="000E1BC4">
        <w:rPr>
          <w:rFonts w:ascii="Times" w:hAnsi="Times"/>
        </w:rPr>
        <w:t xml:space="preserve">a referral for </w:t>
      </w:r>
      <w:r w:rsidR="000E1BC4" w:rsidRPr="00715ECA">
        <w:rPr>
          <w:rFonts w:ascii="Times" w:hAnsi="Times"/>
        </w:rPr>
        <w:t>Cardiac Psychology following an ICD shock based on patient history, clinical presentation, and shared decision-makin</w:t>
      </w:r>
      <w:r w:rsidR="000E1BC4">
        <w:rPr>
          <w:rFonts w:ascii="Times" w:hAnsi="Times"/>
        </w:rPr>
        <w:t>g.</w:t>
      </w:r>
    </w:p>
    <w:p w14:paraId="578662E8" w14:textId="77777777" w:rsidR="007B1C1C" w:rsidRDefault="007B1C1C" w:rsidP="007A5A9F">
      <w:pPr>
        <w:spacing w:line="480" w:lineRule="auto"/>
        <w:rPr>
          <w:rFonts w:ascii="Times" w:hAnsi="Times"/>
          <w:b/>
          <w:bCs/>
        </w:rPr>
      </w:pPr>
      <w:r w:rsidRPr="007B1C1C">
        <w:rPr>
          <w:rFonts w:ascii="Times" w:hAnsi="Times"/>
          <w:b/>
          <w:bCs/>
        </w:rPr>
        <w:t>Objective</w:t>
      </w:r>
    </w:p>
    <w:p w14:paraId="598D47EE" w14:textId="77777777" w:rsidR="000E1BC4" w:rsidRPr="007B1C1C" w:rsidRDefault="000E1BC4" w:rsidP="007A5A9F">
      <w:pPr>
        <w:spacing w:line="480" w:lineRule="auto"/>
        <w:rPr>
          <w:rFonts w:ascii="Times" w:hAnsi="Times"/>
          <w:b/>
          <w:bCs/>
        </w:rPr>
      </w:pPr>
      <w:r>
        <w:rPr>
          <w:rFonts w:ascii="Times" w:hAnsi="Times"/>
          <w:b/>
          <w:bCs/>
        </w:rPr>
        <w:tab/>
      </w:r>
      <w:r w:rsidRPr="00715ECA">
        <w:rPr>
          <w:rFonts w:ascii="Times" w:hAnsi="Times"/>
        </w:rPr>
        <w:t xml:space="preserve">The Florida Shock Assessment Scale (FSAS), created by Tripp et al. (2019), measures ICD-specific fears to target </w:t>
      </w:r>
      <w:r>
        <w:rPr>
          <w:rFonts w:ascii="Times" w:hAnsi="Times"/>
        </w:rPr>
        <w:t>patients'</w:t>
      </w:r>
      <w:r w:rsidRPr="00715ECA">
        <w:rPr>
          <w:rFonts w:ascii="Times" w:hAnsi="Times"/>
        </w:rPr>
        <w:t xml:space="preserve"> psychological distress and the need for intervention. </w:t>
      </w:r>
      <w:r>
        <w:rPr>
          <w:rFonts w:ascii="Times" w:hAnsi="Times"/>
        </w:rPr>
        <w:t xml:space="preserve">The objective is to prophylactically incorporate this tool at a patient's follow-up visit to identify patient-specific needs related to their ICD. </w:t>
      </w:r>
    </w:p>
    <w:p w14:paraId="1C0D53A6" w14:textId="77777777" w:rsidR="007B1C1C" w:rsidRDefault="007B1C1C" w:rsidP="007A5A9F">
      <w:pPr>
        <w:spacing w:line="480" w:lineRule="auto"/>
        <w:rPr>
          <w:rFonts w:ascii="Times" w:hAnsi="Times"/>
          <w:b/>
          <w:bCs/>
        </w:rPr>
      </w:pPr>
      <w:r w:rsidRPr="007B1C1C">
        <w:rPr>
          <w:rFonts w:ascii="Times" w:hAnsi="Times"/>
          <w:b/>
          <w:bCs/>
        </w:rPr>
        <w:t>Methods</w:t>
      </w:r>
    </w:p>
    <w:p w14:paraId="464EC725" w14:textId="75554BFE" w:rsidR="000E1BC4" w:rsidRPr="001C422C" w:rsidRDefault="00D672DC" w:rsidP="007A5A9F">
      <w:pPr>
        <w:spacing w:line="480" w:lineRule="auto"/>
        <w:rPr>
          <w:rFonts w:ascii="Times" w:hAnsi="Times"/>
        </w:rPr>
      </w:pPr>
      <w:r>
        <w:rPr>
          <w:rFonts w:ascii="Times" w:hAnsi="Times"/>
          <w:b/>
          <w:bCs/>
        </w:rPr>
        <w:tab/>
      </w:r>
      <w:r w:rsidR="001C422C">
        <w:rPr>
          <w:rFonts w:ascii="Times" w:hAnsi="Times"/>
        </w:rPr>
        <w:t>This project included 24 patients (n=24) with ICDs implanted (</w:t>
      </w:r>
      <w:r w:rsidR="001C422C" w:rsidRPr="00A63F91">
        <w:rPr>
          <w:rFonts w:ascii="Times" w:hAnsi="Times"/>
        </w:rPr>
        <w:t>67% male</w:t>
      </w:r>
      <w:r w:rsidR="001C422C">
        <w:rPr>
          <w:rFonts w:ascii="Times" w:hAnsi="Times"/>
        </w:rPr>
        <w:t>, 33% female, 45% white,</w:t>
      </w:r>
      <w:r w:rsidR="001C422C" w:rsidRPr="00A63F91">
        <w:rPr>
          <w:rFonts w:ascii="Times" w:hAnsi="Times"/>
        </w:rPr>
        <w:t xml:space="preserve"> 54% African American</w:t>
      </w:r>
      <w:r w:rsidR="001C422C">
        <w:rPr>
          <w:rFonts w:ascii="Times" w:hAnsi="Times"/>
        </w:rPr>
        <w:t>, 25% previously shocked, and 75% never shocked). Patients were recruited at their routine follow-up ICD visits, where the clinic staff screened them for participation. The endpoint of the project was to identify</w:t>
      </w:r>
      <w:r w:rsidR="001C01AE">
        <w:rPr>
          <w:rFonts w:ascii="Times" w:hAnsi="Times"/>
        </w:rPr>
        <w:t xml:space="preserve"> patients with</w:t>
      </w:r>
      <w:r w:rsidR="001C422C">
        <w:rPr>
          <w:rFonts w:ascii="Times" w:hAnsi="Times"/>
        </w:rPr>
        <w:t xml:space="preserve"> ICD-related anxiety and if cardiac psychology</w:t>
      </w:r>
      <w:r w:rsidR="001C01AE">
        <w:rPr>
          <w:rFonts w:ascii="Times" w:hAnsi="Times"/>
        </w:rPr>
        <w:t xml:space="preserve"> was indicated</w:t>
      </w:r>
      <w:r w:rsidR="001C422C">
        <w:rPr>
          <w:rFonts w:ascii="Times" w:hAnsi="Times"/>
        </w:rPr>
        <w:t xml:space="preserve">. </w:t>
      </w:r>
    </w:p>
    <w:p w14:paraId="573AA6FD" w14:textId="77777777" w:rsidR="007B1C1C" w:rsidRDefault="007B1C1C" w:rsidP="007A5A9F">
      <w:pPr>
        <w:spacing w:line="480" w:lineRule="auto"/>
        <w:rPr>
          <w:rFonts w:ascii="Times" w:hAnsi="Times"/>
          <w:b/>
          <w:bCs/>
        </w:rPr>
      </w:pPr>
      <w:r w:rsidRPr="007B1C1C">
        <w:rPr>
          <w:rFonts w:ascii="Times" w:hAnsi="Times"/>
          <w:b/>
          <w:bCs/>
        </w:rPr>
        <w:t>Results</w:t>
      </w:r>
    </w:p>
    <w:p w14:paraId="00251BDE" w14:textId="3A44302D" w:rsidR="001C422C" w:rsidRPr="001C422C" w:rsidRDefault="001C422C" w:rsidP="007A5A9F">
      <w:pPr>
        <w:spacing w:line="480" w:lineRule="auto"/>
        <w:rPr>
          <w:rFonts w:ascii="Times" w:hAnsi="Times"/>
        </w:rPr>
      </w:pPr>
      <w:r>
        <w:rPr>
          <w:rFonts w:ascii="Times" w:hAnsi="Times"/>
          <w:b/>
          <w:bCs/>
        </w:rPr>
        <w:tab/>
      </w:r>
      <w:r>
        <w:rPr>
          <w:rFonts w:ascii="Times" w:hAnsi="Times"/>
        </w:rPr>
        <w:t xml:space="preserve">Out of the sample, </w:t>
      </w:r>
      <w:r w:rsidR="001C01AE">
        <w:rPr>
          <w:rFonts w:ascii="Times" w:hAnsi="Times"/>
        </w:rPr>
        <w:t>two patients</w:t>
      </w:r>
      <w:r>
        <w:rPr>
          <w:rFonts w:ascii="Times" w:hAnsi="Times"/>
        </w:rPr>
        <w:t xml:space="preserve"> who had been previously shocked were identified to have increased anxiety and were offered cardiac psychology. The female patient willingly accepted a </w:t>
      </w:r>
      <w:r>
        <w:rPr>
          <w:rFonts w:ascii="Times" w:hAnsi="Times"/>
        </w:rPr>
        <w:lastRenderedPageBreak/>
        <w:t xml:space="preserve">referral to cardiac psychology. Each FSAS item was averaged, and two critical score items were identified to contribute to ICD-related anxiety: item </w:t>
      </w:r>
      <w:r w:rsidR="001C01AE">
        <w:rPr>
          <w:rFonts w:ascii="Times" w:hAnsi="Times"/>
        </w:rPr>
        <w:t>2</w:t>
      </w:r>
      <w:r>
        <w:rPr>
          <w:rFonts w:ascii="Times" w:hAnsi="Times"/>
        </w:rPr>
        <w:t xml:space="preserve"> and item </w:t>
      </w:r>
      <w:r w:rsidR="001C01AE">
        <w:rPr>
          <w:rFonts w:ascii="Times" w:hAnsi="Times"/>
        </w:rPr>
        <w:t>8</w:t>
      </w:r>
      <w:r>
        <w:rPr>
          <w:rFonts w:ascii="Times" w:hAnsi="Times"/>
        </w:rPr>
        <w:t xml:space="preserve">. </w:t>
      </w:r>
    </w:p>
    <w:p w14:paraId="2AAAD2F7" w14:textId="77777777" w:rsidR="007B1C1C" w:rsidRDefault="007B1C1C" w:rsidP="007A5A9F">
      <w:pPr>
        <w:spacing w:line="480" w:lineRule="auto"/>
        <w:rPr>
          <w:rFonts w:ascii="Times" w:hAnsi="Times"/>
          <w:b/>
          <w:bCs/>
        </w:rPr>
      </w:pPr>
      <w:r w:rsidRPr="007B1C1C">
        <w:rPr>
          <w:rFonts w:ascii="Times" w:hAnsi="Times"/>
          <w:b/>
          <w:bCs/>
        </w:rPr>
        <w:t>Conclusion</w:t>
      </w:r>
    </w:p>
    <w:p w14:paraId="766C13DD" w14:textId="6B858BBC" w:rsidR="001C422C" w:rsidRPr="001C422C" w:rsidRDefault="001C422C" w:rsidP="007A5A9F">
      <w:pPr>
        <w:spacing w:line="480" w:lineRule="auto"/>
        <w:rPr>
          <w:rFonts w:ascii="Times" w:hAnsi="Times"/>
        </w:rPr>
      </w:pPr>
      <w:r>
        <w:rPr>
          <w:rFonts w:ascii="Times" w:hAnsi="Times"/>
          <w:b/>
          <w:bCs/>
        </w:rPr>
        <w:tab/>
      </w:r>
      <w:r>
        <w:rPr>
          <w:rFonts w:ascii="Times" w:hAnsi="Times"/>
        </w:rPr>
        <w:t>Knowledge of the clinic</w:t>
      </w:r>
      <w:r w:rsidR="00A5498B">
        <w:rPr>
          <w:rFonts w:ascii="Times" w:hAnsi="Times"/>
        </w:rPr>
        <w:t>’s resources and educati</w:t>
      </w:r>
      <w:r w:rsidR="001C01AE">
        <w:rPr>
          <w:rFonts w:ascii="Times" w:hAnsi="Times"/>
        </w:rPr>
        <w:t>on gave each patient a sense of safety and security in their ICD. In return, this improved</w:t>
      </w:r>
      <w:r>
        <w:rPr>
          <w:rFonts w:ascii="Times" w:hAnsi="Times"/>
        </w:rPr>
        <w:t xml:space="preserve"> quality of life and cardiac health. </w:t>
      </w:r>
    </w:p>
    <w:p w14:paraId="2B42EE1D" w14:textId="77777777" w:rsidR="00A5498B" w:rsidRDefault="00A5498B" w:rsidP="00FC0951">
      <w:pPr>
        <w:jc w:val="center"/>
        <w:rPr>
          <w:rFonts w:ascii="Times" w:hAnsi="Times"/>
          <w:b/>
          <w:bCs/>
        </w:rPr>
      </w:pPr>
    </w:p>
    <w:p w14:paraId="41B58682" w14:textId="77777777" w:rsidR="00A5498B" w:rsidRDefault="00A5498B" w:rsidP="00FC0951">
      <w:pPr>
        <w:jc w:val="center"/>
        <w:rPr>
          <w:rFonts w:ascii="Times" w:hAnsi="Times"/>
          <w:b/>
          <w:bCs/>
        </w:rPr>
      </w:pPr>
    </w:p>
    <w:p w14:paraId="6BF5F700" w14:textId="77777777" w:rsidR="00A5498B" w:rsidRDefault="00A5498B" w:rsidP="00FC0951">
      <w:pPr>
        <w:jc w:val="center"/>
        <w:rPr>
          <w:rFonts w:ascii="Times" w:hAnsi="Times"/>
          <w:b/>
          <w:bCs/>
        </w:rPr>
      </w:pPr>
    </w:p>
    <w:p w14:paraId="5611A9AB" w14:textId="77777777" w:rsidR="00A5498B" w:rsidRDefault="00A5498B" w:rsidP="00FC0951">
      <w:pPr>
        <w:jc w:val="center"/>
        <w:rPr>
          <w:rFonts w:ascii="Times" w:hAnsi="Times"/>
          <w:b/>
          <w:bCs/>
        </w:rPr>
      </w:pPr>
    </w:p>
    <w:p w14:paraId="7EA6E9E5" w14:textId="77777777" w:rsidR="00A5498B" w:rsidRDefault="00A5498B" w:rsidP="00FC0951">
      <w:pPr>
        <w:jc w:val="center"/>
        <w:rPr>
          <w:rFonts w:ascii="Times" w:hAnsi="Times"/>
          <w:b/>
          <w:bCs/>
        </w:rPr>
      </w:pPr>
    </w:p>
    <w:p w14:paraId="64680228" w14:textId="77777777" w:rsidR="00A5498B" w:rsidRDefault="00A5498B" w:rsidP="00FC0951">
      <w:pPr>
        <w:jc w:val="center"/>
        <w:rPr>
          <w:rFonts w:ascii="Times" w:hAnsi="Times"/>
          <w:b/>
          <w:bCs/>
        </w:rPr>
      </w:pPr>
    </w:p>
    <w:p w14:paraId="05279E10" w14:textId="77777777" w:rsidR="00A5498B" w:rsidRDefault="00A5498B" w:rsidP="00FC0951">
      <w:pPr>
        <w:jc w:val="center"/>
        <w:rPr>
          <w:rFonts w:ascii="Times" w:hAnsi="Times"/>
          <w:b/>
          <w:bCs/>
        </w:rPr>
      </w:pPr>
    </w:p>
    <w:p w14:paraId="5BE78402" w14:textId="77777777" w:rsidR="00A5498B" w:rsidRDefault="00A5498B" w:rsidP="00FC0951">
      <w:pPr>
        <w:jc w:val="center"/>
        <w:rPr>
          <w:rFonts w:ascii="Times" w:hAnsi="Times"/>
          <w:b/>
          <w:bCs/>
        </w:rPr>
      </w:pPr>
    </w:p>
    <w:p w14:paraId="5BC02368" w14:textId="77777777" w:rsidR="00A5498B" w:rsidRDefault="00A5498B" w:rsidP="00FC0951">
      <w:pPr>
        <w:jc w:val="center"/>
        <w:rPr>
          <w:rFonts w:ascii="Times" w:hAnsi="Times"/>
          <w:b/>
          <w:bCs/>
        </w:rPr>
      </w:pPr>
    </w:p>
    <w:p w14:paraId="751B2F16" w14:textId="77777777" w:rsidR="00A5498B" w:rsidRDefault="00A5498B" w:rsidP="00FC0951">
      <w:pPr>
        <w:jc w:val="center"/>
        <w:rPr>
          <w:rFonts w:ascii="Times" w:hAnsi="Times"/>
          <w:b/>
          <w:bCs/>
        </w:rPr>
      </w:pPr>
    </w:p>
    <w:p w14:paraId="2EEA44D2" w14:textId="77777777" w:rsidR="00A5498B" w:rsidRDefault="00A5498B" w:rsidP="00FC0951">
      <w:pPr>
        <w:jc w:val="center"/>
        <w:rPr>
          <w:rFonts w:ascii="Times" w:hAnsi="Times"/>
          <w:b/>
          <w:bCs/>
        </w:rPr>
      </w:pPr>
    </w:p>
    <w:p w14:paraId="6C5F006E" w14:textId="77777777" w:rsidR="00A5498B" w:rsidRDefault="00A5498B" w:rsidP="00FC0951">
      <w:pPr>
        <w:jc w:val="center"/>
        <w:rPr>
          <w:rFonts w:ascii="Times" w:hAnsi="Times"/>
          <w:b/>
          <w:bCs/>
        </w:rPr>
      </w:pPr>
    </w:p>
    <w:p w14:paraId="13A07B7E" w14:textId="77777777" w:rsidR="00A5498B" w:rsidRDefault="00A5498B" w:rsidP="00FC0951">
      <w:pPr>
        <w:jc w:val="center"/>
        <w:rPr>
          <w:rFonts w:ascii="Times" w:hAnsi="Times"/>
          <w:b/>
          <w:bCs/>
        </w:rPr>
      </w:pPr>
    </w:p>
    <w:p w14:paraId="0EAE4A3F" w14:textId="77777777" w:rsidR="00A5498B" w:rsidRDefault="00A5498B" w:rsidP="00FC0951">
      <w:pPr>
        <w:jc w:val="center"/>
        <w:rPr>
          <w:rFonts w:ascii="Times" w:hAnsi="Times"/>
          <w:b/>
          <w:bCs/>
        </w:rPr>
      </w:pPr>
    </w:p>
    <w:p w14:paraId="4F631293" w14:textId="77777777" w:rsidR="00A5498B" w:rsidRDefault="00A5498B" w:rsidP="00FC0951">
      <w:pPr>
        <w:jc w:val="center"/>
        <w:rPr>
          <w:rFonts w:ascii="Times" w:hAnsi="Times"/>
          <w:b/>
          <w:bCs/>
        </w:rPr>
      </w:pPr>
    </w:p>
    <w:p w14:paraId="26CC7A61" w14:textId="77777777" w:rsidR="00A5498B" w:rsidRDefault="00A5498B" w:rsidP="00FC0951">
      <w:pPr>
        <w:jc w:val="center"/>
        <w:rPr>
          <w:rFonts w:ascii="Times" w:hAnsi="Times"/>
          <w:b/>
          <w:bCs/>
        </w:rPr>
      </w:pPr>
    </w:p>
    <w:p w14:paraId="0D7FA113" w14:textId="77777777" w:rsidR="00A5498B" w:rsidRDefault="00A5498B" w:rsidP="00FC0951">
      <w:pPr>
        <w:jc w:val="center"/>
        <w:rPr>
          <w:rFonts w:ascii="Times" w:hAnsi="Times"/>
          <w:b/>
          <w:bCs/>
        </w:rPr>
      </w:pPr>
    </w:p>
    <w:p w14:paraId="74531477" w14:textId="77777777" w:rsidR="00A5498B" w:rsidRDefault="00A5498B" w:rsidP="00FC0951">
      <w:pPr>
        <w:jc w:val="center"/>
        <w:rPr>
          <w:rFonts w:ascii="Times" w:hAnsi="Times"/>
          <w:b/>
          <w:bCs/>
        </w:rPr>
      </w:pPr>
    </w:p>
    <w:p w14:paraId="32450CC5" w14:textId="77777777" w:rsidR="00A5498B" w:rsidRDefault="00A5498B" w:rsidP="00FC0951">
      <w:pPr>
        <w:jc w:val="center"/>
        <w:rPr>
          <w:rFonts w:ascii="Times" w:hAnsi="Times"/>
          <w:b/>
          <w:bCs/>
        </w:rPr>
      </w:pPr>
    </w:p>
    <w:p w14:paraId="1E07BF01" w14:textId="77777777" w:rsidR="00A5498B" w:rsidRDefault="00A5498B" w:rsidP="00FC0951">
      <w:pPr>
        <w:jc w:val="center"/>
        <w:rPr>
          <w:rFonts w:ascii="Times" w:hAnsi="Times"/>
          <w:b/>
          <w:bCs/>
        </w:rPr>
      </w:pPr>
    </w:p>
    <w:p w14:paraId="2A37503F" w14:textId="77777777" w:rsidR="00A5498B" w:rsidRDefault="00A5498B" w:rsidP="00FC0951">
      <w:pPr>
        <w:jc w:val="center"/>
        <w:rPr>
          <w:rFonts w:ascii="Times" w:hAnsi="Times"/>
          <w:b/>
          <w:bCs/>
        </w:rPr>
      </w:pPr>
    </w:p>
    <w:p w14:paraId="270E5449" w14:textId="77777777" w:rsidR="00A5498B" w:rsidRDefault="00A5498B" w:rsidP="00FC0951">
      <w:pPr>
        <w:jc w:val="center"/>
        <w:rPr>
          <w:rFonts w:ascii="Times" w:hAnsi="Times"/>
          <w:b/>
          <w:bCs/>
        </w:rPr>
      </w:pPr>
    </w:p>
    <w:p w14:paraId="6BC42E5D" w14:textId="77777777" w:rsidR="00A5498B" w:rsidRDefault="00A5498B" w:rsidP="00FC0951">
      <w:pPr>
        <w:jc w:val="center"/>
        <w:rPr>
          <w:rFonts w:ascii="Times" w:hAnsi="Times"/>
          <w:b/>
          <w:bCs/>
        </w:rPr>
      </w:pPr>
    </w:p>
    <w:p w14:paraId="60338850" w14:textId="77777777" w:rsidR="00A5498B" w:rsidRDefault="00A5498B" w:rsidP="00FC0951">
      <w:pPr>
        <w:jc w:val="center"/>
        <w:rPr>
          <w:rFonts w:ascii="Times" w:hAnsi="Times"/>
          <w:b/>
          <w:bCs/>
        </w:rPr>
      </w:pPr>
    </w:p>
    <w:p w14:paraId="34015FDF" w14:textId="77777777" w:rsidR="00A5498B" w:rsidRDefault="00A5498B" w:rsidP="00FC0951">
      <w:pPr>
        <w:jc w:val="center"/>
        <w:rPr>
          <w:rFonts w:ascii="Times" w:hAnsi="Times"/>
          <w:b/>
          <w:bCs/>
        </w:rPr>
      </w:pPr>
    </w:p>
    <w:p w14:paraId="33C7BCB0" w14:textId="77777777" w:rsidR="00A5498B" w:rsidRDefault="00A5498B" w:rsidP="00FC0951">
      <w:pPr>
        <w:jc w:val="center"/>
        <w:rPr>
          <w:rFonts w:ascii="Times" w:hAnsi="Times"/>
          <w:b/>
          <w:bCs/>
        </w:rPr>
      </w:pPr>
    </w:p>
    <w:p w14:paraId="109E7B24" w14:textId="77777777" w:rsidR="00A5498B" w:rsidRDefault="00A5498B" w:rsidP="00FC0951">
      <w:pPr>
        <w:jc w:val="center"/>
        <w:rPr>
          <w:rFonts w:ascii="Times" w:hAnsi="Times"/>
          <w:b/>
          <w:bCs/>
        </w:rPr>
      </w:pPr>
    </w:p>
    <w:p w14:paraId="2AE6C755" w14:textId="77777777" w:rsidR="00A5498B" w:rsidRDefault="00A5498B" w:rsidP="00FC0951">
      <w:pPr>
        <w:jc w:val="center"/>
        <w:rPr>
          <w:rFonts w:ascii="Times" w:hAnsi="Times"/>
          <w:b/>
          <w:bCs/>
        </w:rPr>
      </w:pPr>
    </w:p>
    <w:p w14:paraId="7279C4A5" w14:textId="77777777" w:rsidR="00A5498B" w:rsidRDefault="00A5498B" w:rsidP="00FC0951">
      <w:pPr>
        <w:jc w:val="center"/>
        <w:rPr>
          <w:rFonts w:ascii="Times" w:hAnsi="Times"/>
          <w:b/>
          <w:bCs/>
        </w:rPr>
      </w:pPr>
    </w:p>
    <w:p w14:paraId="4479D3B2" w14:textId="77777777" w:rsidR="00A5498B" w:rsidRDefault="00A5498B" w:rsidP="00FC0951">
      <w:pPr>
        <w:jc w:val="center"/>
        <w:rPr>
          <w:rFonts w:ascii="Times" w:hAnsi="Times"/>
          <w:b/>
          <w:bCs/>
        </w:rPr>
      </w:pPr>
    </w:p>
    <w:p w14:paraId="10BB20EB" w14:textId="77777777" w:rsidR="00A5498B" w:rsidRDefault="00A5498B" w:rsidP="00FC0951">
      <w:pPr>
        <w:jc w:val="center"/>
        <w:rPr>
          <w:rFonts w:ascii="Times" w:hAnsi="Times"/>
          <w:b/>
          <w:bCs/>
        </w:rPr>
      </w:pPr>
    </w:p>
    <w:p w14:paraId="75EA9542" w14:textId="77777777" w:rsidR="00A5498B" w:rsidRDefault="00A5498B" w:rsidP="00FC0951">
      <w:pPr>
        <w:jc w:val="center"/>
        <w:rPr>
          <w:rFonts w:ascii="Times" w:hAnsi="Times"/>
          <w:b/>
          <w:bCs/>
        </w:rPr>
      </w:pPr>
    </w:p>
    <w:p w14:paraId="436D0687" w14:textId="77777777" w:rsidR="00A5498B" w:rsidRDefault="00A5498B" w:rsidP="00FC0951">
      <w:pPr>
        <w:jc w:val="center"/>
        <w:rPr>
          <w:rFonts w:ascii="Times" w:hAnsi="Times"/>
          <w:b/>
          <w:bCs/>
        </w:rPr>
      </w:pPr>
    </w:p>
    <w:p w14:paraId="48A04521" w14:textId="77777777" w:rsidR="00A5498B" w:rsidRDefault="00A5498B" w:rsidP="00FC0951">
      <w:pPr>
        <w:jc w:val="center"/>
        <w:rPr>
          <w:rFonts w:ascii="Times" w:hAnsi="Times"/>
          <w:b/>
          <w:bCs/>
        </w:rPr>
      </w:pPr>
    </w:p>
    <w:p w14:paraId="4788E5E5" w14:textId="77777777" w:rsidR="006E1668" w:rsidRDefault="006E1668" w:rsidP="00FC0951">
      <w:pPr>
        <w:jc w:val="center"/>
        <w:rPr>
          <w:rFonts w:ascii="Times" w:hAnsi="Times"/>
          <w:b/>
          <w:bCs/>
        </w:rPr>
      </w:pPr>
    </w:p>
    <w:p w14:paraId="69E85309" w14:textId="77777777" w:rsidR="006E1668" w:rsidRDefault="006E1668" w:rsidP="00FC0951">
      <w:pPr>
        <w:jc w:val="center"/>
        <w:rPr>
          <w:rFonts w:ascii="Times" w:hAnsi="Times"/>
          <w:b/>
          <w:bCs/>
        </w:rPr>
      </w:pPr>
    </w:p>
    <w:p w14:paraId="10C6801A" w14:textId="77777777" w:rsidR="007C405F" w:rsidRDefault="00FC0951" w:rsidP="00FC0951">
      <w:pPr>
        <w:jc w:val="center"/>
        <w:rPr>
          <w:rFonts w:ascii="Times" w:hAnsi="Times"/>
          <w:b/>
          <w:bCs/>
          <w:i/>
          <w:iCs/>
        </w:rPr>
      </w:pPr>
      <w:r>
        <w:rPr>
          <w:rFonts w:ascii="Times" w:hAnsi="Times"/>
          <w:b/>
          <w:bCs/>
        </w:rPr>
        <w:lastRenderedPageBreak/>
        <w:t>Assessing Shock Anxiety</w:t>
      </w:r>
      <w:r w:rsidRPr="00A63F91">
        <w:rPr>
          <w:rFonts w:ascii="Times" w:hAnsi="Times"/>
          <w:b/>
          <w:bCs/>
        </w:rPr>
        <w:t xml:space="preserve"> in Patients with </w:t>
      </w:r>
      <w:r>
        <w:rPr>
          <w:rFonts w:ascii="Times" w:hAnsi="Times"/>
          <w:b/>
          <w:bCs/>
        </w:rPr>
        <w:t>ICDs</w:t>
      </w:r>
      <w:r w:rsidRPr="00A63F91">
        <w:rPr>
          <w:rFonts w:ascii="Times" w:hAnsi="Times"/>
          <w:b/>
          <w:bCs/>
        </w:rPr>
        <w:t xml:space="preserve"> </w:t>
      </w:r>
    </w:p>
    <w:p w14:paraId="2A2D1447" w14:textId="77777777" w:rsidR="00FC0951" w:rsidRPr="00A63F91" w:rsidRDefault="00FC0951" w:rsidP="00FC0951">
      <w:pPr>
        <w:jc w:val="center"/>
        <w:rPr>
          <w:rFonts w:ascii="Times" w:hAnsi="Times"/>
          <w:b/>
          <w:bCs/>
          <w:i/>
          <w:iCs/>
        </w:rPr>
      </w:pPr>
    </w:p>
    <w:p w14:paraId="1E6FAF6D" w14:textId="721555F6" w:rsidR="001034EA" w:rsidRPr="00A63F91" w:rsidRDefault="001034EA" w:rsidP="001034EA">
      <w:pPr>
        <w:spacing w:line="480" w:lineRule="auto"/>
        <w:ind w:firstLine="720"/>
        <w:rPr>
          <w:rFonts w:ascii="Times" w:hAnsi="Times"/>
          <w:b/>
        </w:rPr>
      </w:pPr>
      <w:r w:rsidRPr="00A63F91">
        <w:rPr>
          <w:rFonts w:ascii="Times" w:hAnsi="Times"/>
        </w:rPr>
        <w:t xml:space="preserve">Patients indicated for implantation of an Implantable Cardioverter Defibrillator (ICD) present with a frank, sudden cardiac arrest event or demonstrated significant risk for potentially fatal cardiac arrhythmias. Often, these patients experience considerable anxiety about their condition and ICD. These </w:t>
      </w:r>
      <w:r w:rsidR="00C90450">
        <w:rPr>
          <w:rFonts w:ascii="Times" w:hAnsi="Times"/>
        </w:rPr>
        <w:t>worries</w:t>
      </w:r>
      <w:r w:rsidRPr="00A63F91">
        <w:rPr>
          <w:rFonts w:ascii="Times" w:hAnsi="Times"/>
        </w:rPr>
        <w:t xml:space="preserve"> result in reduced physical activity, generalized stress, and cardiac-specific anxiety. Collectively, these psychological concerns may impair the overall health outcomes and interfere with achieving full benefit from the care process. According to Tripp et al. (2019), approximately 44% of patients with ICDs experience anxiety related to being defibrillated, which is associated with cardiac fear, physical inactivity, and increased morbidity and mortality. Incorporating metric tools to assess these concerns can improve a patient's quality of life. </w:t>
      </w:r>
    </w:p>
    <w:p w14:paraId="3DA9B4F3" w14:textId="2F4D20DD" w:rsidR="001034EA" w:rsidRPr="00A63F91" w:rsidRDefault="001034EA" w:rsidP="001034EA">
      <w:pPr>
        <w:spacing w:line="480" w:lineRule="auto"/>
        <w:ind w:firstLine="720"/>
        <w:rPr>
          <w:rFonts w:ascii="Times" w:hAnsi="Times"/>
        </w:rPr>
      </w:pPr>
      <w:r w:rsidRPr="00A63F91">
        <w:rPr>
          <w:rFonts w:ascii="Times" w:hAnsi="Times"/>
        </w:rPr>
        <w:t xml:space="preserve">An extensive literature review assessed the correlation between ICDs and anxiety and past and current strategies to alleviate the psychological distress associated with ICD shocks. It is identified in the literature that ICDs' effects on anxiety and quality of life are poorly understood (Perini et al., 2017). The </w:t>
      </w:r>
      <w:r w:rsidR="007B1C1C">
        <w:rPr>
          <w:rFonts w:ascii="Times" w:hAnsi="Times"/>
        </w:rPr>
        <w:t>Florida Shock Anxiety Scale (</w:t>
      </w:r>
      <w:r w:rsidRPr="00A63F91">
        <w:rPr>
          <w:rFonts w:ascii="Times" w:hAnsi="Times"/>
        </w:rPr>
        <w:t>FSAS</w:t>
      </w:r>
      <w:r w:rsidR="007B1C1C">
        <w:rPr>
          <w:rFonts w:ascii="Times" w:hAnsi="Times"/>
        </w:rPr>
        <w:t xml:space="preserve">) </w:t>
      </w:r>
      <w:r w:rsidRPr="00A63F91">
        <w:rPr>
          <w:rFonts w:ascii="Times" w:hAnsi="Times"/>
        </w:rPr>
        <w:t xml:space="preserve">is </w:t>
      </w:r>
      <w:r w:rsidR="00AD35E8">
        <w:rPr>
          <w:rFonts w:ascii="Times" w:hAnsi="Times"/>
        </w:rPr>
        <w:t xml:space="preserve">a </w:t>
      </w:r>
      <w:r w:rsidRPr="00A63F91">
        <w:rPr>
          <w:rFonts w:ascii="Times" w:hAnsi="Times"/>
        </w:rPr>
        <w:t>widely used, reliable, and valid assessment tool to evaluate the clinical need for psychological support or psychoeducation</w:t>
      </w:r>
      <w:r w:rsidR="00C90450">
        <w:rPr>
          <w:rFonts w:ascii="Times" w:hAnsi="Times"/>
        </w:rPr>
        <w:t xml:space="preserve"> for patients with ICDs</w:t>
      </w:r>
      <w:r w:rsidRPr="00A63F91">
        <w:rPr>
          <w:rFonts w:ascii="Times" w:hAnsi="Times"/>
        </w:rPr>
        <w:t xml:space="preserve"> (Tripp et al., 2019). Nationally representative data from Ford et al. (2012) suggests that a single score of the FSAS is an easy and appropriate assessment method</w:t>
      </w:r>
      <w:r w:rsidR="00C90450">
        <w:rPr>
          <w:rFonts w:ascii="Times" w:hAnsi="Times"/>
        </w:rPr>
        <w:t xml:space="preserve"> to identify ICD-related stress</w:t>
      </w:r>
      <w:r w:rsidRPr="00A63F91">
        <w:rPr>
          <w:rFonts w:ascii="Times" w:hAnsi="Times"/>
        </w:rPr>
        <w:t xml:space="preserve">. Cardiac Psychology is an underutilized intervention in patients with severe ICD-induced anxiety. Cardiac </w:t>
      </w:r>
      <w:r w:rsidR="00455267">
        <w:rPr>
          <w:rFonts w:ascii="Times" w:hAnsi="Times"/>
        </w:rPr>
        <w:t>P</w:t>
      </w:r>
      <w:r w:rsidRPr="00A63F91">
        <w:rPr>
          <w:rFonts w:ascii="Times" w:hAnsi="Times"/>
        </w:rPr>
        <w:t>sychology focuses on how ICD shocks</w:t>
      </w:r>
      <w:r w:rsidR="00C90450">
        <w:rPr>
          <w:rFonts w:ascii="Times" w:hAnsi="Times"/>
        </w:rPr>
        <w:t xml:space="preserve"> facilitate</w:t>
      </w:r>
      <w:r w:rsidRPr="00A63F91">
        <w:rPr>
          <w:rFonts w:ascii="Times" w:hAnsi="Times"/>
        </w:rPr>
        <w:t xml:space="preserve"> rapid </w:t>
      </w:r>
      <w:r w:rsidR="00C90450">
        <w:rPr>
          <w:rFonts w:ascii="Times" w:hAnsi="Times"/>
        </w:rPr>
        <w:t>thinking, behavior, and self-perception changes</w:t>
      </w:r>
      <w:r w:rsidRPr="00A63F91">
        <w:rPr>
          <w:rFonts w:ascii="Times" w:hAnsi="Times"/>
        </w:rPr>
        <w:t>. Therefore, interventions that have proven to solve this problem include cardiac health literac</w:t>
      </w:r>
      <w:r w:rsidR="00C90450">
        <w:rPr>
          <w:rFonts w:ascii="Times" w:hAnsi="Times"/>
        </w:rPr>
        <w:t>y</w:t>
      </w:r>
      <w:r w:rsidRPr="00A63F91">
        <w:rPr>
          <w:rFonts w:ascii="Times" w:hAnsi="Times"/>
        </w:rPr>
        <w:t xml:space="preserve"> and</w:t>
      </w:r>
      <w:r w:rsidR="00C90450">
        <w:rPr>
          <w:rFonts w:ascii="Times" w:hAnsi="Times"/>
        </w:rPr>
        <w:t xml:space="preserve"> referral to</w:t>
      </w:r>
      <w:r w:rsidRPr="00A63F91">
        <w:rPr>
          <w:rFonts w:ascii="Times" w:hAnsi="Times"/>
        </w:rPr>
        <w:t xml:space="preserve"> cardiac psychology.</w:t>
      </w:r>
    </w:p>
    <w:p w14:paraId="328FABA4" w14:textId="5B3866D0" w:rsidR="001034EA" w:rsidRPr="00A63F91" w:rsidRDefault="001034EA" w:rsidP="001034EA">
      <w:pPr>
        <w:pStyle w:val="NormalWeb"/>
        <w:spacing w:before="180" w:beforeAutospacing="0" w:after="180" w:afterAutospacing="0" w:line="480" w:lineRule="auto"/>
        <w:ind w:firstLine="720"/>
        <w:rPr>
          <w:rFonts w:ascii="Times" w:hAnsi="Times"/>
          <w:b/>
          <w:bCs/>
        </w:rPr>
      </w:pPr>
      <w:r w:rsidRPr="00A63F91">
        <w:rPr>
          <w:rFonts w:ascii="Times" w:hAnsi="Times"/>
        </w:rPr>
        <w:lastRenderedPageBreak/>
        <w:t>Hirsh et al. (2009) emphasized that symptoms of anxiousness and depression are frequently reported by ICD patients, demanding tailored psychological interventions to meet these needs. The project site for this DNP project does not employ the psychological screening tools and interventions for patients with ICDs necessary to improve their quality of life, thereby increasing the patient's risk for further cardiac decline.</w:t>
      </w:r>
      <w:r w:rsidR="00C90450">
        <w:rPr>
          <w:rFonts w:ascii="Times" w:hAnsi="Times"/>
        </w:rPr>
        <w:t xml:space="preserve"> Instead, the project site assesses fear of shock as a tertiary prevention when the patient presents with extreme fear following a shock. </w:t>
      </w:r>
    </w:p>
    <w:p w14:paraId="4CB8727E" w14:textId="77777777" w:rsidR="001034EA" w:rsidRPr="00A63F91" w:rsidRDefault="001034EA" w:rsidP="001034EA">
      <w:pPr>
        <w:pStyle w:val="NormalWeb"/>
        <w:spacing w:before="180" w:beforeAutospacing="0" w:after="180" w:afterAutospacing="0" w:line="480" w:lineRule="auto"/>
        <w:ind w:firstLine="720"/>
        <w:rPr>
          <w:rFonts w:ascii="Times" w:hAnsi="Times"/>
        </w:rPr>
      </w:pPr>
      <w:r w:rsidRPr="00A63F91">
        <w:rPr>
          <w:rFonts w:ascii="Times" w:hAnsi="Times"/>
        </w:rPr>
        <w:t xml:space="preserve">This quality improvement project aimed to engage with ICD patients by incorporating the FSAS tool at their follow-up visits. The outcome of the FSAS </w:t>
      </w:r>
      <w:r w:rsidR="00D12DC8">
        <w:rPr>
          <w:rFonts w:ascii="Times" w:hAnsi="Times"/>
        </w:rPr>
        <w:t xml:space="preserve">determines </w:t>
      </w:r>
      <w:r w:rsidRPr="00A63F91">
        <w:rPr>
          <w:rFonts w:ascii="Times" w:hAnsi="Times"/>
        </w:rPr>
        <w:t>the patient's need for further education or Cardiac Psychology referral. This DNP project aimed to empower ICD patients by giving them the knowledge necessary to resume an active lifestyle without fear of being shocked, thereby increasing their confidence in maintaining a healthy, active lifestyle and overall improved health outcomes.</w:t>
      </w:r>
    </w:p>
    <w:p w14:paraId="5B0D234A" w14:textId="77777777" w:rsidR="007C405F" w:rsidRPr="00A63F91" w:rsidRDefault="00001160" w:rsidP="007C405F">
      <w:pPr>
        <w:pStyle w:val="NormalWeb"/>
        <w:spacing w:before="180" w:beforeAutospacing="0" w:after="180" w:afterAutospacing="0" w:line="480" w:lineRule="auto"/>
        <w:jc w:val="center"/>
        <w:rPr>
          <w:rFonts w:ascii="Times" w:hAnsi="Times"/>
          <w:b/>
          <w:bCs/>
        </w:rPr>
      </w:pPr>
      <w:r w:rsidRPr="00A63F91">
        <w:rPr>
          <w:rFonts w:ascii="Times" w:hAnsi="Times"/>
          <w:b/>
          <w:bCs/>
        </w:rPr>
        <w:t>Methods</w:t>
      </w:r>
    </w:p>
    <w:p w14:paraId="220FADB8" w14:textId="585DC296" w:rsidR="00B80FB0" w:rsidRPr="00B80FB0" w:rsidRDefault="00DB6BE8" w:rsidP="00B80FB0">
      <w:pPr>
        <w:autoSpaceDE w:val="0"/>
        <w:autoSpaceDN w:val="0"/>
        <w:adjustRightInd w:val="0"/>
        <w:spacing w:after="240" w:line="480" w:lineRule="auto"/>
        <w:ind w:firstLine="720"/>
        <w:rPr>
          <w:rFonts w:ascii="Times" w:eastAsiaTheme="minorHAnsi" w:hAnsi="Times" w:cs="Times"/>
        </w:rPr>
      </w:pPr>
      <w:r>
        <w:rPr>
          <w:rFonts w:ascii="Times" w:hAnsi="Times"/>
        </w:rPr>
        <w:t>Modules were completed in the Collaborative Institutional Training Initiative (CITI) in preparation for the formal approval process of this project. The East Carolina University College of Nursing deemed the project a quality improvement (QI) project</w:t>
      </w:r>
      <w:r w:rsidR="00B80FB0" w:rsidRPr="00B80FB0">
        <w:rPr>
          <w:rFonts w:ascii="Times" w:hAnsi="Times"/>
        </w:rPr>
        <w:t xml:space="preserve">. The University's Self-Certification Qualtrics Survey was submitted and confirmed that IRB approval was </w:t>
      </w:r>
      <w:r w:rsidR="008C12E9">
        <w:rPr>
          <w:rFonts w:ascii="Times" w:hAnsi="Times"/>
        </w:rPr>
        <w:t>optional</w:t>
      </w:r>
      <w:r w:rsidR="00B80FB0" w:rsidRPr="00B80FB0">
        <w:rPr>
          <w:rFonts w:ascii="Times" w:hAnsi="Times"/>
        </w:rPr>
        <w:t xml:space="preserve">. However, after </w:t>
      </w:r>
      <w:r w:rsidR="00AD35E8">
        <w:rPr>
          <w:rFonts w:ascii="Times" w:hAnsi="Times"/>
        </w:rPr>
        <w:t xml:space="preserve">a </w:t>
      </w:r>
      <w:r w:rsidR="00B80FB0" w:rsidRPr="00B80FB0">
        <w:rPr>
          <w:rFonts w:ascii="Times" w:hAnsi="Times"/>
        </w:rPr>
        <w:t xml:space="preserve">discussion with </w:t>
      </w:r>
      <w:r w:rsidR="00B80FB0">
        <w:rPr>
          <w:rFonts w:ascii="Times" w:hAnsi="Times"/>
        </w:rPr>
        <w:t>the</w:t>
      </w:r>
      <w:r w:rsidR="00B80FB0" w:rsidRPr="00B80FB0">
        <w:rPr>
          <w:rFonts w:ascii="Times" w:hAnsi="Times"/>
        </w:rPr>
        <w:t xml:space="preserve"> site champion, an agreement </w:t>
      </w:r>
      <w:r w:rsidR="008C12E9">
        <w:rPr>
          <w:rFonts w:ascii="Times" w:hAnsi="Times"/>
        </w:rPr>
        <w:t>to pursue IRB approval within the project site was reach</w:t>
      </w:r>
      <w:r w:rsidR="00D12DC8">
        <w:rPr>
          <w:rFonts w:ascii="Times" w:hAnsi="Times"/>
        </w:rPr>
        <w:t>ed to allow for future project expansion</w:t>
      </w:r>
      <w:r w:rsidR="00B80FB0" w:rsidRPr="00B80FB0">
        <w:rPr>
          <w:rFonts w:ascii="Times" w:hAnsi="Times"/>
        </w:rPr>
        <w:t xml:space="preserve">. </w:t>
      </w:r>
      <w:r w:rsidR="00D643B6">
        <w:rPr>
          <w:rFonts w:ascii="Times" w:hAnsi="Times"/>
        </w:rPr>
        <w:t>IRB and implementation are currently ongoing with the clinic site.</w:t>
      </w:r>
    </w:p>
    <w:p w14:paraId="4E882B88" w14:textId="77777777" w:rsidR="00810476" w:rsidRPr="00A63F91" w:rsidRDefault="00810476" w:rsidP="00810476">
      <w:pPr>
        <w:pStyle w:val="NormalWeb"/>
        <w:spacing w:before="180" w:beforeAutospacing="0" w:after="180" w:afterAutospacing="0" w:line="480" w:lineRule="auto"/>
        <w:rPr>
          <w:rFonts w:ascii="Times" w:hAnsi="Times"/>
          <w:b/>
          <w:bCs/>
        </w:rPr>
      </w:pPr>
      <w:r w:rsidRPr="00A63F91">
        <w:rPr>
          <w:rFonts w:ascii="Times" w:hAnsi="Times"/>
          <w:b/>
          <w:bCs/>
        </w:rPr>
        <w:t>Sample</w:t>
      </w:r>
    </w:p>
    <w:p w14:paraId="58FAE961" w14:textId="0403B04D" w:rsidR="00810476" w:rsidRPr="00A63F91" w:rsidRDefault="00B80FB0" w:rsidP="007C405F">
      <w:pPr>
        <w:pStyle w:val="NormalWeb"/>
        <w:spacing w:before="180" w:beforeAutospacing="0" w:after="180" w:afterAutospacing="0" w:line="480" w:lineRule="auto"/>
        <w:ind w:firstLine="720"/>
        <w:rPr>
          <w:rFonts w:ascii="Times" w:hAnsi="Times"/>
        </w:rPr>
      </w:pPr>
      <w:r>
        <w:rPr>
          <w:rFonts w:ascii="Times" w:hAnsi="Times"/>
        </w:rPr>
        <w:lastRenderedPageBreak/>
        <w:t xml:space="preserve">Following IRB approval, </w:t>
      </w:r>
      <w:r w:rsidR="007C405F" w:rsidRPr="00A63F91">
        <w:rPr>
          <w:rFonts w:ascii="Times" w:hAnsi="Times"/>
        </w:rPr>
        <w:t>65 hours w</w:t>
      </w:r>
      <w:r w:rsidR="00455267">
        <w:rPr>
          <w:rFonts w:ascii="Times" w:hAnsi="Times"/>
        </w:rPr>
        <w:t>ere</w:t>
      </w:r>
      <w:r w:rsidR="007C405F" w:rsidRPr="00A63F91">
        <w:rPr>
          <w:rFonts w:ascii="Times" w:hAnsi="Times"/>
        </w:rPr>
        <w:t xml:space="preserve"> spent at the project clinical site</w:t>
      </w:r>
      <w:r w:rsidR="008C12E9">
        <w:rPr>
          <w:rFonts w:ascii="Times" w:hAnsi="Times"/>
        </w:rPr>
        <w:t>. T</w:t>
      </w:r>
      <w:r w:rsidR="007C405F" w:rsidRPr="00A63F91">
        <w:rPr>
          <w:rFonts w:ascii="Times" w:hAnsi="Times"/>
        </w:rPr>
        <w:t xml:space="preserve">he FSAS metric </w:t>
      </w:r>
      <w:r w:rsidR="00455267">
        <w:rPr>
          <w:rFonts w:ascii="Times" w:hAnsi="Times"/>
        </w:rPr>
        <w:t>(Figure 1)</w:t>
      </w:r>
      <w:r w:rsidR="00E92F68">
        <w:rPr>
          <w:rFonts w:ascii="Times" w:hAnsi="Times"/>
        </w:rPr>
        <w:t xml:space="preserve"> was implemented</w:t>
      </w:r>
      <w:r w:rsidR="00455267">
        <w:rPr>
          <w:rFonts w:ascii="Times" w:hAnsi="Times"/>
        </w:rPr>
        <w:t xml:space="preserve"> </w:t>
      </w:r>
      <w:r w:rsidR="00AD35E8">
        <w:rPr>
          <w:rFonts w:ascii="Times" w:hAnsi="Times"/>
        </w:rPr>
        <w:t xml:space="preserve">for every ICD patient </w:t>
      </w:r>
      <w:r w:rsidR="00F074EB">
        <w:rPr>
          <w:rFonts w:ascii="Times" w:hAnsi="Times"/>
        </w:rPr>
        <w:t>who met the criterion and was</w:t>
      </w:r>
      <w:r w:rsidR="007C405F" w:rsidRPr="00A63F91">
        <w:rPr>
          <w:rFonts w:ascii="Times" w:hAnsi="Times"/>
        </w:rPr>
        <w:t xml:space="preserve"> willing to participate</w:t>
      </w:r>
      <w:r w:rsidR="00FC0951">
        <w:rPr>
          <w:rFonts w:ascii="Times" w:hAnsi="Times"/>
        </w:rPr>
        <w:t xml:space="preserve"> in their regularly scheduled follow-up visit</w:t>
      </w:r>
      <w:r w:rsidR="007C405F" w:rsidRPr="00A63F91">
        <w:rPr>
          <w:rFonts w:ascii="Times" w:hAnsi="Times"/>
        </w:rPr>
        <w:t>.</w:t>
      </w:r>
      <w:r w:rsidR="00F074EB">
        <w:rPr>
          <w:rFonts w:ascii="Times" w:hAnsi="Times"/>
        </w:rPr>
        <w:t xml:space="preserve"> The criteria for participation include ICD, mentally competent, and literate.</w:t>
      </w:r>
      <w:r w:rsidR="00CD2AC4">
        <w:rPr>
          <w:rFonts w:ascii="Times" w:hAnsi="Times"/>
        </w:rPr>
        <w:t xml:space="preserve"> Clinic staff would room the patient and perform their routine follow-up device interrogation. Following that visit, the clinic staff would then educate the patient on the project, allowing the patient to agree or refuse to participate.</w:t>
      </w:r>
      <w:r w:rsidR="007C405F" w:rsidRPr="00A63F91">
        <w:rPr>
          <w:rFonts w:ascii="Times" w:hAnsi="Times"/>
        </w:rPr>
        <w:t xml:space="preserve"> Informed patient consent was obtained </w:t>
      </w:r>
      <w:r w:rsidR="00AD35E8">
        <w:rPr>
          <w:rFonts w:ascii="Times" w:hAnsi="Times"/>
        </w:rPr>
        <w:t>before</w:t>
      </w:r>
      <w:r w:rsidR="007C405F" w:rsidRPr="00A63F91">
        <w:rPr>
          <w:rFonts w:ascii="Times" w:hAnsi="Times"/>
        </w:rPr>
        <w:t xml:space="preserve"> PHI access and implementation. </w:t>
      </w:r>
      <w:r w:rsidR="00810476" w:rsidRPr="00A63F91">
        <w:rPr>
          <w:rFonts w:ascii="Times" w:hAnsi="Times"/>
        </w:rPr>
        <w:t xml:space="preserve">A sample of 24 participants willingly participated. There were no incentives to participate in this project. </w:t>
      </w:r>
    </w:p>
    <w:p w14:paraId="2CD81A70" w14:textId="77777777" w:rsidR="00810476" w:rsidRPr="00A63F91" w:rsidRDefault="00810476" w:rsidP="00810476">
      <w:pPr>
        <w:pStyle w:val="NormalWeb"/>
        <w:spacing w:before="180" w:beforeAutospacing="0" w:after="180" w:afterAutospacing="0" w:line="480" w:lineRule="auto"/>
        <w:rPr>
          <w:rFonts w:ascii="Times" w:hAnsi="Times"/>
          <w:b/>
          <w:bCs/>
        </w:rPr>
      </w:pPr>
      <w:r w:rsidRPr="00A63F91">
        <w:rPr>
          <w:rFonts w:ascii="Times" w:hAnsi="Times"/>
          <w:b/>
          <w:bCs/>
        </w:rPr>
        <w:t>Instrument</w:t>
      </w:r>
    </w:p>
    <w:p w14:paraId="797AF940" w14:textId="494FDE58" w:rsidR="00810476" w:rsidRPr="00A63F91" w:rsidRDefault="007C405F" w:rsidP="00810476">
      <w:pPr>
        <w:pStyle w:val="NormalWeb"/>
        <w:spacing w:before="180" w:beforeAutospacing="0" w:after="180" w:afterAutospacing="0" w:line="480" w:lineRule="auto"/>
        <w:ind w:firstLine="720"/>
        <w:rPr>
          <w:rFonts w:ascii="Times" w:hAnsi="Times"/>
        </w:rPr>
      </w:pPr>
      <w:r w:rsidRPr="00A63F91">
        <w:rPr>
          <w:rFonts w:ascii="Times" w:hAnsi="Times"/>
        </w:rPr>
        <w:t xml:space="preserve">The </w:t>
      </w:r>
      <w:r w:rsidR="00F074EB">
        <w:rPr>
          <w:rFonts w:ascii="Times" w:hAnsi="Times"/>
        </w:rPr>
        <w:t>project implementor gave the FSAS tool to the patients, who then exited</w:t>
      </w:r>
      <w:r w:rsidRPr="00A63F91">
        <w:rPr>
          <w:rFonts w:ascii="Times" w:hAnsi="Times"/>
        </w:rPr>
        <w:t xml:space="preserve"> the room</w:t>
      </w:r>
      <w:r w:rsidR="00F074EB">
        <w:rPr>
          <w:rFonts w:ascii="Times" w:hAnsi="Times"/>
        </w:rPr>
        <w:t xml:space="preserve"> to allow for the patient to complete it</w:t>
      </w:r>
      <w:r w:rsidRPr="00A63F91">
        <w:rPr>
          <w:rFonts w:ascii="Times" w:hAnsi="Times"/>
        </w:rPr>
        <w:t xml:space="preserve">. </w:t>
      </w:r>
      <w:r w:rsidR="00810476" w:rsidRPr="00A63F91">
        <w:rPr>
          <w:rFonts w:ascii="Times" w:hAnsi="Times"/>
        </w:rPr>
        <w:t xml:space="preserve">The patients were asked to individually fill out items </w:t>
      </w:r>
      <w:r w:rsidR="00F074EB">
        <w:rPr>
          <w:rFonts w:ascii="Times" w:hAnsi="Times"/>
        </w:rPr>
        <w:t>1-10</w:t>
      </w:r>
      <w:r w:rsidR="00810476" w:rsidRPr="00A63F91">
        <w:rPr>
          <w:rFonts w:ascii="Times" w:hAnsi="Times"/>
        </w:rPr>
        <w:t xml:space="preserve"> to measure the ICD-related anxiety regarding shock. Scores were then calculated, and results were reviewed with the patient; the p</w:t>
      </w:r>
      <w:r w:rsidR="0027057E">
        <w:rPr>
          <w:rFonts w:ascii="Times" w:hAnsi="Times"/>
        </w:rPr>
        <w:t>roject implementor educated the patient on their results</w:t>
      </w:r>
      <w:r w:rsidR="00810476" w:rsidRPr="00A63F91">
        <w:rPr>
          <w:rFonts w:ascii="Times" w:hAnsi="Times"/>
        </w:rPr>
        <w:t xml:space="preserve">. Data collected was stored in an </w:t>
      </w:r>
      <w:r w:rsidR="00AD35E8">
        <w:rPr>
          <w:rFonts w:ascii="Times" w:hAnsi="Times"/>
        </w:rPr>
        <w:t>Excel tracking sheet and kept in a private IRB-approved</w:t>
      </w:r>
      <w:r w:rsidR="00810476" w:rsidRPr="00A63F91">
        <w:rPr>
          <w:rFonts w:ascii="Times" w:hAnsi="Times"/>
        </w:rPr>
        <w:t xml:space="preserve"> drive. Each patient was </w:t>
      </w:r>
      <w:r w:rsidR="00E92F68">
        <w:rPr>
          <w:rFonts w:ascii="Times" w:hAnsi="Times"/>
        </w:rPr>
        <w:t>provided</w:t>
      </w:r>
      <w:r w:rsidR="00810476" w:rsidRPr="00A63F91">
        <w:rPr>
          <w:rFonts w:ascii="Times" w:hAnsi="Times"/>
        </w:rPr>
        <w:t xml:space="preserve"> a peer-reviewed education sheet after participation</w:t>
      </w:r>
      <w:r w:rsidR="00AD35E8">
        <w:rPr>
          <w:rFonts w:ascii="Times" w:hAnsi="Times"/>
        </w:rPr>
        <w:t>,</w:t>
      </w:r>
      <w:r w:rsidR="00810476" w:rsidRPr="00A63F91">
        <w:rPr>
          <w:rFonts w:ascii="Times" w:hAnsi="Times"/>
        </w:rPr>
        <w:t xml:space="preserve"> and those with </w:t>
      </w:r>
      <w:r w:rsidR="00E92F68">
        <w:rPr>
          <w:rFonts w:ascii="Times" w:hAnsi="Times"/>
        </w:rPr>
        <w:t xml:space="preserve">FSAS </w:t>
      </w:r>
      <w:r w:rsidR="00810476" w:rsidRPr="00A63F91">
        <w:rPr>
          <w:rFonts w:ascii="Times" w:hAnsi="Times"/>
        </w:rPr>
        <w:t xml:space="preserve">scores </w:t>
      </w:r>
      <w:r w:rsidR="00455267">
        <w:rPr>
          <w:rFonts w:ascii="Times" w:hAnsi="Times"/>
        </w:rPr>
        <w:t xml:space="preserve">greater than 30 </w:t>
      </w:r>
      <w:r w:rsidR="00810476" w:rsidRPr="00A63F91">
        <w:rPr>
          <w:rFonts w:ascii="Times" w:hAnsi="Times"/>
        </w:rPr>
        <w:t>indicating further needs were offered referral to Cardiac Psychology. At the end of the study, data was analyzed for results and conclusions.</w:t>
      </w:r>
    </w:p>
    <w:p w14:paraId="7DB8FFC9" w14:textId="77777777" w:rsidR="00810476" w:rsidRPr="00A63F91" w:rsidRDefault="00810476" w:rsidP="00810476">
      <w:pPr>
        <w:pStyle w:val="NormalWeb"/>
        <w:spacing w:before="180" w:beforeAutospacing="0" w:after="180" w:afterAutospacing="0" w:line="480" w:lineRule="auto"/>
        <w:rPr>
          <w:rFonts w:ascii="Times" w:hAnsi="Times"/>
          <w:b/>
          <w:bCs/>
        </w:rPr>
      </w:pPr>
      <w:r w:rsidRPr="00A63F91">
        <w:rPr>
          <w:rFonts w:ascii="Times" w:hAnsi="Times"/>
          <w:b/>
          <w:bCs/>
        </w:rPr>
        <w:t>Design</w:t>
      </w:r>
    </w:p>
    <w:p w14:paraId="3D39C5D2" w14:textId="7F419210" w:rsidR="007C405F" w:rsidRPr="00A63F91" w:rsidRDefault="00810476" w:rsidP="00810476">
      <w:pPr>
        <w:pStyle w:val="NormalWeb"/>
        <w:spacing w:before="180" w:beforeAutospacing="0" w:after="180" w:afterAutospacing="0" w:line="480" w:lineRule="auto"/>
        <w:ind w:firstLine="720"/>
        <w:rPr>
          <w:rFonts w:ascii="Times" w:hAnsi="Times"/>
        </w:rPr>
      </w:pPr>
      <w:r w:rsidRPr="00A63F91">
        <w:rPr>
          <w:rFonts w:ascii="Times" w:hAnsi="Times"/>
        </w:rPr>
        <w:t>This DNP project execution aligns with the PRECEDE-PROCEED Model (PPM). PRECEDE stands for Predisposing, Reinforcing, and Enabling Constructs in Education/Environmental Diagnosis and Evaluation. PROCEED stands for Policy, Regulatory, and Organization Constructs in Educational and Environmental Development.</w:t>
      </w:r>
      <w:r w:rsidR="00F074EB">
        <w:rPr>
          <w:rFonts w:ascii="Times" w:hAnsi="Times"/>
        </w:rPr>
        <w:t xml:space="preserve"> PPM is</w:t>
      </w:r>
      <w:r w:rsidRPr="00A63F91">
        <w:rPr>
          <w:rFonts w:ascii="Times" w:hAnsi="Times"/>
        </w:rPr>
        <w:t xml:space="preserve"> an </w:t>
      </w:r>
      <w:r w:rsidR="00F074EB">
        <w:rPr>
          <w:rFonts w:ascii="Times" w:hAnsi="Times"/>
        </w:rPr>
        <w:lastRenderedPageBreak/>
        <w:t>evidence-based health promotion approach that emphasizes</w:t>
      </w:r>
      <w:r w:rsidRPr="00A63F91">
        <w:rPr>
          <w:rFonts w:ascii="Times" w:hAnsi="Times"/>
        </w:rPr>
        <w:t xml:space="preserve"> planning and evaluation </w:t>
      </w:r>
      <w:r w:rsidR="00F074EB">
        <w:rPr>
          <w:rFonts w:ascii="Times" w:hAnsi="Times"/>
        </w:rPr>
        <w:t>for successful interventions</w:t>
      </w:r>
      <w:r w:rsidR="00831458">
        <w:rPr>
          <w:rFonts w:ascii="Times" w:hAnsi="Times"/>
        </w:rPr>
        <w:t xml:space="preserve">. </w:t>
      </w:r>
      <w:r w:rsidRPr="00A63F91">
        <w:rPr>
          <w:rFonts w:ascii="Times" w:hAnsi="Times"/>
        </w:rPr>
        <w:t xml:space="preserve">The PPM is a method of making substantial progress in reducing morbidity and mortality at the community level through developing, implementing, and evaluating health promotion programs (Crosby &amp; </w:t>
      </w:r>
      <w:proofErr w:type="spellStart"/>
      <w:r w:rsidRPr="00A63F91">
        <w:rPr>
          <w:rFonts w:ascii="Times" w:hAnsi="Times"/>
        </w:rPr>
        <w:t>Noar</w:t>
      </w:r>
      <w:proofErr w:type="spellEnd"/>
      <w:r w:rsidRPr="00A63F91">
        <w:rPr>
          <w:rFonts w:ascii="Times" w:hAnsi="Times"/>
        </w:rPr>
        <w:t>, 2011). Health needs related to fear surrounding ICD shocks were identified within the clinical project site, the FSAS was implemented</w:t>
      </w:r>
      <w:r w:rsidR="00AD35E8">
        <w:rPr>
          <w:rFonts w:ascii="Times" w:hAnsi="Times"/>
        </w:rPr>
        <w:t>,</w:t>
      </w:r>
      <w:r w:rsidRPr="00A63F91">
        <w:rPr>
          <w:rFonts w:ascii="Times" w:hAnsi="Times"/>
        </w:rPr>
        <w:t xml:space="preserve"> and outcomes were evaluated.</w:t>
      </w:r>
    </w:p>
    <w:p w14:paraId="6C66D03E" w14:textId="77777777" w:rsidR="007C405F" w:rsidRPr="00A63F91" w:rsidRDefault="006D0D34" w:rsidP="007C405F">
      <w:pPr>
        <w:pStyle w:val="NormalWeb"/>
        <w:spacing w:before="180" w:beforeAutospacing="0" w:after="180" w:afterAutospacing="0" w:line="480" w:lineRule="auto"/>
        <w:jc w:val="center"/>
        <w:rPr>
          <w:rFonts w:ascii="Times" w:hAnsi="Times"/>
          <w:b/>
          <w:bCs/>
        </w:rPr>
      </w:pPr>
      <w:r w:rsidRPr="00A63F91">
        <w:rPr>
          <w:rFonts w:ascii="Times" w:hAnsi="Times"/>
          <w:b/>
          <w:bCs/>
        </w:rPr>
        <w:t>Results</w:t>
      </w:r>
    </w:p>
    <w:p w14:paraId="3F4FDB40" w14:textId="72F5A3C2" w:rsidR="00CD1ED5" w:rsidRPr="00A63F91" w:rsidRDefault="00CD1ED5" w:rsidP="00CD1ED5">
      <w:pPr>
        <w:pStyle w:val="NormalWeb"/>
        <w:spacing w:before="180" w:beforeAutospacing="0" w:after="180" w:afterAutospacing="0" w:line="480" w:lineRule="auto"/>
        <w:rPr>
          <w:rFonts w:ascii="Times" w:hAnsi="Times"/>
        </w:rPr>
      </w:pPr>
      <w:r w:rsidRPr="00A63F91">
        <w:rPr>
          <w:rFonts w:ascii="Times" w:hAnsi="Times"/>
          <w:b/>
          <w:bCs/>
        </w:rPr>
        <w:tab/>
      </w:r>
      <w:r w:rsidRPr="00A63F91">
        <w:rPr>
          <w:rFonts w:ascii="Times" w:hAnsi="Times"/>
        </w:rPr>
        <w:t xml:space="preserve">The findings indicate that out of the sample of participants (n=24), </w:t>
      </w:r>
      <w:r w:rsidR="00AD35E8">
        <w:rPr>
          <w:rFonts w:ascii="Times" w:hAnsi="Times"/>
        </w:rPr>
        <w:t>one</w:t>
      </w:r>
      <w:r w:rsidRPr="00A63F91">
        <w:rPr>
          <w:rFonts w:ascii="Times" w:hAnsi="Times"/>
        </w:rPr>
        <w:t xml:space="preserve"> </w:t>
      </w:r>
      <w:r w:rsidR="00AD35E8">
        <w:rPr>
          <w:rFonts w:ascii="Times" w:hAnsi="Times"/>
        </w:rPr>
        <w:t>male and one female patient met the criteria for referral to cardiac psychology</w:t>
      </w:r>
      <w:r w:rsidR="00831458">
        <w:rPr>
          <w:rFonts w:ascii="Times" w:hAnsi="Times"/>
        </w:rPr>
        <w:t>, both of whom had previously experienced a shock</w:t>
      </w:r>
      <w:r w:rsidRPr="00A63F91">
        <w:rPr>
          <w:rFonts w:ascii="Times" w:hAnsi="Times"/>
        </w:rPr>
        <w:t xml:space="preserve">. Of these two patients, the female patient willingly accepted </w:t>
      </w:r>
      <w:r w:rsidR="00AD35E8">
        <w:rPr>
          <w:rFonts w:ascii="Times" w:hAnsi="Times"/>
        </w:rPr>
        <w:t xml:space="preserve">the </w:t>
      </w:r>
      <w:r w:rsidRPr="00A63F91">
        <w:rPr>
          <w:rFonts w:ascii="Times" w:hAnsi="Times"/>
        </w:rPr>
        <w:t>referral. The sample included an average age of 68</w:t>
      </w:r>
      <w:r w:rsidR="00AD35E8">
        <w:rPr>
          <w:rFonts w:ascii="Times" w:hAnsi="Times"/>
        </w:rPr>
        <w:t>;</w:t>
      </w:r>
      <w:r w:rsidRPr="00A63F91">
        <w:rPr>
          <w:rFonts w:ascii="Times" w:hAnsi="Times"/>
        </w:rPr>
        <w:t xml:space="preserve"> 67% were male</w:t>
      </w:r>
      <w:r w:rsidR="00AD35E8">
        <w:rPr>
          <w:rFonts w:ascii="Times" w:hAnsi="Times"/>
        </w:rPr>
        <w:t>, 33% were female, 45% were white,</w:t>
      </w:r>
      <w:r w:rsidRPr="00A63F91">
        <w:rPr>
          <w:rFonts w:ascii="Times" w:hAnsi="Times"/>
        </w:rPr>
        <w:t xml:space="preserve"> and 54% were African American. Shock history revealed </w:t>
      </w:r>
      <w:r w:rsidR="00AD35E8">
        <w:rPr>
          <w:rFonts w:ascii="Times" w:hAnsi="Times"/>
        </w:rPr>
        <w:t xml:space="preserve">that </w:t>
      </w:r>
      <w:r w:rsidRPr="00A63F91">
        <w:rPr>
          <w:rFonts w:ascii="Times" w:hAnsi="Times"/>
        </w:rPr>
        <w:t>25% of the sample had previously been shocked</w:t>
      </w:r>
      <w:r w:rsidR="00AD35E8">
        <w:rPr>
          <w:rFonts w:ascii="Times" w:hAnsi="Times"/>
        </w:rPr>
        <w:t>, while 75% had never been shocked,</w:t>
      </w:r>
      <w:r w:rsidRPr="00A63F91">
        <w:rPr>
          <w:rFonts w:ascii="Times" w:hAnsi="Times"/>
        </w:rPr>
        <w:t xml:space="preserve"> as seen in </w:t>
      </w:r>
      <w:r w:rsidR="00F4403A">
        <w:rPr>
          <w:rFonts w:ascii="Times" w:hAnsi="Times"/>
        </w:rPr>
        <w:t>Figure</w:t>
      </w:r>
      <w:r w:rsidRPr="00A63F91">
        <w:rPr>
          <w:rFonts w:ascii="Times" w:hAnsi="Times"/>
        </w:rPr>
        <w:t xml:space="preserve"> </w:t>
      </w:r>
      <w:r w:rsidR="00F4403A">
        <w:rPr>
          <w:rFonts w:ascii="Times" w:hAnsi="Times"/>
        </w:rPr>
        <w:t>2</w:t>
      </w:r>
      <w:r w:rsidRPr="00A63F91">
        <w:rPr>
          <w:rFonts w:ascii="Times" w:hAnsi="Times"/>
        </w:rPr>
        <w:t xml:space="preserve">. </w:t>
      </w:r>
      <w:r w:rsidR="0066402F">
        <w:rPr>
          <w:rFonts w:ascii="Times" w:hAnsi="Times"/>
        </w:rPr>
        <w:t xml:space="preserve">This is relevant as it aligns with previous evidence-based data showing that 1 in 4 patients with ICDs received a shock. </w:t>
      </w:r>
      <w:r w:rsidRPr="00A63F91">
        <w:rPr>
          <w:rFonts w:ascii="Times" w:hAnsi="Times"/>
        </w:rPr>
        <w:t>FSAS results were separated by item</w:t>
      </w:r>
      <w:r w:rsidR="00AD35E8">
        <w:rPr>
          <w:rFonts w:ascii="Times" w:hAnsi="Times"/>
        </w:rPr>
        <w:t>, and the means were calculated as seen in Figure 3, revealing areas of most concern</w:t>
      </w:r>
      <w:r w:rsidRPr="00A63F91">
        <w:rPr>
          <w:rFonts w:ascii="Times" w:hAnsi="Times"/>
        </w:rPr>
        <w:t xml:space="preserve"> with the entire sample. </w:t>
      </w:r>
    </w:p>
    <w:p w14:paraId="759B027C" w14:textId="77777777" w:rsidR="006D0D34" w:rsidRPr="00A63F91" w:rsidRDefault="006D0D34" w:rsidP="007C405F">
      <w:pPr>
        <w:pStyle w:val="NormalWeb"/>
        <w:spacing w:before="180" w:beforeAutospacing="0" w:after="180" w:afterAutospacing="0" w:line="480" w:lineRule="auto"/>
        <w:jc w:val="center"/>
        <w:rPr>
          <w:rFonts w:ascii="Times" w:hAnsi="Times"/>
          <w:b/>
          <w:bCs/>
        </w:rPr>
      </w:pPr>
      <w:r w:rsidRPr="00A63F91">
        <w:rPr>
          <w:rFonts w:ascii="Times" w:hAnsi="Times"/>
          <w:b/>
          <w:bCs/>
        </w:rPr>
        <w:t>Discussion</w:t>
      </w:r>
    </w:p>
    <w:p w14:paraId="56BB3FE3" w14:textId="77777777" w:rsidR="00834FE3" w:rsidRPr="00A63F91" w:rsidRDefault="00834FE3" w:rsidP="00834FE3">
      <w:pPr>
        <w:autoSpaceDE w:val="0"/>
        <w:autoSpaceDN w:val="0"/>
        <w:adjustRightInd w:val="0"/>
        <w:spacing w:line="480" w:lineRule="auto"/>
        <w:rPr>
          <w:rFonts w:ascii="Times" w:hAnsi="Times" w:cs="Times New Roman"/>
        </w:rPr>
      </w:pPr>
      <w:r w:rsidRPr="00A63F91">
        <w:rPr>
          <w:rFonts w:ascii="Times" w:hAnsi="Times"/>
        </w:rPr>
        <w:tab/>
        <w:t xml:space="preserve">Administration of the FSAS metric reveals the importance of continual assessment of ICD-related anxiety </w:t>
      </w:r>
      <w:r w:rsidR="00AD35E8">
        <w:rPr>
          <w:rFonts w:ascii="Times" w:hAnsi="Times"/>
        </w:rPr>
        <w:t>in</w:t>
      </w:r>
      <w:r w:rsidRPr="00A63F91">
        <w:rPr>
          <w:rFonts w:ascii="Times" w:hAnsi="Times"/>
        </w:rPr>
        <w:t xml:space="preserve"> patients with ICDs. </w:t>
      </w:r>
      <w:r w:rsidRPr="00A63F91">
        <w:rPr>
          <w:rFonts w:ascii="Times" w:hAnsi="Times" w:cs="Times New Roman"/>
        </w:rPr>
        <w:t xml:space="preserve">Utilizing </w:t>
      </w:r>
      <w:r w:rsidR="00AD35E8">
        <w:rPr>
          <w:rFonts w:ascii="Times" w:hAnsi="Times" w:cs="Times New Roman"/>
        </w:rPr>
        <w:t>ICD-related</w:t>
      </w:r>
      <w:r w:rsidRPr="00A63F91">
        <w:rPr>
          <w:rFonts w:ascii="Times" w:hAnsi="Times" w:cs="Times New Roman"/>
        </w:rPr>
        <w:t xml:space="preserve"> anxiety assessment tools can</w:t>
      </w:r>
    </w:p>
    <w:p w14:paraId="688ED695" w14:textId="13605160" w:rsidR="00834FE3" w:rsidRDefault="00834FE3" w:rsidP="00834FE3">
      <w:pPr>
        <w:autoSpaceDE w:val="0"/>
        <w:autoSpaceDN w:val="0"/>
        <w:adjustRightInd w:val="0"/>
        <w:spacing w:line="480" w:lineRule="auto"/>
        <w:rPr>
          <w:rFonts w:ascii="Times" w:hAnsi="Times" w:cs="Times New Roman"/>
        </w:rPr>
      </w:pPr>
      <w:r w:rsidRPr="00A63F91">
        <w:rPr>
          <w:rFonts w:ascii="Times" w:hAnsi="Times" w:cs="Times New Roman"/>
        </w:rPr>
        <w:t xml:space="preserve">help prophylactically identify patients in need of further device knowledge or cardiac psychology. While the positive results of this study yielded only two patients </w:t>
      </w:r>
      <w:r w:rsidR="0066402F">
        <w:rPr>
          <w:rFonts w:ascii="Times" w:hAnsi="Times" w:cs="Times New Roman"/>
        </w:rPr>
        <w:t>in the sample, all patients acknowledged the benefits of education regarding</w:t>
      </w:r>
      <w:r w:rsidRPr="00A63F91">
        <w:rPr>
          <w:rFonts w:ascii="Times" w:hAnsi="Times" w:cs="Times New Roman"/>
        </w:rPr>
        <w:t xml:space="preserve"> their ICD. The female patient </w:t>
      </w:r>
      <w:r w:rsidR="00AD35E8">
        <w:rPr>
          <w:rFonts w:ascii="Times" w:hAnsi="Times" w:cs="Times New Roman"/>
        </w:rPr>
        <w:t>with</w:t>
      </w:r>
      <w:r w:rsidRPr="00A63F91">
        <w:rPr>
          <w:rFonts w:ascii="Times" w:hAnsi="Times" w:cs="Times New Roman"/>
        </w:rPr>
        <w:t xml:space="preserve"> </w:t>
      </w:r>
      <w:r w:rsidRPr="00A63F91">
        <w:rPr>
          <w:rFonts w:ascii="Times" w:hAnsi="Times" w:cs="Times New Roman"/>
        </w:rPr>
        <w:lastRenderedPageBreak/>
        <w:t xml:space="preserve">positive results was more willing to seek help from Cardiac Psychology </w:t>
      </w:r>
      <w:r w:rsidR="00AD35E8">
        <w:rPr>
          <w:rFonts w:ascii="Times" w:hAnsi="Times" w:cs="Times New Roman"/>
        </w:rPr>
        <w:t>than</w:t>
      </w:r>
      <w:r w:rsidRPr="00A63F91">
        <w:rPr>
          <w:rFonts w:ascii="Times" w:hAnsi="Times" w:cs="Times New Roman"/>
        </w:rPr>
        <w:t xml:space="preserve"> the male patient. Patients who had never been shocked </w:t>
      </w:r>
      <w:r w:rsidR="00AD35E8">
        <w:rPr>
          <w:rFonts w:ascii="Times" w:hAnsi="Times" w:cs="Times New Roman"/>
        </w:rPr>
        <w:t>have less critical score items on their FSAS than those</w:t>
      </w:r>
      <w:r w:rsidR="0080176F" w:rsidRPr="00A63F91">
        <w:rPr>
          <w:rFonts w:ascii="Times" w:hAnsi="Times" w:cs="Times New Roman"/>
        </w:rPr>
        <w:t xml:space="preserve"> who had been shocked. </w:t>
      </w:r>
      <w:r w:rsidRPr="00A63F91">
        <w:rPr>
          <w:rFonts w:ascii="Times" w:hAnsi="Times" w:cs="Times New Roman"/>
        </w:rPr>
        <w:t xml:space="preserve">However, each patient expressed security and safety with the knowledge of their implantable device and Cardiac Psychology as a resource. </w:t>
      </w:r>
    </w:p>
    <w:p w14:paraId="6D5119BC" w14:textId="2BA0BDB5" w:rsidR="00831458" w:rsidRPr="00A63F91" w:rsidRDefault="00831458" w:rsidP="00834FE3">
      <w:pPr>
        <w:autoSpaceDE w:val="0"/>
        <w:autoSpaceDN w:val="0"/>
        <w:adjustRightInd w:val="0"/>
        <w:spacing w:line="480" w:lineRule="auto"/>
        <w:rPr>
          <w:rFonts w:ascii="Times" w:eastAsiaTheme="minorHAnsi" w:hAnsi="Times" w:cs="Times New Roman"/>
        </w:rPr>
      </w:pPr>
      <w:r>
        <w:rPr>
          <w:rFonts w:ascii="Times" w:hAnsi="Times" w:cs="Times New Roman"/>
        </w:rPr>
        <w:tab/>
        <w:t>The clinic site champion and his psychology student are currently continuing implementation. While the time spent at the clinic site provided relevant knowledge, more time and data will provide greater evidence to support the problem. In return, the hope is to provide patients with relevant knowledge and support for ICDs while exposing cardiac psychology as a relevant tool that can be used for patients with ICDs. Further knowledge and implementation can also provide more evidence of demographic</w:t>
      </w:r>
      <w:r w:rsidR="0066402F">
        <w:rPr>
          <w:rFonts w:ascii="Times" w:hAnsi="Times" w:cs="Times New Roman"/>
        </w:rPr>
        <w:t>-</w:t>
      </w:r>
      <w:r>
        <w:rPr>
          <w:rFonts w:ascii="Times" w:hAnsi="Times" w:cs="Times New Roman"/>
        </w:rPr>
        <w:t xml:space="preserve">related differences </w:t>
      </w:r>
      <w:r w:rsidR="0066402F">
        <w:rPr>
          <w:rFonts w:ascii="Times" w:hAnsi="Times" w:cs="Times New Roman"/>
        </w:rPr>
        <w:t>in the patient population.</w:t>
      </w:r>
    </w:p>
    <w:p w14:paraId="4ACAFA47" w14:textId="77777777" w:rsidR="00D34511" w:rsidRPr="00A63F91" w:rsidRDefault="006D0D34" w:rsidP="0074776F">
      <w:pPr>
        <w:pStyle w:val="NormalWeb"/>
        <w:spacing w:before="180" w:beforeAutospacing="0" w:after="180" w:afterAutospacing="0" w:line="480" w:lineRule="auto"/>
        <w:jc w:val="center"/>
        <w:rPr>
          <w:rFonts w:ascii="Times" w:hAnsi="Times"/>
          <w:b/>
          <w:bCs/>
        </w:rPr>
      </w:pPr>
      <w:r w:rsidRPr="00A63F91">
        <w:rPr>
          <w:rFonts w:ascii="Times" w:hAnsi="Times"/>
          <w:b/>
          <w:bCs/>
        </w:rPr>
        <w:t>Conclusions</w:t>
      </w:r>
    </w:p>
    <w:p w14:paraId="67F06210" w14:textId="06F2D949" w:rsidR="0074776F" w:rsidRPr="00A63F91" w:rsidRDefault="0074776F" w:rsidP="0074776F">
      <w:pPr>
        <w:pStyle w:val="NormalWeb"/>
        <w:spacing w:before="180" w:beforeAutospacing="0" w:after="180" w:afterAutospacing="0" w:line="480" w:lineRule="auto"/>
        <w:ind w:firstLine="720"/>
        <w:rPr>
          <w:rFonts w:ascii="Times" w:hAnsi="Times"/>
        </w:rPr>
      </w:pPr>
      <w:r w:rsidRPr="00A63F91">
        <w:rPr>
          <w:rFonts w:ascii="Times" w:hAnsi="Times"/>
        </w:rPr>
        <w:t xml:space="preserve">Incorporating and adopting the habit of measuring </w:t>
      </w:r>
      <w:r w:rsidR="00AD35E8">
        <w:rPr>
          <w:rFonts w:ascii="Times" w:hAnsi="Times"/>
        </w:rPr>
        <w:t>ICD-related</w:t>
      </w:r>
      <w:r w:rsidRPr="00A63F91">
        <w:rPr>
          <w:rFonts w:ascii="Times" w:hAnsi="Times"/>
        </w:rPr>
        <w:t xml:space="preserve"> anxiety in patients with ICDs can promote </w:t>
      </w:r>
      <w:r w:rsidR="00E92F68">
        <w:rPr>
          <w:rFonts w:ascii="Times" w:hAnsi="Times"/>
        </w:rPr>
        <w:t>positive</w:t>
      </w:r>
      <w:r w:rsidRPr="00A63F91">
        <w:rPr>
          <w:rFonts w:ascii="Times" w:hAnsi="Times"/>
        </w:rPr>
        <w:t xml:space="preserve"> cardiac health outcomes.</w:t>
      </w:r>
      <w:r w:rsidR="00E92F68" w:rsidRPr="00A63F91">
        <w:rPr>
          <w:rFonts w:ascii="Times" w:hAnsi="Times"/>
        </w:rPr>
        <w:t xml:space="preserve"> </w:t>
      </w:r>
      <w:r w:rsidR="00E92F68">
        <w:rPr>
          <w:rFonts w:ascii="Times" w:hAnsi="Times"/>
        </w:rPr>
        <w:t xml:space="preserve">Screening </w:t>
      </w:r>
      <w:r w:rsidR="00E92F68" w:rsidRPr="00A63F91">
        <w:rPr>
          <w:rFonts w:ascii="Times" w:hAnsi="Times"/>
        </w:rPr>
        <w:t>all ICD patients at every visit can</w:t>
      </w:r>
      <w:r w:rsidR="00E92F68">
        <w:rPr>
          <w:rFonts w:ascii="Times" w:hAnsi="Times"/>
        </w:rPr>
        <w:t xml:space="preserve"> serve as a primary prevention strategy for the</w:t>
      </w:r>
      <w:r w:rsidR="00E92F68" w:rsidRPr="00A63F91">
        <w:rPr>
          <w:rFonts w:ascii="Times" w:hAnsi="Times"/>
        </w:rPr>
        <w:t xml:space="preserve"> mental and </w:t>
      </w:r>
      <w:r w:rsidR="00E92F68">
        <w:rPr>
          <w:rFonts w:ascii="Times" w:hAnsi="Times"/>
        </w:rPr>
        <w:t>physical</w:t>
      </w:r>
      <w:r w:rsidR="00E92F68" w:rsidRPr="00A63F91">
        <w:rPr>
          <w:rFonts w:ascii="Times" w:hAnsi="Times"/>
        </w:rPr>
        <w:t xml:space="preserve"> </w:t>
      </w:r>
      <w:r w:rsidR="00E92F68">
        <w:rPr>
          <w:rFonts w:ascii="Times" w:hAnsi="Times"/>
        </w:rPr>
        <w:t>sequelae of cardiovascular disease</w:t>
      </w:r>
      <w:r w:rsidR="00E92F68" w:rsidRPr="00A63F91">
        <w:rPr>
          <w:rFonts w:ascii="Times" w:hAnsi="Times"/>
        </w:rPr>
        <w:t xml:space="preserve">. </w:t>
      </w:r>
      <w:r w:rsidR="00D77D41" w:rsidRPr="00A63F91">
        <w:rPr>
          <w:rFonts w:ascii="Times" w:hAnsi="Times"/>
        </w:rPr>
        <w:t xml:space="preserve"> </w:t>
      </w:r>
      <w:r w:rsidRPr="00A63F91">
        <w:rPr>
          <w:rFonts w:ascii="Times" w:hAnsi="Times"/>
        </w:rPr>
        <w:t xml:space="preserve">Patients </w:t>
      </w:r>
      <w:r w:rsidR="00AD35E8">
        <w:rPr>
          <w:rFonts w:ascii="Times" w:hAnsi="Times"/>
        </w:rPr>
        <w:t>who know</w:t>
      </w:r>
      <w:r w:rsidRPr="00A63F91">
        <w:rPr>
          <w:rFonts w:ascii="Times" w:hAnsi="Times"/>
        </w:rPr>
        <w:t xml:space="preserve"> the </w:t>
      </w:r>
      <w:r w:rsidR="00AD35E8">
        <w:rPr>
          <w:rFonts w:ascii="Times" w:hAnsi="Times"/>
        </w:rPr>
        <w:t>clinic’s resources</w:t>
      </w:r>
      <w:r w:rsidR="008C12E9">
        <w:rPr>
          <w:rFonts w:ascii="Times" w:hAnsi="Times"/>
        </w:rPr>
        <w:t>, such as cardiac psychology,</w:t>
      </w:r>
      <w:r w:rsidRPr="00A63F91">
        <w:rPr>
          <w:rFonts w:ascii="Times" w:hAnsi="Times"/>
        </w:rPr>
        <w:t xml:space="preserve"> are more likely to feel secure and safe with their care. </w:t>
      </w:r>
      <w:r w:rsidR="00034082">
        <w:rPr>
          <w:rFonts w:ascii="Times" w:hAnsi="Times"/>
        </w:rPr>
        <w:t>K</w:t>
      </w:r>
      <w:r w:rsidRPr="00A63F91">
        <w:rPr>
          <w:rFonts w:ascii="Times" w:hAnsi="Times"/>
        </w:rPr>
        <w:t xml:space="preserve">nowing these are available provides security at home and </w:t>
      </w:r>
      <w:r w:rsidR="00AD35E8">
        <w:rPr>
          <w:rFonts w:ascii="Times" w:hAnsi="Times"/>
        </w:rPr>
        <w:t>during</w:t>
      </w:r>
      <w:r w:rsidRPr="00A63F91">
        <w:rPr>
          <w:rFonts w:ascii="Times" w:hAnsi="Times"/>
        </w:rPr>
        <w:t xml:space="preserve"> shocks. </w:t>
      </w:r>
      <w:r w:rsidR="008C12E9">
        <w:rPr>
          <w:rFonts w:ascii="Times" w:hAnsi="Times"/>
        </w:rPr>
        <w:t xml:space="preserve">Therefore, completing this quality improvement project made patients feel empowered and confident in their implantable device and the clinic that cares for them. </w:t>
      </w:r>
    </w:p>
    <w:p w14:paraId="0BEEEBB6" w14:textId="77777777" w:rsidR="0074776F" w:rsidRPr="00A63F91" w:rsidRDefault="0074776F" w:rsidP="0074776F">
      <w:pPr>
        <w:pStyle w:val="NormalWeb"/>
        <w:spacing w:before="180" w:beforeAutospacing="0" w:after="180" w:afterAutospacing="0" w:line="480" w:lineRule="auto"/>
        <w:rPr>
          <w:rFonts w:ascii="Times" w:hAnsi="Times"/>
          <w:b/>
          <w:bCs/>
        </w:rPr>
      </w:pPr>
    </w:p>
    <w:p w14:paraId="67D56E2C" w14:textId="77777777" w:rsidR="00D34511" w:rsidRPr="00A63F91" w:rsidRDefault="00D34511" w:rsidP="007C405F">
      <w:pPr>
        <w:pStyle w:val="NormalWeb"/>
        <w:spacing w:before="180" w:beforeAutospacing="0" w:after="180" w:afterAutospacing="0" w:line="480" w:lineRule="auto"/>
        <w:jc w:val="center"/>
        <w:rPr>
          <w:rFonts w:ascii="Times" w:hAnsi="Times"/>
          <w:b/>
          <w:bCs/>
        </w:rPr>
      </w:pPr>
    </w:p>
    <w:p w14:paraId="01F06BA6" w14:textId="77777777" w:rsidR="00D77D41" w:rsidRPr="00A63F91" w:rsidRDefault="00D77D41" w:rsidP="007C405F">
      <w:pPr>
        <w:pStyle w:val="NormalWeb"/>
        <w:spacing w:before="180" w:beforeAutospacing="0" w:after="180" w:afterAutospacing="0" w:line="480" w:lineRule="auto"/>
        <w:jc w:val="center"/>
        <w:rPr>
          <w:rFonts w:ascii="Times" w:hAnsi="Times"/>
          <w:b/>
          <w:bCs/>
        </w:rPr>
      </w:pPr>
    </w:p>
    <w:p w14:paraId="58CAF49D" w14:textId="2D8676D3" w:rsidR="00A5498B" w:rsidRDefault="00A5498B" w:rsidP="00F4403A">
      <w:pPr>
        <w:pStyle w:val="NormalWeb"/>
        <w:spacing w:before="180" w:beforeAutospacing="0" w:after="180" w:afterAutospacing="0" w:line="480" w:lineRule="auto"/>
        <w:rPr>
          <w:rFonts w:ascii="Times" w:hAnsi="Times"/>
          <w:b/>
          <w:bCs/>
        </w:rPr>
      </w:pPr>
    </w:p>
    <w:p w14:paraId="1A894410" w14:textId="77777777" w:rsidR="0066402F" w:rsidRPr="00A63F91" w:rsidRDefault="0066402F" w:rsidP="00F4403A">
      <w:pPr>
        <w:pStyle w:val="NormalWeb"/>
        <w:spacing w:before="180" w:beforeAutospacing="0" w:after="180" w:afterAutospacing="0" w:line="480" w:lineRule="auto"/>
        <w:rPr>
          <w:rFonts w:ascii="Times" w:hAnsi="Times"/>
          <w:b/>
          <w:bCs/>
        </w:rPr>
      </w:pPr>
    </w:p>
    <w:p w14:paraId="7D171894" w14:textId="77777777" w:rsidR="007C405F" w:rsidRPr="00A63F91" w:rsidRDefault="007C405F" w:rsidP="007C405F">
      <w:pPr>
        <w:pStyle w:val="NormalWeb"/>
        <w:spacing w:before="180" w:beforeAutospacing="0" w:after="180" w:afterAutospacing="0" w:line="480" w:lineRule="auto"/>
        <w:jc w:val="center"/>
        <w:rPr>
          <w:rFonts w:ascii="Times" w:hAnsi="Times"/>
          <w:b/>
          <w:bCs/>
        </w:rPr>
      </w:pPr>
      <w:r w:rsidRPr="00A63F91">
        <w:rPr>
          <w:rFonts w:ascii="Times" w:hAnsi="Times"/>
          <w:b/>
          <w:bCs/>
        </w:rPr>
        <w:t>References</w:t>
      </w:r>
    </w:p>
    <w:p w14:paraId="7A16D508" w14:textId="77777777" w:rsidR="00F54D83" w:rsidRPr="00F54D83" w:rsidRDefault="00F54D83" w:rsidP="00034082">
      <w:pPr>
        <w:spacing w:line="480" w:lineRule="auto"/>
        <w:ind w:left="720" w:hanging="720"/>
        <w:rPr>
          <w:rFonts w:ascii="Times" w:eastAsiaTheme="minorHAnsi" w:hAnsi="Times" w:cs="OpenSans-Regular"/>
          <w:color w:val="151617"/>
        </w:rPr>
      </w:pPr>
      <w:r w:rsidRPr="00134444">
        <w:rPr>
          <w:rFonts w:ascii="Times" w:eastAsiaTheme="minorHAnsi" w:hAnsi="Times" w:cs="OpenSans-Regular"/>
          <w:color w:val="151617"/>
        </w:rPr>
        <w:t xml:space="preserve">Crosby, R. </w:t>
      </w:r>
      <w:r>
        <w:rPr>
          <w:rFonts w:ascii="Times" w:eastAsiaTheme="minorHAnsi" w:hAnsi="Times" w:cs="OpenSans-Regular"/>
          <w:color w:val="151617"/>
        </w:rPr>
        <w:t>&amp;</w:t>
      </w:r>
      <w:r w:rsidRPr="00134444">
        <w:rPr>
          <w:rFonts w:ascii="Times" w:eastAsiaTheme="minorHAnsi" w:hAnsi="Times" w:cs="OpenSans-Regular"/>
          <w:color w:val="151617"/>
        </w:rPr>
        <w:t xml:space="preserve"> </w:t>
      </w:r>
      <w:proofErr w:type="spellStart"/>
      <w:r w:rsidRPr="00134444">
        <w:rPr>
          <w:rFonts w:ascii="Times" w:eastAsiaTheme="minorHAnsi" w:hAnsi="Times" w:cs="OpenSans-Regular"/>
          <w:color w:val="151617"/>
        </w:rPr>
        <w:t>Noar</w:t>
      </w:r>
      <w:proofErr w:type="spellEnd"/>
      <w:r w:rsidRPr="00134444">
        <w:rPr>
          <w:rFonts w:ascii="Times" w:eastAsiaTheme="minorHAnsi" w:hAnsi="Times" w:cs="OpenSans-Regular"/>
          <w:color w:val="151617"/>
        </w:rPr>
        <w:t>, S.M. (2011)</w:t>
      </w:r>
      <w:r>
        <w:rPr>
          <w:rFonts w:ascii="Times" w:eastAsiaTheme="minorHAnsi" w:hAnsi="Times" w:cs="OpenSans-Regular"/>
          <w:color w:val="151617"/>
        </w:rPr>
        <w:t xml:space="preserve">. </w:t>
      </w:r>
      <w:r w:rsidRPr="00134444">
        <w:rPr>
          <w:rFonts w:ascii="Times" w:eastAsiaTheme="minorHAnsi" w:hAnsi="Times" w:cs="OpenSans-Regular"/>
          <w:color w:val="151617"/>
        </w:rPr>
        <w:t xml:space="preserve">What is a planning model? An introduction to PRECEDE-PROCEED. </w:t>
      </w:r>
      <w:r w:rsidRPr="00134444">
        <w:rPr>
          <w:rFonts w:ascii="Times" w:eastAsiaTheme="minorHAnsi" w:hAnsi="Times" w:cs="OpenSans-Regular"/>
          <w:i/>
          <w:iCs/>
          <w:color w:val="151617"/>
        </w:rPr>
        <w:t>Journal of Public Health Dentistr</w:t>
      </w:r>
      <w:r w:rsidR="008C12E9">
        <w:rPr>
          <w:rFonts w:ascii="Times" w:eastAsiaTheme="minorHAnsi" w:hAnsi="Times" w:cs="OpenSans-Regular"/>
          <w:i/>
          <w:iCs/>
          <w:color w:val="151617"/>
        </w:rPr>
        <w:t>y</w:t>
      </w:r>
      <w:r>
        <w:rPr>
          <w:rFonts w:ascii="Times" w:eastAsiaTheme="minorHAnsi" w:hAnsi="Times" w:cs="OpenSans-Regular"/>
          <w:color w:val="151617"/>
        </w:rPr>
        <w:t>.</w:t>
      </w:r>
      <w:r w:rsidRPr="00134444">
        <w:rPr>
          <w:rFonts w:ascii="Times" w:eastAsiaTheme="minorHAnsi" w:hAnsi="Times" w:cs="OpenSans-Regular"/>
          <w:color w:val="151617"/>
        </w:rPr>
        <w:t xml:space="preserve"> </w:t>
      </w:r>
      <w:r w:rsidRPr="0066402F">
        <w:rPr>
          <w:rFonts w:ascii="Times" w:eastAsiaTheme="minorHAnsi" w:hAnsi="Times" w:cs="OpenSans-Regular"/>
          <w:i/>
          <w:iCs/>
          <w:color w:val="151617"/>
        </w:rPr>
        <w:t xml:space="preserve">71(s1), </w:t>
      </w:r>
      <w:r w:rsidRPr="0066402F">
        <w:rPr>
          <w:rFonts w:ascii="Times" w:eastAsiaTheme="minorHAnsi" w:hAnsi="Times" w:cs="OpenSans-Regular"/>
          <w:color w:val="151617"/>
        </w:rPr>
        <w:t>S7-S15</w:t>
      </w:r>
      <w:r>
        <w:rPr>
          <w:rFonts w:ascii="Times" w:eastAsiaTheme="minorHAnsi" w:hAnsi="Times" w:cs="OpenSans-Regular"/>
          <w:color w:val="151617"/>
        </w:rPr>
        <w:t>.</w:t>
      </w:r>
      <w:r w:rsidRPr="00134444">
        <w:rPr>
          <w:rFonts w:ascii="Times" w:eastAsiaTheme="minorHAnsi" w:hAnsi="Times" w:cs="OpenSans-Regular"/>
          <w:color w:val="151617"/>
        </w:rPr>
        <w:t xml:space="preserve"> </w:t>
      </w:r>
      <w:hyperlink r:id="rId7" w:history="1">
        <w:r w:rsidRPr="00134444">
          <w:rPr>
            <w:rFonts w:ascii="Times" w:eastAsiaTheme="minorHAnsi" w:hAnsi="Times" w:cs="OpenSans-Regular"/>
            <w:color w:val="084061"/>
          </w:rPr>
          <w:t>https://doi.org/10.1111/j.1752-7325.2011.00235.x</w:t>
        </w:r>
      </w:hyperlink>
    </w:p>
    <w:p w14:paraId="58F78A11" w14:textId="77777777" w:rsidR="00A63F91" w:rsidRPr="00A63F91" w:rsidRDefault="00A63F91" w:rsidP="00034082">
      <w:pPr>
        <w:spacing w:line="480" w:lineRule="auto"/>
        <w:ind w:left="720" w:hanging="720"/>
        <w:rPr>
          <w:rFonts w:ascii="Times" w:hAnsi="Times" w:cs="Calibri"/>
        </w:rPr>
      </w:pPr>
      <w:r w:rsidRPr="00A63F91">
        <w:rPr>
          <w:rFonts w:ascii="Times" w:hAnsi="Times" w:cs="Calibri"/>
        </w:rPr>
        <w:t xml:space="preserve">Ford, J., Finch, J.F., Woodrow, L.K., </w:t>
      </w:r>
      <w:proofErr w:type="spellStart"/>
      <w:r w:rsidRPr="00A63F91">
        <w:rPr>
          <w:rFonts w:ascii="Times" w:hAnsi="Times" w:cs="Calibri"/>
        </w:rPr>
        <w:t>Cutitta</w:t>
      </w:r>
      <w:proofErr w:type="spellEnd"/>
      <w:r w:rsidRPr="00A63F91">
        <w:rPr>
          <w:rFonts w:ascii="Times" w:hAnsi="Times" w:cs="Calibri"/>
        </w:rPr>
        <w:t xml:space="preserve">, K.E., Shea, J., Fischer, A., Hazelton, G., &amp; Sears, S.F. (2012). The Florida Shock Anxiety Scale (FSAS) for Patients with Implantable Cardioverter Defibrillators: Testing Factor Structure, Reliability, and Validity of a Previously Established Measure. </w:t>
      </w:r>
      <w:r w:rsidRPr="00A63F91">
        <w:rPr>
          <w:rFonts w:ascii="Times" w:hAnsi="Times" w:cs="Calibri"/>
          <w:i/>
          <w:iCs/>
        </w:rPr>
        <w:t xml:space="preserve">Pacing and Clinical Electrophysiology. </w:t>
      </w:r>
      <w:r w:rsidRPr="00A63F91">
        <w:rPr>
          <w:rFonts w:ascii="Times" w:hAnsi="Times" w:cs="Calibri"/>
        </w:rPr>
        <w:t>3</w:t>
      </w:r>
      <w:r w:rsidRPr="0066402F">
        <w:rPr>
          <w:rFonts w:ascii="Times" w:hAnsi="Times" w:cs="Calibri"/>
          <w:i/>
          <w:iCs/>
        </w:rPr>
        <w:t>5(9),</w:t>
      </w:r>
      <w:r w:rsidRPr="0066402F">
        <w:rPr>
          <w:rFonts w:ascii="Times" w:hAnsi="Times" w:cs="Calibri"/>
        </w:rPr>
        <w:t xml:space="preserve"> 1146</w:t>
      </w:r>
      <w:r w:rsidR="008C12E9" w:rsidRPr="0066402F">
        <w:rPr>
          <w:rFonts w:ascii="Times" w:hAnsi="Times" w:cs="Calibri"/>
        </w:rPr>
        <w:t>–</w:t>
      </w:r>
      <w:r w:rsidRPr="0066402F">
        <w:rPr>
          <w:rFonts w:ascii="Times" w:hAnsi="Times" w:cs="Calibri"/>
        </w:rPr>
        <w:t>1153</w:t>
      </w:r>
      <w:r w:rsidRPr="00A63F91">
        <w:rPr>
          <w:rFonts w:ascii="Times" w:hAnsi="Times" w:cs="Calibri"/>
        </w:rPr>
        <w:t xml:space="preserve">. </w:t>
      </w:r>
      <w:hyperlink r:id="rId8" w:history="1">
        <w:r w:rsidRPr="00A63F91">
          <w:rPr>
            <w:rStyle w:val="Hyperlink"/>
            <w:rFonts w:ascii="Times" w:hAnsi="Times" w:cs="Calibri"/>
            <w:color w:val="auto"/>
          </w:rPr>
          <w:t>https://doi.org/10.1111/j.1540-8159.2012.03455.x</w:t>
        </w:r>
      </w:hyperlink>
    </w:p>
    <w:p w14:paraId="2B789940" w14:textId="77777777" w:rsidR="007C405F" w:rsidRPr="00A63F91" w:rsidRDefault="007C405F" w:rsidP="00034082">
      <w:pPr>
        <w:spacing w:line="480" w:lineRule="auto"/>
        <w:ind w:left="720" w:hanging="720"/>
        <w:rPr>
          <w:rStyle w:val="Hyperlink"/>
          <w:rFonts w:ascii="Times" w:hAnsi="Times" w:cs="Segoe UI"/>
          <w:color w:val="auto"/>
          <w:shd w:val="clear" w:color="auto" w:fill="FCFCFC"/>
        </w:rPr>
      </w:pPr>
      <w:r w:rsidRPr="00A63F91">
        <w:rPr>
          <w:rFonts w:ascii="Times" w:hAnsi="Times" w:cs="Segoe UI"/>
          <w:shd w:val="clear" w:color="auto" w:fill="FCFCFC"/>
        </w:rPr>
        <w:t>Hirsh, A.T., Sears, S.F. &amp; Conti, J.B. (2009). Cognitive and Behavioral Treatments for Anxiety and Depression in a Patient with an Implantable Cardioverter Defibrillator (ICD): A Case Report and Clinical Discussion. </w:t>
      </w:r>
      <w:r w:rsidRPr="00A63F91">
        <w:rPr>
          <w:rFonts w:ascii="Times" w:hAnsi="Times" w:cs="Segoe UI"/>
          <w:i/>
          <w:iCs/>
        </w:rPr>
        <w:t>J Clin Psychol Med Settings</w:t>
      </w:r>
      <w:r w:rsidRPr="00A63F91">
        <w:rPr>
          <w:rFonts w:ascii="Times" w:hAnsi="Times" w:cs="Segoe UI"/>
          <w:shd w:val="clear" w:color="auto" w:fill="FCFCFC"/>
        </w:rPr>
        <w:t> </w:t>
      </w:r>
      <w:r w:rsidRPr="0066402F">
        <w:rPr>
          <w:rFonts w:ascii="Times" w:hAnsi="Times" w:cs="Segoe UI"/>
          <w:i/>
          <w:iCs/>
        </w:rPr>
        <w:t>16</w:t>
      </w:r>
      <w:r w:rsidRPr="0066402F">
        <w:rPr>
          <w:rFonts w:ascii="Times" w:hAnsi="Times" w:cs="Segoe UI"/>
          <w:i/>
          <w:iCs/>
          <w:shd w:val="clear" w:color="auto" w:fill="FCFCFC"/>
        </w:rPr>
        <w:t xml:space="preserve">, </w:t>
      </w:r>
      <w:r w:rsidRPr="0066402F">
        <w:rPr>
          <w:rFonts w:ascii="Times" w:hAnsi="Times" w:cs="Segoe UI"/>
          <w:shd w:val="clear" w:color="auto" w:fill="FCFCFC"/>
        </w:rPr>
        <w:t>270–279</w:t>
      </w:r>
      <w:r w:rsidRPr="00A63F91">
        <w:rPr>
          <w:rFonts w:ascii="Times" w:hAnsi="Times" w:cs="Segoe UI"/>
          <w:shd w:val="clear" w:color="auto" w:fill="FCFCFC"/>
        </w:rPr>
        <w:t xml:space="preserve">. </w:t>
      </w:r>
      <w:hyperlink r:id="rId9" w:history="1">
        <w:r w:rsidRPr="00A63F91">
          <w:rPr>
            <w:rStyle w:val="Hyperlink"/>
            <w:rFonts w:ascii="Times" w:hAnsi="Times" w:cs="Segoe UI"/>
            <w:color w:val="auto"/>
            <w:shd w:val="clear" w:color="auto" w:fill="FCFCFC"/>
          </w:rPr>
          <w:t>https://doi.org/10.1007/s10880-009-9160-0</w:t>
        </w:r>
      </w:hyperlink>
    </w:p>
    <w:p w14:paraId="20449AD2" w14:textId="2FD44557" w:rsidR="005535C3" w:rsidRPr="005535C3" w:rsidRDefault="007C405F" w:rsidP="005535C3">
      <w:pPr>
        <w:spacing w:line="480" w:lineRule="auto"/>
        <w:ind w:left="720" w:hanging="720"/>
        <w:rPr>
          <w:rStyle w:val="Hyperlink"/>
          <w:rFonts w:ascii="Times" w:hAnsi="Times"/>
          <w:color w:val="auto"/>
          <w:u w:val="none"/>
        </w:rPr>
      </w:pPr>
      <w:r w:rsidRPr="00A63F91">
        <w:rPr>
          <w:rFonts w:ascii="Times" w:hAnsi="Times" w:cs="FiraSans-Regular"/>
        </w:rPr>
        <w:t xml:space="preserve">Perini, A.P., </w:t>
      </w:r>
      <w:proofErr w:type="spellStart"/>
      <w:r w:rsidRPr="00A63F91">
        <w:rPr>
          <w:rFonts w:ascii="Times" w:hAnsi="Times" w:cs="FiraSans-Regular"/>
        </w:rPr>
        <w:t>Kutyifa</w:t>
      </w:r>
      <w:proofErr w:type="spellEnd"/>
      <w:r w:rsidRPr="00A63F91">
        <w:rPr>
          <w:rFonts w:ascii="Times" w:hAnsi="Times" w:cs="FiraSans-Regular"/>
        </w:rPr>
        <w:t xml:space="preserve">, V., </w:t>
      </w:r>
      <w:proofErr w:type="spellStart"/>
      <w:r w:rsidRPr="00A63F91">
        <w:rPr>
          <w:rFonts w:ascii="Times" w:hAnsi="Times" w:cs="FiraSans-Regular"/>
        </w:rPr>
        <w:t>Veazie</w:t>
      </w:r>
      <w:proofErr w:type="spellEnd"/>
      <w:r w:rsidRPr="00A63F91">
        <w:rPr>
          <w:rFonts w:ascii="Times" w:hAnsi="Times" w:cs="FiraSans-Regular"/>
        </w:rPr>
        <w:t xml:space="preserve">, P., Daubert, J.P., </w:t>
      </w:r>
      <w:proofErr w:type="spellStart"/>
      <w:r w:rsidRPr="00A63F91">
        <w:rPr>
          <w:rFonts w:ascii="Times" w:hAnsi="Times" w:cs="FiraSans-Regular"/>
        </w:rPr>
        <w:t>Schuger</w:t>
      </w:r>
      <w:proofErr w:type="spellEnd"/>
      <w:r w:rsidRPr="00A63F91">
        <w:rPr>
          <w:rFonts w:ascii="Times" w:hAnsi="Times" w:cs="FiraSans-Regular"/>
        </w:rPr>
        <w:t xml:space="preserve">, C., Zareba, W., McNitt, S., </w:t>
      </w:r>
      <w:proofErr w:type="spellStart"/>
      <w:r w:rsidRPr="00A63F91">
        <w:rPr>
          <w:rFonts w:ascii="Times" w:hAnsi="Times" w:cs="FiraSans-Regular"/>
        </w:rPr>
        <w:t>Rosero</w:t>
      </w:r>
      <w:proofErr w:type="spellEnd"/>
      <w:r w:rsidRPr="00A63F91">
        <w:rPr>
          <w:rFonts w:ascii="Times" w:hAnsi="Times" w:cs="FiraSans-Regular"/>
        </w:rPr>
        <w:t xml:space="preserve">, S., Tompkins, C., </w:t>
      </w:r>
      <w:proofErr w:type="spellStart"/>
      <w:r w:rsidRPr="00A63F91">
        <w:rPr>
          <w:rFonts w:ascii="Times" w:hAnsi="Times" w:cs="FiraSans-Regular"/>
        </w:rPr>
        <w:t>Padeletti</w:t>
      </w:r>
      <w:proofErr w:type="spellEnd"/>
      <w:r w:rsidRPr="00A63F91">
        <w:rPr>
          <w:rFonts w:ascii="Times" w:hAnsi="Times" w:cs="FiraSans-Regular"/>
        </w:rPr>
        <w:t xml:space="preserve">, L., &amp; Moss, E.J. (2017). Effects of implantable cardioverter/defibrillator shock and anti-tachycardia pacing on anxiety and quality of life: A MADIT-RIT </w:t>
      </w:r>
      <w:proofErr w:type="spellStart"/>
      <w:r w:rsidRPr="00A63F91">
        <w:rPr>
          <w:rFonts w:ascii="Times" w:hAnsi="Times" w:cs="FiraSans-Regular"/>
        </w:rPr>
        <w:t>substudy</w:t>
      </w:r>
      <w:proofErr w:type="spellEnd"/>
      <w:r w:rsidRPr="00A63F91">
        <w:rPr>
          <w:rFonts w:ascii="Times" w:hAnsi="Times" w:cs="FiraSans-Regular"/>
        </w:rPr>
        <w:t xml:space="preserve">. </w:t>
      </w:r>
      <w:r w:rsidRPr="00A63F91">
        <w:rPr>
          <w:rFonts w:ascii="Times" w:hAnsi="Times" w:cs="FiraSans-Regular"/>
          <w:i/>
          <w:iCs/>
        </w:rPr>
        <w:t>American Heart Journa</w:t>
      </w:r>
      <w:r w:rsidR="008C12E9">
        <w:rPr>
          <w:rFonts w:ascii="Times" w:hAnsi="Times" w:cs="FiraSans-Regular"/>
          <w:i/>
          <w:iCs/>
        </w:rPr>
        <w:t>l</w:t>
      </w:r>
      <w:r w:rsidRPr="00A63F91">
        <w:rPr>
          <w:rFonts w:ascii="Times" w:hAnsi="Times" w:cs="FiraSans-Regular"/>
        </w:rPr>
        <w:t xml:space="preserve">. </w:t>
      </w:r>
      <w:r w:rsidRPr="0066402F">
        <w:rPr>
          <w:rFonts w:ascii="Times" w:hAnsi="Times" w:cs="FiraSans-Regular"/>
          <w:i/>
          <w:iCs/>
        </w:rPr>
        <w:t xml:space="preserve">189, </w:t>
      </w:r>
      <w:r w:rsidRPr="0066402F">
        <w:rPr>
          <w:rFonts w:ascii="Times" w:hAnsi="Times" w:cs="FiraSans-Regular"/>
        </w:rPr>
        <w:t>75</w:t>
      </w:r>
      <w:r w:rsidR="008C12E9" w:rsidRPr="0066402F">
        <w:rPr>
          <w:rFonts w:ascii="Times" w:hAnsi="Times" w:cs="FiraSans-Regular"/>
        </w:rPr>
        <w:t>–</w:t>
      </w:r>
      <w:r w:rsidRPr="0066402F">
        <w:rPr>
          <w:rFonts w:ascii="Times" w:hAnsi="Times" w:cs="FiraSans-Regular"/>
        </w:rPr>
        <w:t xml:space="preserve">84. </w:t>
      </w:r>
      <w:hyperlink r:id="rId10" w:history="1">
        <w:r w:rsidRPr="00A63F91">
          <w:rPr>
            <w:rStyle w:val="Hyperlink"/>
            <w:rFonts w:ascii="Times" w:hAnsi="Times" w:cs="FiraSans-Regular"/>
            <w:color w:val="auto"/>
          </w:rPr>
          <w:t>https://doi.org/10.1016/j.ahj.2017.03.009</w:t>
        </w:r>
      </w:hyperlink>
      <w:r w:rsidRPr="00A63F91">
        <w:rPr>
          <w:rFonts w:ascii="Times" w:hAnsi="Times" w:cs="Helvetica Neue"/>
        </w:rPr>
        <w:t xml:space="preserve"> </w:t>
      </w:r>
    </w:p>
    <w:p w14:paraId="16216EDF" w14:textId="77777777" w:rsidR="007C405F" w:rsidRPr="00A63F91" w:rsidRDefault="007C405F" w:rsidP="00034082">
      <w:pPr>
        <w:pStyle w:val="NormalWeb"/>
        <w:spacing w:before="0" w:beforeAutospacing="0" w:after="0" w:afterAutospacing="0" w:line="480" w:lineRule="auto"/>
        <w:ind w:left="720" w:hanging="720"/>
        <w:rPr>
          <w:rFonts w:ascii="Times" w:hAnsi="Times"/>
          <w:u w:val="single"/>
        </w:rPr>
      </w:pPr>
      <w:r w:rsidRPr="00A63F91">
        <w:rPr>
          <w:rFonts w:ascii="Times" w:hAnsi="Times"/>
        </w:rPr>
        <w:lastRenderedPageBreak/>
        <w:t>Tripp, C., Huber, N. L., Kuhl, E. A., &amp; Sears, S. F. (2019). Measuring ICD shock anxiety: Status update on the Florida Shock Anxiety Scale after over a decade of use.</w:t>
      </w:r>
      <w:r w:rsidRPr="00A63F91">
        <w:rPr>
          <w:rStyle w:val="apple-converted-space"/>
          <w:rFonts w:ascii="Times" w:hAnsi="Times"/>
        </w:rPr>
        <w:t> </w:t>
      </w:r>
      <w:r w:rsidRPr="00A63F91">
        <w:rPr>
          <w:rFonts w:ascii="Times" w:hAnsi="Times"/>
          <w:i/>
          <w:iCs/>
        </w:rPr>
        <w:t>Pacing and Clinical Electrophysiology</w:t>
      </w:r>
      <w:r w:rsidRPr="00A63F91">
        <w:rPr>
          <w:rFonts w:ascii="Times" w:hAnsi="Times"/>
        </w:rPr>
        <w:t>,</w:t>
      </w:r>
      <w:r w:rsidRPr="00A63F91">
        <w:rPr>
          <w:rStyle w:val="apple-converted-space"/>
          <w:rFonts w:ascii="Times" w:hAnsi="Times"/>
        </w:rPr>
        <w:t> </w:t>
      </w:r>
      <w:r w:rsidRPr="00A63F91">
        <w:rPr>
          <w:rFonts w:ascii="Times" w:hAnsi="Times"/>
          <w:i/>
          <w:iCs/>
        </w:rPr>
        <w:t>42</w:t>
      </w:r>
      <w:r w:rsidRPr="00A63F91">
        <w:rPr>
          <w:rFonts w:ascii="Times" w:hAnsi="Times"/>
        </w:rPr>
        <w:t xml:space="preserve">(10), 1294–1301. </w:t>
      </w:r>
      <w:hyperlink r:id="rId11" w:history="1">
        <w:r w:rsidRPr="00A63F91">
          <w:rPr>
            <w:rStyle w:val="Hyperlink"/>
            <w:rFonts w:ascii="Times" w:hAnsi="Times"/>
            <w:color w:val="auto"/>
          </w:rPr>
          <w:t>https://doi.org/10.1111/pace.13793</w:t>
        </w:r>
      </w:hyperlink>
      <w:r w:rsidRPr="00A63F91">
        <w:rPr>
          <w:rFonts w:ascii="Times" w:hAnsi="Times"/>
          <w:u w:val="single"/>
        </w:rPr>
        <w:t xml:space="preserve"> </w:t>
      </w:r>
    </w:p>
    <w:p w14:paraId="1BA71251" w14:textId="77777777" w:rsidR="001034EA" w:rsidRDefault="001034EA" w:rsidP="00F4403A">
      <w:pPr>
        <w:spacing w:line="480" w:lineRule="auto"/>
        <w:rPr>
          <w:rFonts w:ascii="Times" w:hAnsi="Times"/>
        </w:rPr>
      </w:pPr>
    </w:p>
    <w:p w14:paraId="737674D4" w14:textId="77777777" w:rsidR="00034082" w:rsidRDefault="00034082" w:rsidP="00F4403A">
      <w:pPr>
        <w:spacing w:line="480" w:lineRule="auto"/>
        <w:rPr>
          <w:rFonts w:ascii="Times" w:hAnsi="Times"/>
          <w:b/>
          <w:bCs/>
        </w:rPr>
      </w:pPr>
    </w:p>
    <w:p w14:paraId="226CED31" w14:textId="77777777" w:rsidR="00F4403A" w:rsidRDefault="00F4403A" w:rsidP="00F4403A">
      <w:pPr>
        <w:spacing w:line="480" w:lineRule="auto"/>
        <w:rPr>
          <w:rFonts w:ascii="Times" w:hAnsi="Times"/>
          <w:b/>
          <w:bCs/>
        </w:rPr>
      </w:pPr>
      <w:r>
        <w:rPr>
          <w:rFonts w:ascii="Times" w:hAnsi="Times"/>
          <w:b/>
          <w:bCs/>
        </w:rPr>
        <w:t>Figure 1</w:t>
      </w:r>
    </w:p>
    <w:p w14:paraId="47D43429" w14:textId="77777777" w:rsidR="00034082" w:rsidRPr="00034082" w:rsidRDefault="00034082" w:rsidP="00F4403A">
      <w:pPr>
        <w:spacing w:line="480" w:lineRule="auto"/>
        <w:rPr>
          <w:rFonts w:ascii="Times" w:hAnsi="Times"/>
          <w:i/>
          <w:iCs/>
        </w:rPr>
      </w:pPr>
      <w:r>
        <w:rPr>
          <w:rFonts w:ascii="Times" w:hAnsi="Times"/>
          <w:i/>
          <w:iCs/>
        </w:rPr>
        <w:t>Florida Shock Anxiety Scale</w:t>
      </w:r>
    </w:p>
    <w:p w14:paraId="32E1EE0D" w14:textId="77777777" w:rsidR="00F4403A" w:rsidRDefault="00F4403A" w:rsidP="00984917">
      <w:pPr>
        <w:spacing w:line="480" w:lineRule="auto"/>
        <w:rPr>
          <w:rFonts w:ascii="Times" w:hAnsi="Times"/>
          <w:b/>
          <w:bCs/>
        </w:rPr>
      </w:pPr>
      <w:r>
        <w:rPr>
          <w:rFonts w:ascii="Times" w:hAnsi="Times"/>
          <w:b/>
          <w:bCs/>
          <w:noProof/>
        </w:rPr>
        <w:lastRenderedPageBreak/>
        <w:drawing>
          <wp:inline distT="0" distB="0" distL="0" distR="0" wp14:anchorId="4BACA09D" wp14:editId="565966F4">
            <wp:extent cx="6065577" cy="6771190"/>
            <wp:effectExtent l="0" t="0" r="5080" b="0"/>
            <wp:docPr id="3"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per with text on 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160007" cy="6876605"/>
                    </a:xfrm>
                    <a:prstGeom prst="rect">
                      <a:avLst/>
                    </a:prstGeom>
                  </pic:spPr>
                </pic:pic>
              </a:graphicData>
            </a:graphic>
          </wp:inline>
        </w:drawing>
      </w:r>
    </w:p>
    <w:p w14:paraId="20762471" w14:textId="77777777" w:rsidR="00034082" w:rsidRPr="004138B3" w:rsidRDefault="00034082" w:rsidP="00F4403A">
      <w:pPr>
        <w:spacing w:line="480" w:lineRule="auto"/>
        <w:rPr>
          <w:rFonts w:ascii="Times" w:hAnsi="Times"/>
        </w:rPr>
      </w:pPr>
      <w:r>
        <w:rPr>
          <w:rFonts w:ascii="Times" w:hAnsi="Times"/>
          <w:i/>
          <w:iCs/>
        </w:rPr>
        <w:t xml:space="preserve">Note: </w:t>
      </w:r>
      <w:r w:rsidRPr="00034082">
        <w:rPr>
          <w:rFonts w:ascii="Times" w:hAnsi="Times"/>
        </w:rPr>
        <w:t xml:space="preserve">This study provided </w:t>
      </w:r>
      <w:r w:rsidR="008667E3">
        <w:rPr>
          <w:rFonts w:ascii="Times" w:hAnsi="Times"/>
        </w:rPr>
        <w:t>patients with a replica of the FSAS metric above</w:t>
      </w:r>
      <w:r w:rsidRPr="00034082">
        <w:rPr>
          <w:rFonts w:ascii="Times" w:hAnsi="Times"/>
        </w:rPr>
        <w:t>. Created by Tripp et al. (2019).</w:t>
      </w:r>
      <w:r>
        <w:rPr>
          <w:rFonts w:ascii="Times" w:hAnsi="Times"/>
        </w:rPr>
        <w:t xml:space="preserve"> </w:t>
      </w:r>
    </w:p>
    <w:p w14:paraId="6F60D3F9" w14:textId="77777777" w:rsidR="00F4403A" w:rsidRDefault="00F4403A" w:rsidP="00F4403A">
      <w:pPr>
        <w:spacing w:line="480" w:lineRule="auto"/>
        <w:rPr>
          <w:rFonts w:ascii="Times" w:hAnsi="Times"/>
          <w:b/>
          <w:bCs/>
        </w:rPr>
      </w:pPr>
      <w:r>
        <w:rPr>
          <w:rFonts w:ascii="Times" w:hAnsi="Times"/>
          <w:b/>
          <w:bCs/>
        </w:rPr>
        <w:t>Figure 2</w:t>
      </w:r>
    </w:p>
    <w:p w14:paraId="70B0D7E3" w14:textId="77777777" w:rsidR="00AB0E55" w:rsidRPr="00AB0E55" w:rsidRDefault="00AB0E55" w:rsidP="00F4403A">
      <w:pPr>
        <w:spacing w:line="480" w:lineRule="auto"/>
        <w:rPr>
          <w:rFonts w:ascii="Times" w:hAnsi="Times"/>
          <w:i/>
          <w:iCs/>
        </w:rPr>
      </w:pPr>
      <w:r>
        <w:rPr>
          <w:rFonts w:ascii="Times" w:hAnsi="Times"/>
          <w:i/>
          <w:iCs/>
        </w:rPr>
        <w:t>Pie Chart for Percentage of Population Shocked</w:t>
      </w:r>
    </w:p>
    <w:p w14:paraId="4B5716FA" w14:textId="77777777" w:rsidR="001034EA" w:rsidRDefault="001B7BBF" w:rsidP="00730E6D">
      <w:pPr>
        <w:spacing w:line="480" w:lineRule="auto"/>
        <w:rPr>
          <w:rFonts w:ascii="Times" w:hAnsi="Times"/>
        </w:rPr>
      </w:pPr>
      <w:r w:rsidRPr="001B7BBF">
        <w:rPr>
          <w:rFonts w:ascii="Times" w:hAnsi="Times"/>
          <w:noProof/>
        </w:rPr>
        <w:lastRenderedPageBreak/>
        <w:drawing>
          <wp:inline distT="0" distB="0" distL="0" distR="0" wp14:anchorId="54F75855" wp14:editId="052419EB">
            <wp:extent cx="6632294" cy="3439795"/>
            <wp:effectExtent l="0" t="0" r="10160" b="14605"/>
            <wp:docPr id="1" name="Chart 1">
              <a:extLst xmlns:a="http://schemas.openxmlformats.org/drawingml/2006/main">
                <a:ext uri="{FF2B5EF4-FFF2-40B4-BE49-F238E27FC236}">
                  <a16:creationId xmlns:a16="http://schemas.microsoft.com/office/drawing/2014/main" id="{319205D0-E450-DC47-8774-4778D5C3BE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71943DE" w14:textId="3CB8E5CF" w:rsidR="00AB0E55" w:rsidRPr="00AB0E55" w:rsidRDefault="00AB0E55" w:rsidP="00730E6D">
      <w:pPr>
        <w:spacing w:line="480" w:lineRule="auto"/>
        <w:rPr>
          <w:rFonts w:ascii="Times" w:hAnsi="Times"/>
        </w:rPr>
      </w:pPr>
      <w:r>
        <w:rPr>
          <w:rFonts w:ascii="Times" w:hAnsi="Times"/>
          <w:i/>
          <w:iCs/>
        </w:rPr>
        <w:t xml:space="preserve">Note: </w:t>
      </w:r>
      <w:r>
        <w:rPr>
          <w:rFonts w:ascii="Times" w:hAnsi="Times"/>
        </w:rPr>
        <w:t>The pie chart above shows the percentage of patients within th</w:t>
      </w:r>
      <w:r w:rsidR="0066402F">
        <w:rPr>
          <w:rFonts w:ascii="Times" w:hAnsi="Times"/>
        </w:rPr>
        <w:t>is study’s population</w:t>
      </w:r>
      <w:r>
        <w:rPr>
          <w:rFonts w:ascii="Times" w:hAnsi="Times"/>
        </w:rPr>
        <w:t xml:space="preserve"> (n=24) who have a history of being shocked and those who have never been shocked. </w:t>
      </w:r>
      <w:r w:rsidR="0066402F">
        <w:rPr>
          <w:rFonts w:ascii="Times" w:hAnsi="Times"/>
        </w:rPr>
        <w:t xml:space="preserve">This data aligns with evidence-based research showing </w:t>
      </w:r>
      <w:r w:rsidR="005535C3">
        <w:rPr>
          <w:rFonts w:ascii="Times" w:hAnsi="Times"/>
        </w:rPr>
        <w:t xml:space="preserve">that </w:t>
      </w:r>
      <w:r w:rsidR="0066402F">
        <w:rPr>
          <w:rFonts w:ascii="Times" w:hAnsi="Times"/>
        </w:rPr>
        <w:t xml:space="preserve">1 in 4 ICD patients have previously been shocked </w:t>
      </w:r>
      <w:r w:rsidR="005535C3">
        <w:rPr>
          <w:rFonts w:ascii="Times" w:hAnsi="Times"/>
        </w:rPr>
        <w:t>(Perini et al., 2017)</w:t>
      </w:r>
      <w:r w:rsidR="0066402F">
        <w:rPr>
          <w:rFonts w:ascii="Times" w:hAnsi="Times"/>
        </w:rPr>
        <w:t>.</w:t>
      </w:r>
    </w:p>
    <w:p w14:paraId="4F4D8DB0" w14:textId="77777777" w:rsidR="00AB0E55" w:rsidRDefault="00AB0E55" w:rsidP="00730E6D">
      <w:pPr>
        <w:spacing w:line="480" w:lineRule="auto"/>
        <w:rPr>
          <w:rFonts w:ascii="Times" w:hAnsi="Times"/>
          <w:b/>
          <w:bCs/>
        </w:rPr>
      </w:pPr>
    </w:p>
    <w:p w14:paraId="6D41844F" w14:textId="77777777" w:rsidR="00AB0E55" w:rsidRDefault="00AB0E55" w:rsidP="00730E6D">
      <w:pPr>
        <w:spacing w:line="480" w:lineRule="auto"/>
        <w:rPr>
          <w:rFonts w:ascii="Times" w:hAnsi="Times"/>
          <w:b/>
          <w:bCs/>
        </w:rPr>
      </w:pPr>
    </w:p>
    <w:p w14:paraId="057DAFB5" w14:textId="77777777" w:rsidR="00AB0E55" w:rsidRDefault="00AB0E55" w:rsidP="00730E6D">
      <w:pPr>
        <w:spacing w:line="480" w:lineRule="auto"/>
        <w:rPr>
          <w:rFonts w:ascii="Times" w:hAnsi="Times"/>
          <w:b/>
          <w:bCs/>
        </w:rPr>
      </w:pPr>
    </w:p>
    <w:p w14:paraId="41CA6089" w14:textId="77777777" w:rsidR="00AB0E55" w:rsidRDefault="00AB0E55" w:rsidP="00730E6D">
      <w:pPr>
        <w:spacing w:line="480" w:lineRule="auto"/>
        <w:rPr>
          <w:rFonts w:ascii="Times" w:hAnsi="Times"/>
          <w:b/>
          <w:bCs/>
        </w:rPr>
      </w:pPr>
    </w:p>
    <w:p w14:paraId="3AD391D3" w14:textId="1C550194" w:rsidR="00AB0E55" w:rsidRDefault="00AB0E55" w:rsidP="00730E6D">
      <w:pPr>
        <w:spacing w:line="480" w:lineRule="auto"/>
        <w:rPr>
          <w:rFonts w:ascii="Times" w:hAnsi="Times"/>
          <w:b/>
          <w:bCs/>
        </w:rPr>
      </w:pPr>
    </w:p>
    <w:p w14:paraId="042A5A45" w14:textId="77777777" w:rsidR="005535C3" w:rsidRDefault="005535C3" w:rsidP="00730E6D">
      <w:pPr>
        <w:spacing w:line="480" w:lineRule="auto"/>
        <w:rPr>
          <w:rFonts w:ascii="Times" w:hAnsi="Times"/>
          <w:b/>
          <w:bCs/>
        </w:rPr>
      </w:pPr>
    </w:p>
    <w:p w14:paraId="618E10BC" w14:textId="77777777" w:rsidR="004138B3" w:rsidRDefault="004138B3" w:rsidP="00730E6D">
      <w:pPr>
        <w:spacing w:line="480" w:lineRule="auto"/>
        <w:rPr>
          <w:rFonts w:ascii="Times" w:hAnsi="Times"/>
          <w:b/>
          <w:bCs/>
        </w:rPr>
      </w:pPr>
    </w:p>
    <w:p w14:paraId="2224E845" w14:textId="77777777" w:rsidR="00F4403A" w:rsidRDefault="00F4403A" w:rsidP="00730E6D">
      <w:pPr>
        <w:spacing w:line="480" w:lineRule="auto"/>
        <w:rPr>
          <w:rFonts w:ascii="Times" w:hAnsi="Times"/>
          <w:b/>
          <w:bCs/>
        </w:rPr>
      </w:pPr>
      <w:r>
        <w:rPr>
          <w:rFonts w:ascii="Times" w:hAnsi="Times"/>
          <w:b/>
          <w:bCs/>
        </w:rPr>
        <w:t>Figure</w:t>
      </w:r>
      <w:r w:rsidRPr="00F4403A">
        <w:rPr>
          <w:rFonts w:ascii="Times" w:hAnsi="Times"/>
          <w:b/>
          <w:bCs/>
        </w:rPr>
        <w:t xml:space="preserve"> </w:t>
      </w:r>
      <w:r>
        <w:rPr>
          <w:rFonts w:ascii="Times" w:hAnsi="Times"/>
          <w:b/>
          <w:bCs/>
        </w:rPr>
        <w:t>3</w:t>
      </w:r>
    </w:p>
    <w:p w14:paraId="7CEF6F16" w14:textId="77777777" w:rsidR="00AB0E55" w:rsidRPr="00AB0E55" w:rsidRDefault="00320356" w:rsidP="00730E6D">
      <w:pPr>
        <w:spacing w:line="480" w:lineRule="auto"/>
        <w:rPr>
          <w:rFonts w:ascii="Times" w:hAnsi="Times"/>
          <w:i/>
          <w:iCs/>
        </w:rPr>
      </w:pPr>
      <w:r>
        <w:rPr>
          <w:rFonts w:ascii="Times" w:hAnsi="Times"/>
          <w:i/>
          <w:iCs/>
        </w:rPr>
        <w:t xml:space="preserve">FSAS Item Means </w:t>
      </w:r>
    </w:p>
    <w:p w14:paraId="08859EE6" w14:textId="77777777" w:rsidR="00F4403A" w:rsidRDefault="00F4403A" w:rsidP="00730E6D">
      <w:pPr>
        <w:spacing w:line="480" w:lineRule="auto"/>
        <w:rPr>
          <w:rFonts w:ascii="Times" w:hAnsi="Times"/>
          <w:b/>
          <w:bCs/>
        </w:rPr>
      </w:pPr>
      <w:r w:rsidRPr="00F4403A">
        <w:rPr>
          <w:rFonts w:ascii="Times" w:hAnsi="Times"/>
          <w:b/>
          <w:bCs/>
          <w:noProof/>
        </w:rPr>
        <w:lastRenderedPageBreak/>
        <w:drawing>
          <wp:inline distT="0" distB="0" distL="0" distR="0" wp14:anchorId="6E5BE3E1" wp14:editId="30C26659">
            <wp:extent cx="6631940" cy="3437681"/>
            <wp:effectExtent l="0" t="0" r="10160" b="17145"/>
            <wp:docPr id="2" name="Chart 2">
              <a:extLst xmlns:a="http://schemas.openxmlformats.org/drawingml/2006/main">
                <a:ext uri="{FF2B5EF4-FFF2-40B4-BE49-F238E27FC236}">
                  <a16:creationId xmlns:a16="http://schemas.microsoft.com/office/drawing/2014/main" id="{D807EB22-7F74-5145-B1FB-95E1C0F639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2D936F" w14:textId="0FB6DB7D" w:rsidR="00320356" w:rsidRPr="00320356" w:rsidRDefault="00320356" w:rsidP="00730E6D">
      <w:pPr>
        <w:spacing w:line="480" w:lineRule="auto"/>
        <w:rPr>
          <w:rFonts w:ascii="Times" w:hAnsi="Times"/>
        </w:rPr>
      </w:pPr>
      <w:r>
        <w:rPr>
          <w:rFonts w:ascii="Times" w:hAnsi="Times"/>
          <w:i/>
          <w:iCs/>
        </w:rPr>
        <w:t xml:space="preserve">Note: </w:t>
      </w:r>
      <w:r>
        <w:rPr>
          <w:rFonts w:ascii="Times" w:hAnsi="Times"/>
        </w:rPr>
        <w:t xml:space="preserve">This chart averages each patient’s scores from the sample on the items in the FSAS metric. </w:t>
      </w:r>
      <w:r w:rsidR="008667E3">
        <w:rPr>
          <w:rFonts w:ascii="Times" w:hAnsi="Times"/>
        </w:rPr>
        <w:t xml:space="preserve"> This chart identifies</w:t>
      </w:r>
      <w:r>
        <w:rPr>
          <w:rFonts w:ascii="Times" w:hAnsi="Times"/>
        </w:rPr>
        <w:t xml:space="preserve"> two specific critical score items: item</w:t>
      </w:r>
      <w:r w:rsidR="005535C3">
        <w:rPr>
          <w:rFonts w:ascii="Times" w:hAnsi="Times"/>
        </w:rPr>
        <w:t>s</w:t>
      </w:r>
      <w:r>
        <w:rPr>
          <w:rFonts w:ascii="Times" w:hAnsi="Times"/>
        </w:rPr>
        <w:t xml:space="preserve"> </w:t>
      </w:r>
      <w:r w:rsidR="005535C3">
        <w:rPr>
          <w:rFonts w:ascii="Times" w:hAnsi="Times"/>
        </w:rPr>
        <w:t>2</w:t>
      </w:r>
      <w:r>
        <w:rPr>
          <w:rFonts w:ascii="Times" w:hAnsi="Times"/>
        </w:rPr>
        <w:t xml:space="preserve"> and 8. </w:t>
      </w:r>
    </w:p>
    <w:sectPr w:rsidR="00320356" w:rsidRPr="00320356" w:rsidSect="00FF2B0F">
      <w:headerReference w:type="even" r:id="rId15"/>
      <w:headerReference w:type="default" r:id="rId16"/>
      <w:footerReference w:type="even" r:id="rId17"/>
      <w:foot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284C3" w14:textId="77777777" w:rsidR="00C97461" w:rsidRDefault="00C97461" w:rsidP="00003FE7">
      <w:r>
        <w:separator/>
      </w:r>
    </w:p>
  </w:endnote>
  <w:endnote w:type="continuationSeparator" w:id="0">
    <w:p w14:paraId="5766F5DB" w14:textId="77777777" w:rsidR="00C97461" w:rsidRDefault="00C97461" w:rsidP="0000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20B06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iraSans-Regular">
    <w:altName w:val="Calibri"/>
    <w:panose1 w:val="020B0604020202020204"/>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6667824"/>
      <w:docPartObj>
        <w:docPartGallery w:val="Page Numbers (Bottom of Page)"/>
        <w:docPartUnique/>
      </w:docPartObj>
    </w:sdtPr>
    <w:sdtEndPr>
      <w:rPr>
        <w:rStyle w:val="PageNumber"/>
      </w:rPr>
    </w:sdtEndPr>
    <w:sdtContent>
      <w:p w14:paraId="18C883EF" w14:textId="77777777" w:rsidR="00FF2B0F" w:rsidRDefault="00FF2B0F" w:rsidP="00E01C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A1FF2" w14:textId="77777777" w:rsidR="00FF2B0F" w:rsidRDefault="00FF2B0F" w:rsidP="00FF2B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7A8E" w14:textId="77777777" w:rsidR="00FF2B0F" w:rsidRDefault="00FF2B0F" w:rsidP="00FF2B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754DF" w14:textId="77777777" w:rsidR="00C97461" w:rsidRDefault="00C97461" w:rsidP="00003FE7">
      <w:r>
        <w:separator/>
      </w:r>
    </w:p>
  </w:footnote>
  <w:footnote w:type="continuationSeparator" w:id="0">
    <w:p w14:paraId="6E986E52" w14:textId="77777777" w:rsidR="00C97461" w:rsidRDefault="00C97461" w:rsidP="0000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3166977"/>
      <w:docPartObj>
        <w:docPartGallery w:val="Page Numbers (Top of Page)"/>
        <w:docPartUnique/>
      </w:docPartObj>
    </w:sdtPr>
    <w:sdtEndPr>
      <w:rPr>
        <w:rStyle w:val="PageNumber"/>
      </w:rPr>
    </w:sdtEndPr>
    <w:sdtContent>
      <w:p w14:paraId="347DAD71" w14:textId="77777777" w:rsidR="00FF2B0F" w:rsidRDefault="00FF2B0F" w:rsidP="00E01C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7390A8" w14:textId="77777777" w:rsidR="00FF2B0F" w:rsidRDefault="00FF2B0F" w:rsidP="00FF2B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1245751"/>
      <w:docPartObj>
        <w:docPartGallery w:val="Page Numbers (Top of Page)"/>
        <w:docPartUnique/>
      </w:docPartObj>
    </w:sdtPr>
    <w:sdtEndPr>
      <w:rPr>
        <w:rStyle w:val="PageNumber"/>
      </w:rPr>
    </w:sdtEndPr>
    <w:sdtContent>
      <w:p w14:paraId="2CFCDA0A" w14:textId="77777777" w:rsidR="00FF2B0F" w:rsidRDefault="00FF2B0F" w:rsidP="00E01C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45767D" w14:textId="77777777" w:rsidR="00003FE7" w:rsidRDefault="00FF2B0F" w:rsidP="00FF2B0F">
    <w:pPr>
      <w:pStyle w:val="Header"/>
      <w:ind w:right="360"/>
    </w:pPr>
    <w:r>
      <w:rPr>
        <w:rFonts w:ascii="Times New Roman" w:hAnsi="Times New Roman" w:cs="Times New Roman"/>
      </w:rPr>
      <w:t xml:space="preserve">ASSESSING </w:t>
    </w:r>
    <w:r w:rsidR="0069155A">
      <w:rPr>
        <w:rFonts w:ascii="Times New Roman" w:hAnsi="Times New Roman" w:cs="Times New Roman"/>
      </w:rPr>
      <w:t>SHOCK ANXIETY</w:t>
    </w:r>
  </w:p>
  <w:p w14:paraId="32DF96D7" w14:textId="77777777" w:rsidR="00003FE7" w:rsidRDefault="00003F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1946528"/>
      <w:docPartObj>
        <w:docPartGallery w:val="Page Numbers (Top of Page)"/>
        <w:docPartUnique/>
      </w:docPartObj>
    </w:sdtPr>
    <w:sdtEndPr>
      <w:rPr>
        <w:rStyle w:val="PageNumber"/>
      </w:rPr>
    </w:sdtEndPr>
    <w:sdtContent>
      <w:p w14:paraId="17179C50" w14:textId="77777777" w:rsidR="00FF2B0F" w:rsidRDefault="00FF2B0F" w:rsidP="00E01C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D46561" w14:textId="77777777" w:rsidR="00003FE7" w:rsidRPr="00003FE7" w:rsidRDefault="00FF2B0F" w:rsidP="00FF2B0F">
    <w:pPr>
      <w:pStyle w:val="Header"/>
      <w:ind w:right="360"/>
      <w:rPr>
        <w:rFonts w:ascii="Times" w:hAnsi="Times"/>
      </w:rPr>
    </w:pPr>
    <w:r>
      <w:rPr>
        <w:rFonts w:ascii="Times New Roman" w:hAnsi="Times New Roman" w:cs="Times New Roman"/>
      </w:rPr>
      <w:t>ASSESSING FEAR OF SHOCK IN PATIENTS WITH ICDS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52746"/>
    <w:multiLevelType w:val="hybridMultilevel"/>
    <w:tmpl w:val="EDC68536"/>
    <w:lvl w:ilvl="0" w:tplc="E2CC55EE">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D360C0"/>
    <w:multiLevelType w:val="hybridMultilevel"/>
    <w:tmpl w:val="F9A4B00E"/>
    <w:lvl w:ilvl="0" w:tplc="E2CC55EE">
      <w:start w:val="14"/>
      <w:numFmt w:val="bullet"/>
      <w:lvlText w:val="-"/>
      <w:lvlJc w:val="left"/>
      <w:pPr>
        <w:ind w:left="108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1A2414"/>
    <w:multiLevelType w:val="hybridMultilevel"/>
    <w:tmpl w:val="E2FA3DC8"/>
    <w:lvl w:ilvl="0" w:tplc="0938E604">
      <w:numFmt w:val="bullet"/>
      <w:lvlText w:val="-"/>
      <w:lvlJc w:val="left"/>
      <w:pPr>
        <w:ind w:left="720" w:hanging="360"/>
      </w:pPr>
      <w:rPr>
        <w:rFonts w:ascii="Times" w:eastAsia="Times New Roman" w:hAnsi="Times" w:cs="Times New Roman" w:hint="default"/>
        <w:b/>
        <w:color w:val="21252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91735F"/>
    <w:multiLevelType w:val="hybridMultilevel"/>
    <w:tmpl w:val="9F2CD0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A1BFF"/>
    <w:multiLevelType w:val="hybridMultilevel"/>
    <w:tmpl w:val="63B0F61A"/>
    <w:lvl w:ilvl="0" w:tplc="E2CC55EE">
      <w:numFmt w:val="bullet"/>
      <w:lvlText w:val="-"/>
      <w:lvlJc w:val="left"/>
      <w:pPr>
        <w:ind w:left="1080" w:hanging="360"/>
      </w:pPr>
      <w:rPr>
        <w:rFonts w:ascii="Times New Roman" w:eastAsia="Times New Roman" w:hAnsi="Times New Roman" w:cs="Times New Roman"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141D77"/>
    <w:multiLevelType w:val="hybridMultilevel"/>
    <w:tmpl w:val="E6F00BCA"/>
    <w:lvl w:ilvl="0" w:tplc="9E800310">
      <w:numFmt w:val="bullet"/>
      <w:lvlText w:val="-"/>
      <w:lvlJc w:val="left"/>
      <w:pPr>
        <w:ind w:left="72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9478A3"/>
    <w:multiLevelType w:val="hybridMultilevel"/>
    <w:tmpl w:val="972E25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B6"/>
    <w:rsid w:val="00001160"/>
    <w:rsid w:val="00003FE7"/>
    <w:rsid w:val="00027D1B"/>
    <w:rsid w:val="00034082"/>
    <w:rsid w:val="000D660D"/>
    <w:rsid w:val="000E1BC4"/>
    <w:rsid w:val="000F3DF6"/>
    <w:rsid w:val="00101747"/>
    <w:rsid w:val="001034EA"/>
    <w:rsid w:val="00154482"/>
    <w:rsid w:val="00167615"/>
    <w:rsid w:val="001B7BBF"/>
    <w:rsid w:val="001C01AE"/>
    <w:rsid w:val="001C422C"/>
    <w:rsid w:val="001D7DF1"/>
    <w:rsid w:val="0022775F"/>
    <w:rsid w:val="0027057E"/>
    <w:rsid w:val="00293571"/>
    <w:rsid w:val="002F352D"/>
    <w:rsid w:val="00304E19"/>
    <w:rsid w:val="00317FB5"/>
    <w:rsid w:val="00320356"/>
    <w:rsid w:val="003262BF"/>
    <w:rsid w:val="00337A4C"/>
    <w:rsid w:val="003406DC"/>
    <w:rsid w:val="0035552F"/>
    <w:rsid w:val="003606FC"/>
    <w:rsid w:val="0036774D"/>
    <w:rsid w:val="00370259"/>
    <w:rsid w:val="003A0378"/>
    <w:rsid w:val="003A203E"/>
    <w:rsid w:val="003A71BC"/>
    <w:rsid w:val="003C1717"/>
    <w:rsid w:val="003C340C"/>
    <w:rsid w:val="003E3C28"/>
    <w:rsid w:val="004022F7"/>
    <w:rsid w:val="004138B3"/>
    <w:rsid w:val="0042166F"/>
    <w:rsid w:val="00424181"/>
    <w:rsid w:val="00440E27"/>
    <w:rsid w:val="00455267"/>
    <w:rsid w:val="00457396"/>
    <w:rsid w:val="004C3EEA"/>
    <w:rsid w:val="004F6663"/>
    <w:rsid w:val="005535C3"/>
    <w:rsid w:val="0055792B"/>
    <w:rsid w:val="00582439"/>
    <w:rsid w:val="005C24C4"/>
    <w:rsid w:val="005F2F31"/>
    <w:rsid w:val="00604498"/>
    <w:rsid w:val="00611698"/>
    <w:rsid w:val="0063066B"/>
    <w:rsid w:val="0066402F"/>
    <w:rsid w:val="0069155A"/>
    <w:rsid w:val="006B3BA5"/>
    <w:rsid w:val="006D0D34"/>
    <w:rsid w:val="006E1668"/>
    <w:rsid w:val="006E4904"/>
    <w:rsid w:val="00703537"/>
    <w:rsid w:val="007177CA"/>
    <w:rsid w:val="00722AEB"/>
    <w:rsid w:val="00730E6D"/>
    <w:rsid w:val="0074776F"/>
    <w:rsid w:val="007604D2"/>
    <w:rsid w:val="0077504D"/>
    <w:rsid w:val="007A0A74"/>
    <w:rsid w:val="007A5A9F"/>
    <w:rsid w:val="007B1C1C"/>
    <w:rsid w:val="007B43FB"/>
    <w:rsid w:val="007C252C"/>
    <w:rsid w:val="007C405F"/>
    <w:rsid w:val="007C54AC"/>
    <w:rsid w:val="007E70A9"/>
    <w:rsid w:val="0080176F"/>
    <w:rsid w:val="00810476"/>
    <w:rsid w:val="00830462"/>
    <w:rsid w:val="00831458"/>
    <w:rsid w:val="00834FE3"/>
    <w:rsid w:val="008667E3"/>
    <w:rsid w:val="008B7C5E"/>
    <w:rsid w:val="008C12E9"/>
    <w:rsid w:val="008D6FA8"/>
    <w:rsid w:val="008E33DB"/>
    <w:rsid w:val="008E492B"/>
    <w:rsid w:val="008F6DC5"/>
    <w:rsid w:val="00932E9B"/>
    <w:rsid w:val="00953B05"/>
    <w:rsid w:val="00966D21"/>
    <w:rsid w:val="00984917"/>
    <w:rsid w:val="009A0145"/>
    <w:rsid w:val="009E5725"/>
    <w:rsid w:val="009E6741"/>
    <w:rsid w:val="009F42B6"/>
    <w:rsid w:val="00A5498B"/>
    <w:rsid w:val="00A63F91"/>
    <w:rsid w:val="00A73061"/>
    <w:rsid w:val="00A9447F"/>
    <w:rsid w:val="00AB0E55"/>
    <w:rsid w:val="00AB72A6"/>
    <w:rsid w:val="00AD126F"/>
    <w:rsid w:val="00AD35E8"/>
    <w:rsid w:val="00B80FB0"/>
    <w:rsid w:val="00BC23A6"/>
    <w:rsid w:val="00BD4643"/>
    <w:rsid w:val="00C03EFD"/>
    <w:rsid w:val="00C90450"/>
    <w:rsid w:val="00C97461"/>
    <w:rsid w:val="00CA2754"/>
    <w:rsid w:val="00CA5A97"/>
    <w:rsid w:val="00CB19A5"/>
    <w:rsid w:val="00CD1ED5"/>
    <w:rsid w:val="00CD2AC4"/>
    <w:rsid w:val="00CD57EA"/>
    <w:rsid w:val="00D02F87"/>
    <w:rsid w:val="00D060D6"/>
    <w:rsid w:val="00D12DC8"/>
    <w:rsid w:val="00D34511"/>
    <w:rsid w:val="00D36902"/>
    <w:rsid w:val="00D643B6"/>
    <w:rsid w:val="00D672DC"/>
    <w:rsid w:val="00D77D41"/>
    <w:rsid w:val="00D834F0"/>
    <w:rsid w:val="00DB6BE8"/>
    <w:rsid w:val="00E92F68"/>
    <w:rsid w:val="00ED7345"/>
    <w:rsid w:val="00ED7DB1"/>
    <w:rsid w:val="00F0742D"/>
    <w:rsid w:val="00F074EB"/>
    <w:rsid w:val="00F327D9"/>
    <w:rsid w:val="00F4403A"/>
    <w:rsid w:val="00F54D83"/>
    <w:rsid w:val="00F55DBA"/>
    <w:rsid w:val="00F73885"/>
    <w:rsid w:val="00FB26DC"/>
    <w:rsid w:val="00FC0951"/>
    <w:rsid w:val="00FC2208"/>
    <w:rsid w:val="00FF2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D8E59C"/>
  <w15:chartTrackingRefBased/>
  <w15:docId w15:val="{BCBB8A9E-BF4F-1744-9BE2-A2FE72F6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FE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F42B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AD126F"/>
    <w:rPr>
      <w:color w:val="0563C1" w:themeColor="hyperlink"/>
      <w:u w:val="single"/>
    </w:rPr>
  </w:style>
  <w:style w:type="character" w:customStyle="1" w:styleId="apple-converted-space">
    <w:name w:val="apple-converted-space"/>
    <w:basedOn w:val="DefaultParagraphFont"/>
    <w:rsid w:val="00AD126F"/>
  </w:style>
  <w:style w:type="character" w:styleId="UnresolvedMention">
    <w:name w:val="Unresolved Mention"/>
    <w:basedOn w:val="DefaultParagraphFont"/>
    <w:uiPriority w:val="99"/>
    <w:semiHidden/>
    <w:unhideWhenUsed/>
    <w:rsid w:val="00317FB5"/>
    <w:rPr>
      <w:color w:val="605E5C"/>
      <w:shd w:val="clear" w:color="auto" w:fill="E1DFDD"/>
    </w:rPr>
  </w:style>
  <w:style w:type="paragraph" w:styleId="ListParagraph">
    <w:name w:val="List Paragraph"/>
    <w:basedOn w:val="Normal"/>
    <w:uiPriority w:val="34"/>
    <w:qFormat/>
    <w:rsid w:val="007A0A74"/>
    <w:pPr>
      <w:ind w:left="720"/>
      <w:contextualSpacing/>
    </w:pPr>
    <w:rPr>
      <w:rFonts w:eastAsiaTheme="minorHAnsi"/>
    </w:rPr>
  </w:style>
  <w:style w:type="character" w:styleId="FollowedHyperlink">
    <w:name w:val="FollowedHyperlink"/>
    <w:basedOn w:val="DefaultParagraphFont"/>
    <w:uiPriority w:val="99"/>
    <w:semiHidden/>
    <w:unhideWhenUsed/>
    <w:rsid w:val="005F2F31"/>
    <w:rPr>
      <w:color w:val="954F72" w:themeColor="followedHyperlink"/>
      <w:u w:val="single"/>
    </w:rPr>
  </w:style>
  <w:style w:type="paragraph" w:styleId="Header">
    <w:name w:val="header"/>
    <w:basedOn w:val="Normal"/>
    <w:link w:val="HeaderChar"/>
    <w:uiPriority w:val="99"/>
    <w:unhideWhenUsed/>
    <w:rsid w:val="00003FE7"/>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03FE7"/>
  </w:style>
  <w:style w:type="paragraph" w:styleId="Footer">
    <w:name w:val="footer"/>
    <w:basedOn w:val="Normal"/>
    <w:link w:val="FooterChar"/>
    <w:uiPriority w:val="99"/>
    <w:unhideWhenUsed/>
    <w:rsid w:val="00003FE7"/>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03FE7"/>
  </w:style>
  <w:style w:type="paragraph" w:customStyle="1" w:styleId="APA">
    <w:name w:val="APA"/>
    <w:basedOn w:val="BodyText"/>
    <w:rsid w:val="00FF2B0F"/>
    <w:pPr>
      <w:overflowPunct w:val="0"/>
      <w:autoSpaceDE w:val="0"/>
      <w:autoSpaceDN w:val="0"/>
      <w:adjustRightInd w:val="0"/>
      <w:spacing w:after="0" w:line="480" w:lineRule="auto"/>
      <w:ind w:firstLine="72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FF2B0F"/>
    <w:pPr>
      <w:spacing w:after="120"/>
    </w:pPr>
    <w:rPr>
      <w:rFonts w:eastAsiaTheme="minorHAnsi"/>
    </w:rPr>
  </w:style>
  <w:style w:type="character" w:customStyle="1" w:styleId="BodyTextChar">
    <w:name w:val="Body Text Char"/>
    <w:basedOn w:val="DefaultParagraphFont"/>
    <w:link w:val="BodyText"/>
    <w:uiPriority w:val="99"/>
    <w:semiHidden/>
    <w:rsid w:val="00FF2B0F"/>
  </w:style>
  <w:style w:type="character" w:styleId="PageNumber">
    <w:name w:val="page number"/>
    <w:basedOn w:val="DefaultParagraphFont"/>
    <w:uiPriority w:val="99"/>
    <w:semiHidden/>
    <w:unhideWhenUsed/>
    <w:rsid w:val="00FF2B0F"/>
  </w:style>
  <w:style w:type="character" w:styleId="CommentReference">
    <w:name w:val="annotation reference"/>
    <w:basedOn w:val="DefaultParagraphFont"/>
    <w:uiPriority w:val="99"/>
    <w:semiHidden/>
    <w:unhideWhenUsed/>
    <w:rsid w:val="00E92F68"/>
    <w:rPr>
      <w:sz w:val="16"/>
      <w:szCs w:val="16"/>
    </w:rPr>
  </w:style>
  <w:style w:type="paragraph" w:styleId="Revision">
    <w:name w:val="Revision"/>
    <w:hidden/>
    <w:uiPriority w:val="99"/>
    <w:semiHidden/>
    <w:rsid w:val="0070353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6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1540-8159.2012.03455.x" TargetMode="Externa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111/j.1752-7325.2011.00235.x"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pace.1379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16/j.ahj.2017.03.0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doi.org/10.1007/s10880-009-9160-0"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25468941534926209"/>
          <c:y val="0.14768627657539413"/>
          <c:w val="0.48752306804723261"/>
          <c:h val="0.81601457845525294"/>
        </c:manualLayout>
      </c:layout>
      <c:pieChart>
        <c:varyColors val="1"/>
        <c:ser>
          <c:idx val="0"/>
          <c:order val="0"/>
          <c:spPr>
            <a:solidFill>
              <a:srgbClr val="7030A0"/>
            </a:solidFill>
          </c:spPr>
          <c:dPt>
            <c:idx val="0"/>
            <c:bubble3D val="0"/>
            <c:spPr>
              <a:solidFill>
                <a:srgbClr val="FFC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F23-5F41-A4F2-DFBD8E447F1B}"/>
              </c:ext>
            </c:extLst>
          </c:dPt>
          <c:dPt>
            <c:idx val="1"/>
            <c:bubble3D val="0"/>
            <c:spPr>
              <a:solidFill>
                <a:srgbClr val="7030A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F23-5F41-A4F2-DFBD8E447F1B}"/>
              </c:ext>
            </c:extLst>
          </c:dPt>
          <c:dLbls>
            <c:dLbl>
              <c:idx val="0"/>
              <c:layout>
                <c:manualLayout>
                  <c:x val="-9.5981627296588032E-2"/>
                  <c:y val="0.129329979585885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F23-5F41-A4F2-DFBD8E447F1B}"/>
                </c:ext>
              </c:extLst>
            </c:dLbl>
            <c:dLbl>
              <c:idx val="1"/>
              <c:layout>
                <c:manualLayout>
                  <c:x val="0.10153718285214348"/>
                  <c:y val="-0.1709970107903179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F23-5F41-A4F2-DFBD8E447F1B}"/>
                </c:ext>
              </c:extLst>
            </c:dLbl>
            <c:spPr>
              <a:noFill/>
              <a:ln>
                <a:noFill/>
              </a:ln>
              <a:effectLst/>
            </c:spPr>
            <c:txPr>
              <a:bodyPr rot="0" spcFirstLastPara="1" vertOverflow="ellipsis" vert="horz" wrap="square" lIns="38100" tIns="19050" rIns="38100" bIns="19050" anchor="ctr" anchorCtr="1">
                <a:spAutoFit/>
              </a:bodyPr>
              <a:lstStyle/>
              <a:p>
                <a:pPr>
                  <a:defRPr sz="2800" b="1" i="0" u="none" strike="noStrike" kern="1200" baseline="0">
                    <a:solidFill>
                      <a:schemeClr val="lt1"/>
                    </a:solidFill>
                    <a:latin typeface="Times" pitchFamily="2"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Sheet1!$A$1:$A$2</c:f>
              <c:strCache>
                <c:ptCount val="2"/>
                <c:pt idx="0">
                  <c:v>Previously Shocked</c:v>
                </c:pt>
                <c:pt idx="1">
                  <c:v>Never Shocked</c:v>
                </c:pt>
              </c:strCache>
            </c:strRef>
          </c:cat>
          <c:val>
            <c:numRef>
              <c:f>Sheet1!$B$1:$B$2</c:f>
              <c:numCache>
                <c:formatCode>0%</c:formatCode>
                <c:ptCount val="2"/>
                <c:pt idx="0">
                  <c:v>0.25</c:v>
                </c:pt>
                <c:pt idx="1">
                  <c:v>0.75</c:v>
                </c:pt>
              </c:numCache>
            </c:numRef>
          </c:val>
          <c:extLst>
            <c:ext xmlns:c16="http://schemas.microsoft.com/office/drawing/2014/chart" uri="{C3380CC4-5D6E-409C-BE32-E72D297353CC}">
              <c16:uniqueId val="{00000004-DF23-5F41-A4F2-DFBD8E447F1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0"/>
        <c:txPr>
          <a:bodyPr rot="0" spcFirstLastPara="1" vertOverflow="ellipsis" vert="horz" wrap="square" anchor="ctr" anchorCtr="1"/>
          <a:lstStyle/>
          <a:p>
            <a:pPr>
              <a:defRPr sz="1600" b="0" i="0" u="none" strike="noStrike" kern="1200" baseline="0">
                <a:solidFill>
                  <a:schemeClr val="tx1"/>
                </a:solidFill>
                <a:latin typeface="Times" pitchFamily="2" charset="0"/>
                <a:ea typeface="+mn-ea"/>
                <a:cs typeface="+mn-cs"/>
              </a:defRPr>
            </a:pPr>
            <a:endParaRPr lang="en-US"/>
          </a:p>
        </c:txPr>
      </c:legendEntry>
      <c:layout>
        <c:manualLayout>
          <c:xMode val="edge"/>
          <c:yMode val="edge"/>
          <c:x val="0.69047222100030803"/>
          <c:y val="6.8000651342139118E-2"/>
          <c:w val="0.30760293406061673"/>
          <c:h val="0.25579163435765184"/>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Times" pitchFamily="2"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1" i="0" u="none" strike="noStrike" kern="1200" spc="0" baseline="0">
                <a:solidFill>
                  <a:schemeClr val="tx1"/>
                </a:solidFill>
                <a:latin typeface="Times" pitchFamily="2" charset="0"/>
                <a:ea typeface="+mn-ea"/>
                <a:cs typeface="+mn-cs"/>
              </a:defRPr>
            </a:pPr>
            <a:r>
              <a:rPr lang="en-US" sz="2400" b="1">
                <a:solidFill>
                  <a:schemeClr val="tx1"/>
                </a:solidFill>
                <a:latin typeface="Times" pitchFamily="2" charset="0"/>
              </a:rPr>
              <a:t>FSAS Score</a:t>
            </a:r>
            <a:r>
              <a:rPr lang="en-US" sz="2400" b="1" baseline="0">
                <a:solidFill>
                  <a:schemeClr val="tx1"/>
                </a:solidFill>
                <a:latin typeface="Times" pitchFamily="2" charset="0"/>
              </a:rPr>
              <a:t> Means</a:t>
            </a:r>
            <a:endParaRPr lang="en-US" sz="2400" b="1">
              <a:solidFill>
                <a:schemeClr val="tx1"/>
              </a:solidFill>
              <a:latin typeface="Times" pitchFamily="2" charset="0"/>
            </a:endParaRPr>
          </a:p>
        </c:rich>
      </c:tx>
      <c:overlay val="0"/>
      <c:spPr>
        <a:noFill/>
        <a:ln>
          <a:noFill/>
        </a:ln>
        <a:effectLst/>
      </c:spPr>
      <c:txPr>
        <a:bodyPr rot="0" spcFirstLastPara="1" vertOverflow="ellipsis" vert="horz" wrap="square" anchor="ctr" anchorCtr="1"/>
        <a:lstStyle/>
        <a:p>
          <a:pPr>
            <a:defRPr sz="2400" b="1" i="0" u="none" strike="noStrike" kern="1200" spc="0" baseline="0">
              <a:solidFill>
                <a:schemeClr val="tx1"/>
              </a:solidFill>
              <a:latin typeface="Times" pitchFamily="2" charset="0"/>
              <a:ea typeface="+mn-ea"/>
              <a:cs typeface="+mn-cs"/>
            </a:defRPr>
          </a:pPr>
          <a:endParaRPr lang="en-US"/>
        </a:p>
      </c:txPr>
    </c:title>
    <c:autoTitleDeleted val="0"/>
    <c:plotArea>
      <c:layout/>
      <c:barChart>
        <c:barDir val="col"/>
        <c:grouping val="clustered"/>
        <c:varyColors val="0"/>
        <c:ser>
          <c:idx val="0"/>
          <c:order val="0"/>
          <c:spPr>
            <a:solidFill>
              <a:srgbClr val="7030A0"/>
            </a:solidFill>
            <a:ln>
              <a:noFill/>
            </a:ln>
            <a:effectLst/>
          </c:spPr>
          <c:invertIfNegative val="0"/>
          <c:cat>
            <c:strRef>
              <c:f>Sheet1!$A$1:$A$11</c:f>
              <c:strCache>
                <c:ptCount val="11"/>
                <c:pt idx="1">
                  <c:v>Item 1</c:v>
                </c:pt>
                <c:pt idx="2">
                  <c:v>Item 2</c:v>
                </c:pt>
                <c:pt idx="3">
                  <c:v>Item 3</c:v>
                </c:pt>
                <c:pt idx="4">
                  <c:v>Item 4</c:v>
                </c:pt>
                <c:pt idx="5">
                  <c:v>Item 5</c:v>
                </c:pt>
                <c:pt idx="6">
                  <c:v>Item 6</c:v>
                </c:pt>
                <c:pt idx="7">
                  <c:v>Item 7</c:v>
                </c:pt>
                <c:pt idx="8">
                  <c:v>Item 8</c:v>
                </c:pt>
                <c:pt idx="9">
                  <c:v>Item 9</c:v>
                </c:pt>
                <c:pt idx="10">
                  <c:v>Item 10</c:v>
                </c:pt>
              </c:strCache>
            </c:strRef>
          </c:cat>
          <c:val>
            <c:numRef>
              <c:f>Sheet1!$B$1:$B$11</c:f>
              <c:numCache>
                <c:formatCode>General</c:formatCode>
                <c:ptCount val="11"/>
                <c:pt idx="1">
                  <c:v>1.42</c:v>
                </c:pt>
                <c:pt idx="2">
                  <c:v>1.67</c:v>
                </c:pt>
                <c:pt idx="3">
                  <c:v>1.375</c:v>
                </c:pt>
                <c:pt idx="4">
                  <c:v>1.33</c:v>
                </c:pt>
                <c:pt idx="5">
                  <c:v>1.25</c:v>
                </c:pt>
                <c:pt idx="6">
                  <c:v>1.25</c:v>
                </c:pt>
                <c:pt idx="7">
                  <c:v>1.25</c:v>
                </c:pt>
                <c:pt idx="8">
                  <c:v>1.67</c:v>
                </c:pt>
                <c:pt idx="9">
                  <c:v>1.42</c:v>
                </c:pt>
                <c:pt idx="10">
                  <c:v>1.17</c:v>
                </c:pt>
              </c:numCache>
            </c:numRef>
          </c:val>
          <c:extLst>
            <c:ext xmlns:c16="http://schemas.microsoft.com/office/drawing/2014/chart" uri="{C3380CC4-5D6E-409C-BE32-E72D297353CC}">
              <c16:uniqueId val="{00000000-3817-CB4D-94B5-BB0CE788935F}"/>
            </c:ext>
          </c:extLst>
        </c:ser>
        <c:dLbls>
          <c:showLegendKey val="0"/>
          <c:showVal val="0"/>
          <c:showCatName val="0"/>
          <c:showSerName val="0"/>
          <c:showPercent val="0"/>
          <c:showBubbleSize val="0"/>
        </c:dLbls>
        <c:gapWidth val="219"/>
        <c:overlap val="-27"/>
        <c:axId val="1313729455"/>
        <c:axId val="1174808495"/>
      </c:barChart>
      <c:catAx>
        <c:axId val="1313729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0" i="0" u="none" strike="noStrike" kern="1200" baseline="0">
                <a:solidFill>
                  <a:schemeClr val="tx1"/>
                </a:solidFill>
                <a:latin typeface="Times" pitchFamily="2" charset="0"/>
                <a:ea typeface="+mn-ea"/>
                <a:cs typeface="+mn-cs"/>
              </a:defRPr>
            </a:pPr>
            <a:endParaRPr lang="en-US"/>
          </a:p>
        </c:txPr>
        <c:crossAx val="1174808495"/>
        <c:crosses val="autoZero"/>
        <c:auto val="1"/>
        <c:lblAlgn val="ctr"/>
        <c:lblOffset val="100"/>
        <c:noMultiLvlLbl val="0"/>
      </c:catAx>
      <c:valAx>
        <c:axId val="1174808495"/>
        <c:scaling>
          <c:orientation val="minMax"/>
          <c:max val="5"/>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solidFill>
                <a:latin typeface="Times" pitchFamily="2" charset="0"/>
                <a:ea typeface="+mn-ea"/>
                <a:cs typeface="+mn-cs"/>
              </a:defRPr>
            </a:pPr>
            <a:endParaRPr lang="en-US"/>
          </a:p>
        </c:txPr>
        <c:crossAx val="1313729455"/>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0.35845</cdr:x>
      <cdr:y>0.03844</cdr:y>
    </cdr:from>
    <cdr:to>
      <cdr:x>0.66463</cdr:x>
      <cdr:y>0.13358</cdr:y>
    </cdr:to>
    <cdr:sp macro="" textlink="">
      <cdr:nvSpPr>
        <cdr:cNvPr id="2" name="TextBox 1">
          <a:extLst xmlns:a="http://schemas.openxmlformats.org/drawingml/2006/main">
            <a:ext uri="{FF2B5EF4-FFF2-40B4-BE49-F238E27FC236}">
              <a16:creationId xmlns:a16="http://schemas.microsoft.com/office/drawing/2014/main" id="{F0127398-4399-EC42-A198-F2E1FF4C9328}"/>
            </a:ext>
          </a:extLst>
        </cdr:cNvPr>
        <cdr:cNvSpPr txBox="1"/>
      </cdr:nvSpPr>
      <cdr:spPr>
        <a:xfrm xmlns:a="http://schemas.openxmlformats.org/drawingml/2006/main">
          <a:off x="3259473" y="202297"/>
          <a:ext cx="2784131" cy="5007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2400" b="1" dirty="0">
              <a:latin typeface="Times" pitchFamily="2" charset="0"/>
            </a:rPr>
            <a:t>ICD Shock History</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Sandlin Hawkins</dc:creator>
  <cp:keywords/>
  <dc:description/>
  <cp:lastModifiedBy>Taylor Sandlin Hawkins</cp:lastModifiedBy>
  <cp:revision>8</cp:revision>
  <dcterms:created xsi:type="dcterms:W3CDTF">2024-04-02T14:50:00Z</dcterms:created>
  <dcterms:modified xsi:type="dcterms:W3CDTF">2024-04-15T13:11:00Z</dcterms:modified>
</cp:coreProperties>
</file>