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0F83D" w14:textId="77777777" w:rsidR="002E774F" w:rsidRDefault="002E774F" w:rsidP="00B605A7">
      <w:pPr>
        <w:spacing w:after="200" w:line="276" w:lineRule="auto"/>
        <w:contextualSpacing/>
        <w:jc w:val="center"/>
        <w:rPr>
          <w:rFonts w:eastAsiaTheme="minorHAnsi"/>
          <w:sz w:val="24"/>
          <w:szCs w:val="24"/>
        </w:rPr>
      </w:pPr>
    </w:p>
    <w:p w14:paraId="492F8D22" w14:textId="77777777" w:rsidR="005C0047" w:rsidRDefault="005C0047" w:rsidP="005C0047">
      <w:pPr>
        <w:jc w:val="center"/>
        <w:rPr>
          <w:sz w:val="24"/>
          <w:szCs w:val="24"/>
        </w:rPr>
      </w:pPr>
      <w:r>
        <w:rPr>
          <w:sz w:val="24"/>
          <w:szCs w:val="24"/>
        </w:rPr>
        <w:t>Best Practices in Providing Culturally Sensitive Care to the LGBTQ Population in a Hospice Setting</w:t>
      </w:r>
    </w:p>
    <w:p w14:paraId="7F583E1A" w14:textId="77777777" w:rsidR="00172CC2" w:rsidRPr="00172CC2" w:rsidRDefault="00172CC2" w:rsidP="00172CC2">
      <w:pPr>
        <w:pStyle w:val="APA"/>
        <w:ind w:firstLine="0"/>
        <w:jc w:val="center"/>
      </w:pPr>
      <w:r>
        <w:t>by</w:t>
      </w:r>
    </w:p>
    <w:p w14:paraId="7F583E1C" w14:textId="2F4F07A8" w:rsidR="00172CC2" w:rsidRDefault="002E774F" w:rsidP="00DB175C">
      <w:pPr>
        <w:pStyle w:val="APAHeadingCenter"/>
      </w:pPr>
      <w:r>
        <w:t>Joan</w:t>
      </w:r>
      <w:r w:rsidR="0056183A">
        <w:t xml:space="preserve"> Stanek</w:t>
      </w:r>
    </w:p>
    <w:p w14:paraId="7F583E1D" w14:textId="77777777" w:rsidR="00172CC2" w:rsidRDefault="00172CC2" w:rsidP="00172CC2">
      <w:pPr>
        <w:pStyle w:val="APA"/>
        <w:ind w:firstLine="0"/>
        <w:jc w:val="center"/>
      </w:pPr>
    </w:p>
    <w:p w14:paraId="7F583E1E" w14:textId="1258FD8A" w:rsidR="00172CC2" w:rsidRDefault="00172CC2" w:rsidP="00172CC2">
      <w:pPr>
        <w:pStyle w:val="APA"/>
        <w:spacing w:line="240" w:lineRule="auto"/>
        <w:ind w:firstLine="0"/>
        <w:jc w:val="center"/>
      </w:pPr>
      <w:r>
        <w:t>Paper submitted in partial fulfillment of the</w:t>
      </w:r>
    </w:p>
    <w:p w14:paraId="7F583E1F" w14:textId="77777777" w:rsidR="00172CC2" w:rsidRDefault="00172CC2" w:rsidP="00925187">
      <w:pPr>
        <w:pStyle w:val="APA"/>
        <w:ind w:firstLine="0"/>
        <w:contextualSpacing/>
        <w:jc w:val="center"/>
      </w:pPr>
      <w:r>
        <w:t>requirements for the degree of</w:t>
      </w:r>
    </w:p>
    <w:p w14:paraId="3F715E3E" w14:textId="77777777" w:rsidR="00925187" w:rsidRDefault="00925187" w:rsidP="00925187">
      <w:pPr>
        <w:pStyle w:val="APA"/>
        <w:ind w:firstLine="0"/>
        <w:contextualSpacing/>
        <w:jc w:val="center"/>
      </w:pPr>
    </w:p>
    <w:p w14:paraId="7F583E21" w14:textId="77777777" w:rsidR="00172CC2" w:rsidRDefault="00172CC2" w:rsidP="00925187">
      <w:pPr>
        <w:pStyle w:val="APA"/>
        <w:ind w:firstLine="0"/>
        <w:contextualSpacing/>
        <w:jc w:val="center"/>
      </w:pPr>
      <w:r>
        <w:t>Doctor of Nursing Practice</w:t>
      </w:r>
    </w:p>
    <w:p w14:paraId="7B394EDB" w14:textId="77777777" w:rsidR="00925187" w:rsidRDefault="00925187" w:rsidP="00925187">
      <w:pPr>
        <w:pStyle w:val="APA"/>
        <w:ind w:firstLine="0"/>
        <w:contextualSpacing/>
        <w:jc w:val="center"/>
      </w:pPr>
    </w:p>
    <w:p w14:paraId="7F583E23" w14:textId="03450DC1" w:rsidR="0014356D" w:rsidRDefault="00FB0CB4" w:rsidP="00EE3BF3">
      <w:pPr>
        <w:pStyle w:val="APAHeadingCenter"/>
        <w:spacing w:line="240" w:lineRule="auto"/>
        <w:contextualSpacing/>
      </w:pPr>
      <w:bookmarkStart w:id="0" w:name="bmTitlePageInst"/>
      <w:r>
        <w:t>East Carolina</w:t>
      </w:r>
      <w:r w:rsidR="0014356D">
        <w:t xml:space="preserve"> University</w:t>
      </w:r>
      <w:bookmarkEnd w:id="0"/>
    </w:p>
    <w:p w14:paraId="13B0EAB0" w14:textId="55D5D26C" w:rsidR="00EE3BF3" w:rsidRPr="00EE3BF3" w:rsidRDefault="00EE3BF3" w:rsidP="00EE3BF3">
      <w:pPr>
        <w:pStyle w:val="APA"/>
        <w:spacing w:line="240" w:lineRule="auto"/>
        <w:contextualSpacing/>
      </w:pPr>
      <w:r>
        <w:t xml:space="preserve">                                                   College of Nursing</w:t>
      </w:r>
    </w:p>
    <w:p w14:paraId="7F583E24" w14:textId="77777777" w:rsidR="0014356D" w:rsidRDefault="0014356D" w:rsidP="0014356D">
      <w:pPr>
        <w:pStyle w:val="APAHeadingCenter"/>
      </w:pPr>
      <w:bookmarkStart w:id="1" w:name="bmTitleAdd1"/>
      <w:bookmarkEnd w:id="1"/>
    </w:p>
    <w:p w14:paraId="307D6699" w14:textId="77777777" w:rsidR="00EE3BF3" w:rsidRPr="00EE3BF3" w:rsidRDefault="00EE3BF3" w:rsidP="00EE3BF3">
      <w:pPr>
        <w:pStyle w:val="APA"/>
      </w:pPr>
    </w:p>
    <w:p w14:paraId="7F583E26" w14:textId="25863189" w:rsidR="0014356D" w:rsidRDefault="008374CE" w:rsidP="0014356D">
      <w:pPr>
        <w:pStyle w:val="APAHeadingCenter"/>
      </w:pPr>
      <w:bookmarkStart w:id="2" w:name="bmTitleAdd2"/>
      <w:bookmarkStart w:id="3" w:name="bmTitleAdd3"/>
      <w:bookmarkEnd w:id="2"/>
      <w:bookmarkEnd w:id="3"/>
      <w:r w:rsidRPr="00B605A7">
        <w:t>Date</w:t>
      </w:r>
      <w:r w:rsidR="00FA7F76">
        <w:t xml:space="preserve"> Finalized</w:t>
      </w:r>
    </w:p>
    <w:p w14:paraId="7F583E27" w14:textId="77777777" w:rsidR="00172CC2" w:rsidRDefault="00172CC2" w:rsidP="00172CC2">
      <w:pPr>
        <w:pStyle w:val="APA"/>
      </w:pPr>
    </w:p>
    <w:p w14:paraId="7F583E28" w14:textId="77777777" w:rsidR="00172CC2" w:rsidRDefault="00172CC2" w:rsidP="00172CC2">
      <w:pPr>
        <w:pStyle w:val="APA"/>
      </w:pPr>
    </w:p>
    <w:p w14:paraId="5552F671" w14:textId="77777777" w:rsidR="002133AD" w:rsidRDefault="002133AD" w:rsidP="007D7906">
      <w:pPr>
        <w:pStyle w:val="APA"/>
        <w:spacing w:line="240" w:lineRule="auto"/>
        <w:ind w:firstLine="0"/>
      </w:pPr>
      <w:bookmarkStart w:id="4" w:name="bmTitleAdd4"/>
      <w:bookmarkEnd w:id="4"/>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r>
        <w:rPr>
          <w:u w:val="single"/>
        </w:rPr>
        <w:tab/>
      </w:r>
    </w:p>
    <w:p w14:paraId="6AC5283C" w14:textId="77777777" w:rsidR="002133AD" w:rsidRDefault="002133AD" w:rsidP="007D7906">
      <w:pPr>
        <w:pStyle w:val="APA"/>
        <w:spacing w:line="240" w:lineRule="auto"/>
        <w:ind w:firstLine="0"/>
      </w:pPr>
    </w:p>
    <w:p w14:paraId="28A5882D" w14:textId="2800A81E" w:rsidR="002133AD" w:rsidRDefault="002133AD" w:rsidP="007D7906">
      <w:pPr>
        <w:pStyle w:val="APA"/>
        <w:ind w:firstLine="0"/>
      </w:pPr>
      <w:r>
        <w:t>Signature Faculty</w:t>
      </w:r>
      <w:r w:rsidR="00A66C29">
        <w:t xml:space="preserve"> Coordinator</w:t>
      </w:r>
      <w:r w:rsidR="00DF0C57">
        <w:tab/>
      </w:r>
      <w:r>
        <w:tab/>
      </w:r>
      <w:r>
        <w:tab/>
        <w:t>Date</w:t>
      </w:r>
    </w:p>
    <w:p w14:paraId="7165DBEB" w14:textId="77777777" w:rsidR="002133AD" w:rsidRDefault="002133AD" w:rsidP="007D7906">
      <w:pPr>
        <w:pStyle w:val="APA"/>
        <w:ind w:firstLine="0"/>
      </w:pPr>
    </w:p>
    <w:p w14:paraId="6BB2C1B3" w14:textId="77777777" w:rsidR="002133AD" w:rsidRDefault="002133AD" w:rsidP="007D7906">
      <w:pPr>
        <w:pStyle w:val="APA"/>
        <w:ind w:firstLine="0"/>
      </w:pPr>
    </w:p>
    <w:p w14:paraId="43BDEFA1" w14:textId="77777777" w:rsidR="002133AD" w:rsidRDefault="002133AD" w:rsidP="007D7906">
      <w:pPr>
        <w:pStyle w:val="APA"/>
        <w:spacing w:line="240" w:lineRule="auto"/>
        <w:ind w:firstLine="0"/>
        <w:rPr>
          <w:u w:val="single"/>
        </w:rPr>
      </w:pPr>
      <w:r>
        <w:rPr>
          <w:u w:val="single"/>
        </w:rPr>
        <w:tab/>
      </w:r>
      <w:r>
        <w:rPr>
          <w:u w:val="single"/>
        </w:rPr>
        <w:tab/>
      </w:r>
      <w:r>
        <w:rPr>
          <w:u w:val="single"/>
        </w:rPr>
        <w:tab/>
      </w:r>
      <w:r>
        <w:rPr>
          <w:u w:val="single"/>
        </w:rPr>
        <w:tab/>
      </w:r>
      <w:r>
        <w:rPr>
          <w:u w:val="single"/>
        </w:rPr>
        <w:tab/>
      </w:r>
      <w:r>
        <w:rPr>
          <w:u w:val="single"/>
        </w:rPr>
        <w:tab/>
      </w:r>
      <w:r>
        <w:tab/>
      </w:r>
      <w:r>
        <w:rPr>
          <w:u w:val="single"/>
        </w:rPr>
        <w:tab/>
      </w:r>
      <w:r>
        <w:rPr>
          <w:u w:val="single"/>
        </w:rPr>
        <w:tab/>
      </w:r>
      <w:r>
        <w:rPr>
          <w:u w:val="single"/>
        </w:rPr>
        <w:tab/>
      </w:r>
      <w:r>
        <w:rPr>
          <w:u w:val="single"/>
        </w:rPr>
        <w:tab/>
      </w:r>
      <w:r>
        <w:rPr>
          <w:u w:val="single"/>
        </w:rPr>
        <w:tab/>
      </w:r>
      <w:r>
        <w:rPr>
          <w:u w:val="single"/>
        </w:rPr>
        <w:tab/>
      </w:r>
    </w:p>
    <w:p w14:paraId="689EDA36" w14:textId="77777777" w:rsidR="002133AD" w:rsidRDefault="002133AD" w:rsidP="007D7906">
      <w:pPr>
        <w:pStyle w:val="APA"/>
        <w:spacing w:line="240" w:lineRule="auto"/>
        <w:ind w:firstLine="0"/>
      </w:pPr>
    </w:p>
    <w:p w14:paraId="31264AF2" w14:textId="77777777" w:rsidR="002133AD" w:rsidRPr="00172CC2" w:rsidRDefault="002133AD" w:rsidP="007D7906">
      <w:pPr>
        <w:pStyle w:val="APA"/>
        <w:spacing w:line="240" w:lineRule="auto"/>
        <w:ind w:firstLine="0"/>
      </w:pPr>
      <w:r>
        <w:t>Signature Program Director</w:t>
      </w:r>
      <w:r>
        <w:tab/>
      </w:r>
      <w:r>
        <w:tab/>
      </w:r>
      <w:r>
        <w:tab/>
      </w:r>
      <w:r>
        <w:tab/>
        <w:t>Date</w:t>
      </w:r>
    </w:p>
    <w:p w14:paraId="7F583E2F" w14:textId="77777777" w:rsidR="0014356D" w:rsidRDefault="0014356D" w:rsidP="0014356D">
      <w:pPr>
        <w:pStyle w:val="APAHeadingCenter"/>
      </w:pPr>
    </w:p>
    <w:p w14:paraId="7F583E30" w14:textId="108D679C" w:rsidR="0014356D" w:rsidRDefault="00EA1D83" w:rsidP="00EA1D83">
      <w:pPr>
        <w:pStyle w:val="APA"/>
        <w:ind w:firstLine="0"/>
        <w:jc w:val="center"/>
      </w:pPr>
      <w:r>
        <w:lastRenderedPageBreak/>
        <w:t>Acknowledgments</w:t>
      </w:r>
    </w:p>
    <w:p w14:paraId="1BCC745C" w14:textId="203516ED" w:rsidR="00316CBF" w:rsidRDefault="00316CBF" w:rsidP="00B452FA">
      <w:pPr>
        <w:pStyle w:val="APA"/>
        <w:ind w:firstLine="0"/>
      </w:pPr>
      <w:r>
        <w:tab/>
        <w:t xml:space="preserve">I would first like to acknowledge my site champion Betsy Barton who gave me insurmountable support and direction. I would also like to acknowledge my faculty chair Dr. Deborah Tyndall for </w:t>
      </w:r>
      <w:r w:rsidR="00B452FA">
        <w:t>her advice and encouragement throughout this process.  I would also like to acknowledge my family and friends who have given me words of wisdom, support and advice as well as helping me in any way that I needed them.</w:t>
      </w:r>
    </w:p>
    <w:p w14:paraId="1E69FCA7" w14:textId="77777777" w:rsidR="00F71E4B" w:rsidRDefault="00F71E4B" w:rsidP="00F71E4B">
      <w:pPr>
        <w:pStyle w:val="APA"/>
      </w:pPr>
    </w:p>
    <w:p w14:paraId="574855FA" w14:textId="77777777" w:rsidR="00101859" w:rsidRDefault="00101859" w:rsidP="00101859">
      <w:pPr>
        <w:pStyle w:val="APA"/>
      </w:pPr>
    </w:p>
    <w:p w14:paraId="46EA1D11" w14:textId="77777777" w:rsidR="00F71E4B" w:rsidRDefault="00F71E4B" w:rsidP="00101859">
      <w:pPr>
        <w:pStyle w:val="APA"/>
      </w:pPr>
    </w:p>
    <w:p w14:paraId="4E9C352D" w14:textId="77777777" w:rsidR="00005EC0" w:rsidRDefault="00005EC0" w:rsidP="00101859">
      <w:pPr>
        <w:pStyle w:val="APA"/>
      </w:pPr>
    </w:p>
    <w:p w14:paraId="73B65382" w14:textId="77777777" w:rsidR="00005EC0" w:rsidRDefault="00005EC0" w:rsidP="00101859">
      <w:pPr>
        <w:pStyle w:val="APA"/>
      </w:pPr>
    </w:p>
    <w:p w14:paraId="34AE929F" w14:textId="77777777" w:rsidR="00005EC0" w:rsidRDefault="00005EC0" w:rsidP="00101859">
      <w:pPr>
        <w:pStyle w:val="APA"/>
      </w:pPr>
    </w:p>
    <w:p w14:paraId="283BA2EC" w14:textId="77777777" w:rsidR="00005EC0" w:rsidRDefault="00005EC0" w:rsidP="00101859">
      <w:pPr>
        <w:pStyle w:val="APA"/>
      </w:pPr>
    </w:p>
    <w:p w14:paraId="12E60450" w14:textId="77777777" w:rsidR="00005EC0" w:rsidRDefault="00005EC0" w:rsidP="00101859">
      <w:pPr>
        <w:pStyle w:val="APA"/>
      </w:pPr>
    </w:p>
    <w:p w14:paraId="1D403CF8" w14:textId="77777777" w:rsidR="00005EC0" w:rsidRDefault="00005EC0" w:rsidP="00101859">
      <w:pPr>
        <w:pStyle w:val="APA"/>
      </w:pPr>
    </w:p>
    <w:p w14:paraId="446FA9A5" w14:textId="77777777" w:rsidR="00005EC0" w:rsidRDefault="00005EC0" w:rsidP="00101859">
      <w:pPr>
        <w:pStyle w:val="APA"/>
      </w:pPr>
    </w:p>
    <w:p w14:paraId="0ACBF796" w14:textId="77777777" w:rsidR="00005EC0" w:rsidRDefault="00005EC0" w:rsidP="00101859">
      <w:pPr>
        <w:pStyle w:val="APA"/>
      </w:pPr>
    </w:p>
    <w:p w14:paraId="4DE5E466" w14:textId="77777777" w:rsidR="00005EC0" w:rsidRDefault="00005EC0" w:rsidP="00101859">
      <w:pPr>
        <w:pStyle w:val="APA"/>
      </w:pPr>
    </w:p>
    <w:p w14:paraId="0777EBA9" w14:textId="77777777" w:rsidR="00005EC0" w:rsidRDefault="00005EC0" w:rsidP="00101859">
      <w:pPr>
        <w:pStyle w:val="APA"/>
      </w:pPr>
    </w:p>
    <w:p w14:paraId="1E985444" w14:textId="77777777" w:rsidR="00005EC0" w:rsidRDefault="00005EC0" w:rsidP="00101859">
      <w:pPr>
        <w:pStyle w:val="APA"/>
      </w:pPr>
    </w:p>
    <w:p w14:paraId="54E56C13" w14:textId="77777777" w:rsidR="00005EC0" w:rsidRDefault="00005EC0" w:rsidP="00101859">
      <w:pPr>
        <w:pStyle w:val="APA"/>
      </w:pPr>
    </w:p>
    <w:p w14:paraId="006FF7A9" w14:textId="77777777" w:rsidR="00005EC0" w:rsidRDefault="00005EC0" w:rsidP="00101859">
      <w:pPr>
        <w:pStyle w:val="APA"/>
      </w:pPr>
    </w:p>
    <w:p w14:paraId="627CD14E" w14:textId="77777777" w:rsidR="00005EC0" w:rsidRDefault="00005EC0" w:rsidP="00101859">
      <w:pPr>
        <w:pStyle w:val="APA"/>
      </w:pPr>
    </w:p>
    <w:p w14:paraId="42AE4448" w14:textId="77777777" w:rsidR="00005EC0" w:rsidRDefault="00005EC0" w:rsidP="00005EC0">
      <w:pPr>
        <w:pStyle w:val="APA"/>
        <w:ind w:firstLine="0"/>
        <w:jc w:val="center"/>
      </w:pPr>
      <w:r>
        <w:lastRenderedPageBreak/>
        <w:t>Dedication</w:t>
      </w:r>
    </w:p>
    <w:p w14:paraId="18A7F699" w14:textId="0C317954" w:rsidR="00005EC0" w:rsidRDefault="00B452FA" w:rsidP="00101859">
      <w:pPr>
        <w:pStyle w:val="APA"/>
      </w:pPr>
      <w:r>
        <w:t xml:space="preserve">I dedicate this DNP project to my parents Carl and Bernice Stanek who always believed in higher education and encouraged </w:t>
      </w:r>
      <w:r w:rsidR="005370DC">
        <w:t>all</w:t>
      </w:r>
      <w:r>
        <w:t xml:space="preserve"> their children to pursue achievements to their highest abilities. I also dedicate this project to my wonderful children, Seth and Sara, who gave me the reason to pursue a doctorate degree and were my biggest fans, cheerleaders and overall support.</w:t>
      </w:r>
    </w:p>
    <w:p w14:paraId="7EAC04F9" w14:textId="77777777" w:rsidR="00005EC0" w:rsidRDefault="00005EC0" w:rsidP="00101859">
      <w:pPr>
        <w:pStyle w:val="APA"/>
      </w:pPr>
    </w:p>
    <w:p w14:paraId="0C87F4BE" w14:textId="77777777" w:rsidR="00F71E4B" w:rsidRDefault="00F71E4B" w:rsidP="00101859">
      <w:pPr>
        <w:pStyle w:val="APA"/>
      </w:pPr>
    </w:p>
    <w:p w14:paraId="641015D2" w14:textId="77777777" w:rsidR="00EA1D83" w:rsidRDefault="00EA1D83" w:rsidP="00EA1D83">
      <w:pPr>
        <w:pStyle w:val="APA"/>
      </w:pPr>
    </w:p>
    <w:p w14:paraId="6599EEFD" w14:textId="77777777" w:rsidR="00EA1D83" w:rsidRDefault="00EA1D83" w:rsidP="0014356D">
      <w:pPr>
        <w:pStyle w:val="APA"/>
        <w:sectPr w:rsidR="00EA1D83" w:rsidSect="00962B76">
          <w:headerReference w:type="default" r:id="rId8"/>
          <w:headerReference w:type="first" r:id="rId9"/>
          <w:pgSz w:w="12240" w:h="15840" w:code="1"/>
          <w:pgMar w:top="1440" w:right="1440" w:bottom="1440" w:left="1440" w:header="720" w:footer="720" w:gutter="0"/>
          <w:cols w:space="720"/>
          <w:titlePg/>
          <w:docGrid w:linePitch="360"/>
        </w:sectPr>
      </w:pPr>
    </w:p>
    <w:p w14:paraId="22855C01" w14:textId="75A5B8FC" w:rsidR="0056709D" w:rsidRDefault="0056709D" w:rsidP="0056709D">
      <w:pPr>
        <w:pStyle w:val="APA"/>
        <w:ind w:firstLine="0"/>
        <w:jc w:val="center"/>
      </w:pPr>
      <w:r>
        <w:lastRenderedPageBreak/>
        <w:t>Abstract</w:t>
      </w:r>
    </w:p>
    <w:p w14:paraId="71B681D2" w14:textId="196EB4BF" w:rsidR="00B452FA" w:rsidRDefault="00E4025C" w:rsidP="000470E1">
      <w:pPr>
        <w:pStyle w:val="APA"/>
        <w:ind w:firstLine="0"/>
      </w:pPr>
      <w:r>
        <w:rPr>
          <w:szCs w:val="24"/>
        </w:rPr>
        <w:t xml:space="preserve">Lesbian, gay, bisexual, transgender, and/or queer (LGBTQ) </w:t>
      </w:r>
      <w:r w:rsidR="00B452FA" w:rsidRPr="00576A7B">
        <w:rPr>
          <w:szCs w:val="24"/>
        </w:rPr>
        <w:t>person</w:t>
      </w:r>
      <w:r w:rsidR="00B452FA">
        <w:rPr>
          <w:szCs w:val="24"/>
        </w:rPr>
        <w:t xml:space="preserve">s are at risk for discrimination in the healthcare setting. Lack of education for healthcare providers on use of inclusive language and terminology is seen as a barrier in providing a safe environment for this vulnerable population. The purpose of this quality improvement project was to increase use of inclusive language and understanding of terminology by implementing an evidenced-based education module to nursing staff in an inpatient hospice setting. A one-hour CNE education module was developed and provided to 22 nurses and nursing assistants.  The module was </w:t>
      </w:r>
      <w:r w:rsidR="005860C9">
        <w:rPr>
          <w:szCs w:val="24"/>
        </w:rPr>
        <w:t>conducted through a face-to-face instruction</w:t>
      </w:r>
      <w:r w:rsidR="00B452FA">
        <w:rPr>
          <w:szCs w:val="24"/>
        </w:rPr>
        <w:t xml:space="preserve"> </w:t>
      </w:r>
      <w:r w:rsidR="00C80B19">
        <w:rPr>
          <w:szCs w:val="24"/>
        </w:rPr>
        <w:t xml:space="preserve">using interactive methods. </w:t>
      </w:r>
      <w:r w:rsidR="00B452FA">
        <w:rPr>
          <w:szCs w:val="24"/>
        </w:rPr>
        <w:t xml:space="preserve"> An evaluation was completed through post</w:t>
      </w:r>
      <w:r>
        <w:rPr>
          <w:szCs w:val="24"/>
        </w:rPr>
        <w:t>-</w:t>
      </w:r>
      <w:r w:rsidR="00B452FA">
        <w:rPr>
          <w:szCs w:val="24"/>
        </w:rPr>
        <w:t xml:space="preserve"> survey immediately after the presentation. Anecdotal feedback was also solicited 4 weeks </w:t>
      </w:r>
      <w:r w:rsidR="003470FD">
        <w:rPr>
          <w:szCs w:val="24"/>
        </w:rPr>
        <w:t>post-education</w:t>
      </w:r>
      <w:r w:rsidR="00B452FA">
        <w:rPr>
          <w:szCs w:val="24"/>
        </w:rPr>
        <w:t xml:space="preserve"> module. </w:t>
      </w:r>
      <w:r w:rsidR="00F43049">
        <w:rPr>
          <w:szCs w:val="24"/>
        </w:rPr>
        <w:t xml:space="preserve">Patterns from the evaluations and anecdotal notes were analyzed.  </w:t>
      </w:r>
      <w:r>
        <w:rPr>
          <w:szCs w:val="24"/>
        </w:rPr>
        <w:t xml:space="preserve">Ninety-five percent of the attendees stated they were likely to implement inclusive language into practice. </w:t>
      </w:r>
      <w:r w:rsidR="00F43049">
        <w:rPr>
          <w:szCs w:val="24"/>
        </w:rPr>
        <w:t xml:space="preserve"> </w:t>
      </w:r>
      <w:r w:rsidR="00B452FA">
        <w:rPr>
          <w:szCs w:val="24"/>
        </w:rPr>
        <w:t xml:space="preserve"> </w:t>
      </w:r>
      <w:r w:rsidR="00F43049">
        <w:rPr>
          <w:szCs w:val="24"/>
        </w:rPr>
        <w:t xml:space="preserve">Patterns revealed </w:t>
      </w:r>
      <w:r w:rsidR="00B452FA">
        <w:rPr>
          <w:szCs w:val="24"/>
        </w:rPr>
        <w:t>three types of awareness</w:t>
      </w:r>
      <w:r w:rsidR="00142863">
        <w:rPr>
          <w:szCs w:val="24"/>
        </w:rPr>
        <w:t>:</w:t>
      </w:r>
      <w:r w:rsidR="00B452FA">
        <w:rPr>
          <w:szCs w:val="24"/>
        </w:rPr>
        <w:t xml:space="preserve"> self, intellectual, and perceptual</w:t>
      </w:r>
      <w:r w:rsidR="00142863">
        <w:rPr>
          <w:szCs w:val="24"/>
        </w:rPr>
        <w:t>. These three types of awareness</w:t>
      </w:r>
      <w:r w:rsidR="00F43049">
        <w:rPr>
          <w:szCs w:val="24"/>
        </w:rPr>
        <w:t xml:space="preserve"> represent</w:t>
      </w:r>
      <w:r w:rsidR="00142863">
        <w:rPr>
          <w:szCs w:val="24"/>
        </w:rPr>
        <w:t>ed</w:t>
      </w:r>
      <w:r w:rsidR="00F43049">
        <w:rPr>
          <w:szCs w:val="24"/>
        </w:rPr>
        <w:t xml:space="preserve"> </w:t>
      </w:r>
      <w:r w:rsidR="004C3277">
        <w:rPr>
          <w:szCs w:val="24"/>
        </w:rPr>
        <w:t>an overall recognition of the importance to intentionally use inclusive language to create a safe space</w:t>
      </w:r>
      <w:r w:rsidR="008E028A">
        <w:rPr>
          <w:szCs w:val="24"/>
        </w:rPr>
        <w:t xml:space="preserve"> for LGBTQ persons</w:t>
      </w:r>
      <w:r w:rsidR="004C3277">
        <w:rPr>
          <w:szCs w:val="24"/>
        </w:rPr>
        <w:t xml:space="preserve">. </w:t>
      </w:r>
      <w:r w:rsidR="00B452FA">
        <w:rPr>
          <w:szCs w:val="24"/>
        </w:rPr>
        <w:t>The project was impactful as it was the first-time education on LGBTQ was presented at the organization. The project has been expanded into interprofessional education and has allowed for open discussion</w:t>
      </w:r>
      <w:r w:rsidR="00C322DE">
        <w:rPr>
          <w:szCs w:val="24"/>
        </w:rPr>
        <w:t xml:space="preserve"> within the organization</w:t>
      </w:r>
      <w:r w:rsidR="00B452FA">
        <w:rPr>
          <w:szCs w:val="24"/>
        </w:rPr>
        <w:t xml:space="preserve"> in providing holistic care to LGBTQ persons at end of life.</w:t>
      </w:r>
    </w:p>
    <w:p w14:paraId="5D21DAA5" w14:textId="77777777" w:rsidR="00005EC0" w:rsidRDefault="00005EC0" w:rsidP="0056709D">
      <w:pPr>
        <w:pStyle w:val="APA"/>
        <w:ind w:firstLine="0"/>
      </w:pPr>
    </w:p>
    <w:p w14:paraId="66EF7575" w14:textId="77777777" w:rsidR="00005EC0" w:rsidRDefault="00005EC0" w:rsidP="0056709D">
      <w:pPr>
        <w:pStyle w:val="APA"/>
        <w:ind w:firstLine="0"/>
      </w:pPr>
    </w:p>
    <w:p w14:paraId="1C34A733" w14:textId="5D12EE82" w:rsidR="00F87D9A" w:rsidRPr="00F87D9A" w:rsidRDefault="00876799" w:rsidP="0056709D">
      <w:pPr>
        <w:pStyle w:val="APA"/>
        <w:ind w:firstLine="0"/>
      </w:pPr>
      <w:r w:rsidRPr="00005EC0">
        <w:rPr>
          <w:i/>
        </w:rPr>
        <w:t>Key words</w:t>
      </w:r>
      <w:r>
        <w:t xml:space="preserve">: </w:t>
      </w:r>
      <w:r w:rsidR="000470E1">
        <w:t xml:space="preserve">LGBT; LGBTQ; inclusive language; </w:t>
      </w:r>
      <w:r w:rsidR="00F9709F">
        <w:t xml:space="preserve">cultural sensitivity; cultural competence; </w:t>
      </w:r>
      <w:r w:rsidR="000470E1">
        <w:t>staff education; hospice</w:t>
      </w:r>
    </w:p>
    <w:p w14:paraId="7F583E32" w14:textId="77777777" w:rsidR="0014356D" w:rsidRDefault="0014356D" w:rsidP="00101859">
      <w:pPr>
        <w:pStyle w:val="APAAbstract"/>
        <w:ind w:firstLine="720"/>
      </w:pPr>
    </w:p>
    <w:p w14:paraId="0510EE50" w14:textId="77777777" w:rsidR="005C78DF" w:rsidRDefault="005C78DF" w:rsidP="0014356D">
      <w:pPr>
        <w:pStyle w:val="APAAbstract"/>
        <w:sectPr w:rsidR="005C78DF" w:rsidSect="0014356D">
          <w:headerReference w:type="first" r:id="rId10"/>
          <w:pgSz w:w="12240" w:h="15840" w:code="1"/>
          <w:pgMar w:top="1440" w:right="1440" w:bottom="1440" w:left="1440" w:header="720" w:footer="720" w:gutter="0"/>
          <w:cols w:space="720"/>
          <w:titlePg/>
          <w:docGrid w:linePitch="360"/>
        </w:sectPr>
      </w:pPr>
    </w:p>
    <w:p w14:paraId="7F583E33" w14:textId="51F152B2" w:rsidR="0014356D" w:rsidRPr="005C78DF" w:rsidRDefault="005C78DF" w:rsidP="004F3B06">
      <w:pPr>
        <w:pStyle w:val="APAAbstract"/>
        <w:jc w:val="center"/>
        <w:rPr>
          <w:b/>
        </w:rPr>
      </w:pPr>
      <w:r w:rsidRPr="005C78DF">
        <w:rPr>
          <w:b/>
        </w:rPr>
        <w:lastRenderedPageBreak/>
        <w:t>Table of Contents</w:t>
      </w:r>
    </w:p>
    <w:p w14:paraId="0510008A" w14:textId="7B76E8E5" w:rsidR="005C78DF" w:rsidRDefault="00256CD3" w:rsidP="004D4B90">
      <w:pPr>
        <w:pStyle w:val="APAAbstract"/>
        <w:tabs>
          <w:tab w:val="left" w:leader="dot" w:pos="8640"/>
        </w:tabs>
      </w:pPr>
      <w:r>
        <w:t>Acknowledgments</w:t>
      </w:r>
      <w:r w:rsidR="004D4B90">
        <w:tab/>
      </w:r>
      <w:r w:rsidR="005F0FDE">
        <w:t>2</w:t>
      </w:r>
    </w:p>
    <w:p w14:paraId="19FB44B1" w14:textId="1BD18637" w:rsidR="009D408B" w:rsidRDefault="009D408B" w:rsidP="004D4B90">
      <w:pPr>
        <w:pStyle w:val="APAAbstract"/>
        <w:tabs>
          <w:tab w:val="left" w:leader="dot" w:pos="8640"/>
        </w:tabs>
      </w:pPr>
      <w:r>
        <w:t>Dedication</w:t>
      </w:r>
      <w:r>
        <w:tab/>
      </w:r>
      <w:r w:rsidR="005F0FDE">
        <w:t>3</w:t>
      </w:r>
    </w:p>
    <w:p w14:paraId="0E8D86E4" w14:textId="5016AA8C" w:rsidR="00101859" w:rsidRDefault="00101859" w:rsidP="004D4B90">
      <w:pPr>
        <w:pStyle w:val="APAAbstract"/>
        <w:tabs>
          <w:tab w:val="left" w:leader="dot" w:pos="8640"/>
        </w:tabs>
      </w:pPr>
      <w:r>
        <w:t>Abstract</w:t>
      </w:r>
      <w:r w:rsidR="004D4B90">
        <w:tab/>
      </w:r>
      <w:r w:rsidR="005F0FDE">
        <w:t>4</w:t>
      </w:r>
    </w:p>
    <w:p w14:paraId="5EFA3163" w14:textId="10998A0A" w:rsidR="00101859" w:rsidRDefault="00101859" w:rsidP="004D4B90">
      <w:pPr>
        <w:pStyle w:val="APAAbstract"/>
        <w:tabs>
          <w:tab w:val="left" w:leader="dot" w:pos="8640"/>
        </w:tabs>
      </w:pPr>
      <w:r>
        <w:t>Chapter One:  Overview of the Problem of Interest</w:t>
      </w:r>
      <w:r w:rsidR="004D4B90">
        <w:tab/>
      </w:r>
      <w:r w:rsidR="00CE70E1">
        <w:t>10</w:t>
      </w:r>
    </w:p>
    <w:p w14:paraId="06D7DB90" w14:textId="6D51588E" w:rsidR="00101859" w:rsidRDefault="00101859" w:rsidP="009F5B0E">
      <w:pPr>
        <w:pStyle w:val="APAAbstract"/>
        <w:tabs>
          <w:tab w:val="left" w:leader="dot" w:pos="8640"/>
        </w:tabs>
        <w:ind w:firstLine="720"/>
      </w:pPr>
      <w:r>
        <w:t>Background</w:t>
      </w:r>
      <w:r w:rsidR="0089760D">
        <w:t xml:space="preserve"> Information</w:t>
      </w:r>
      <w:r w:rsidR="009F5B0E">
        <w:tab/>
      </w:r>
      <w:r w:rsidR="00CE70E1">
        <w:t>10</w:t>
      </w:r>
    </w:p>
    <w:p w14:paraId="00F861CE" w14:textId="64BF1EE5" w:rsidR="00101859" w:rsidRDefault="003615AD" w:rsidP="009F5B0E">
      <w:pPr>
        <w:pStyle w:val="APAAbstract"/>
        <w:tabs>
          <w:tab w:val="left" w:leader="dot" w:pos="8640"/>
        </w:tabs>
        <w:ind w:firstLine="720"/>
      </w:pPr>
      <w:r>
        <w:t xml:space="preserve">Significance </w:t>
      </w:r>
      <w:r w:rsidR="00016DB6">
        <w:t xml:space="preserve">of </w:t>
      </w:r>
      <w:r w:rsidR="004469E4">
        <w:t xml:space="preserve">Clinical </w:t>
      </w:r>
      <w:r>
        <w:t>P</w:t>
      </w:r>
      <w:r w:rsidR="00101859">
        <w:t>roblem</w:t>
      </w:r>
      <w:r w:rsidR="009F5B0E">
        <w:tab/>
      </w:r>
      <w:r w:rsidR="00CE70E1">
        <w:t>14</w:t>
      </w:r>
    </w:p>
    <w:p w14:paraId="79869F3B" w14:textId="131112D5" w:rsidR="00101859" w:rsidRDefault="003615AD" w:rsidP="009F5B0E">
      <w:pPr>
        <w:pStyle w:val="APAAbstract"/>
        <w:tabs>
          <w:tab w:val="left" w:leader="dot" w:pos="8640"/>
        </w:tabs>
        <w:ind w:firstLine="720"/>
      </w:pPr>
      <w:r>
        <w:t>Question Guiding I</w:t>
      </w:r>
      <w:r w:rsidR="00101859">
        <w:t>nquiry (PICO)</w:t>
      </w:r>
      <w:r w:rsidR="009F5B0E">
        <w:tab/>
      </w:r>
      <w:r w:rsidR="00CE70E1">
        <w:t>16</w:t>
      </w:r>
    </w:p>
    <w:p w14:paraId="5A5F6084" w14:textId="110C2E7A" w:rsidR="00101859" w:rsidRDefault="000E54FD" w:rsidP="00373614">
      <w:pPr>
        <w:pStyle w:val="APAAbstract"/>
        <w:tabs>
          <w:tab w:val="left" w:leader="dot" w:pos="8640"/>
        </w:tabs>
        <w:ind w:left="720" w:firstLine="720"/>
        <w:jc w:val="both"/>
      </w:pPr>
      <w:r>
        <w:t>Population</w:t>
      </w:r>
      <w:r w:rsidR="00373614">
        <w:tab/>
      </w:r>
      <w:r w:rsidR="00CE70E1">
        <w:t>16</w:t>
      </w:r>
    </w:p>
    <w:p w14:paraId="3B30E621" w14:textId="1B5FC189" w:rsidR="000E54FD" w:rsidRDefault="000E54FD" w:rsidP="000E54FD">
      <w:pPr>
        <w:pStyle w:val="APAAbstract"/>
        <w:tabs>
          <w:tab w:val="left" w:leader="dot" w:pos="8640"/>
        </w:tabs>
        <w:ind w:left="720" w:firstLine="720"/>
        <w:jc w:val="both"/>
      </w:pPr>
      <w:r>
        <w:t>Intervention</w:t>
      </w:r>
      <w:r>
        <w:tab/>
      </w:r>
      <w:r w:rsidR="00CE70E1">
        <w:t>16</w:t>
      </w:r>
    </w:p>
    <w:p w14:paraId="5DF9582D" w14:textId="4390559F" w:rsidR="000E54FD" w:rsidRDefault="000E54FD" w:rsidP="000E54FD">
      <w:pPr>
        <w:pStyle w:val="APAAbstract"/>
        <w:tabs>
          <w:tab w:val="left" w:leader="dot" w:pos="8640"/>
        </w:tabs>
        <w:ind w:left="720" w:firstLine="720"/>
        <w:jc w:val="both"/>
      </w:pPr>
      <w:r>
        <w:t>Comparison</w:t>
      </w:r>
      <w:r>
        <w:tab/>
      </w:r>
      <w:r w:rsidR="00CE70E1">
        <w:t>17</w:t>
      </w:r>
    </w:p>
    <w:p w14:paraId="41B8AE88" w14:textId="71B0DF2A" w:rsidR="000E54FD" w:rsidRDefault="000E54FD" w:rsidP="000E54FD">
      <w:pPr>
        <w:pStyle w:val="APAAbstract"/>
        <w:tabs>
          <w:tab w:val="left" w:leader="dot" w:pos="8640"/>
        </w:tabs>
        <w:ind w:left="720" w:firstLine="720"/>
        <w:jc w:val="both"/>
      </w:pPr>
      <w:r>
        <w:t>Outcome</w:t>
      </w:r>
      <w:r w:rsidR="00CE70E1">
        <w:t>s</w:t>
      </w:r>
      <w:r>
        <w:tab/>
      </w:r>
      <w:r w:rsidR="00CE70E1">
        <w:t>17</w:t>
      </w:r>
    </w:p>
    <w:p w14:paraId="5F6CB1C7" w14:textId="296E35BC" w:rsidR="00101859" w:rsidRDefault="00101859" w:rsidP="009F5B0E">
      <w:pPr>
        <w:pStyle w:val="APAAbstract"/>
        <w:tabs>
          <w:tab w:val="left" w:leader="dot" w:pos="8640"/>
        </w:tabs>
        <w:ind w:firstLine="720"/>
      </w:pPr>
      <w:r>
        <w:t>Summary</w:t>
      </w:r>
      <w:r w:rsidR="009F5B0E">
        <w:tab/>
      </w:r>
      <w:r w:rsidR="00CE70E1">
        <w:t>17</w:t>
      </w:r>
    </w:p>
    <w:p w14:paraId="1F07046B" w14:textId="0109E10E" w:rsidR="00101859" w:rsidRDefault="00101859" w:rsidP="004D4B90">
      <w:pPr>
        <w:pStyle w:val="APAAbstract"/>
        <w:tabs>
          <w:tab w:val="left" w:leader="dot" w:pos="8640"/>
        </w:tabs>
      </w:pPr>
      <w:r>
        <w:t xml:space="preserve">Chapter Two:  Review of the </w:t>
      </w:r>
      <w:r w:rsidR="00FE600D">
        <w:t xml:space="preserve">Literature </w:t>
      </w:r>
      <w:r>
        <w:t>Evidence</w:t>
      </w:r>
      <w:r w:rsidR="004D4B90">
        <w:tab/>
      </w:r>
      <w:r w:rsidR="00CE70E1">
        <w:t>1</w:t>
      </w:r>
      <w:r w:rsidR="00524CA6">
        <w:t>9</w:t>
      </w:r>
    </w:p>
    <w:p w14:paraId="241E4048" w14:textId="730B8FC7" w:rsidR="0008477E" w:rsidRDefault="0008477E" w:rsidP="0004644F">
      <w:pPr>
        <w:pStyle w:val="APAAbstract"/>
        <w:tabs>
          <w:tab w:val="left" w:leader="dot" w:pos="8640"/>
        </w:tabs>
        <w:ind w:firstLine="720"/>
      </w:pPr>
      <w:r>
        <w:t>Methodology</w:t>
      </w:r>
      <w:r w:rsidR="0004644F">
        <w:tab/>
      </w:r>
      <w:r w:rsidR="00CE70E1">
        <w:t>1</w:t>
      </w:r>
      <w:r w:rsidR="00524CA6">
        <w:t>9</w:t>
      </w:r>
    </w:p>
    <w:p w14:paraId="117BA1AF" w14:textId="1D97C041" w:rsidR="0008477E" w:rsidRDefault="00810054" w:rsidP="00373614">
      <w:pPr>
        <w:pStyle w:val="APAAbstract"/>
        <w:tabs>
          <w:tab w:val="left" w:leader="dot" w:pos="8640"/>
        </w:tabs>
        <w:ind w:left="720" w:firstLine="720"/>
        <w:jc w:val="both"/>
      </w:pPr>
      <w:r>
        <w:t>Sampling s</w:t>
      </w:r>
      <w:r w:rsidR="0008477E">
        <w:t>trategies</w:t>
      </w:r>
      <w:r w:rsidR="00373614">
        <w:tab/>
      </w:r>
      <w:r w:rsidR="00CE70E1">
        <w:t>1</w:t>
      </w:r>
      <w:r w:rsidR="00524CA6">
        <w:t>9</w:t>
      </w:r>
    </w:p>
    <w:p w14:paraId="441E6789" w14:textId="61B73F79" w:rsidR="00A51578" w:rsidRDefault="00C74F5B" w:rsidP="00373614">
      <w:pPr>
        <w:pStyle w:val="APAAbstract"/>
        <w:tabs>
          <w:tab w:val="left" w:leader="dot" w:pos="8640"/>
        </w:tabs>
        <w:ind w:left="720" w:firstLine="720"/>
        <w:jc w:val="both"/>
      </w:pPr>
      <w:r>
        <w:t>E</w:t>
      </w:r>
      <w:r w:rsidR="00A51578">
        <w:t>valuation</w:t>
      </w:r>
      <w:r>
        <w:t xml:space="preserve"> criteria</w:t>
      </w:r>
      <w:r w:rsidR="00373614">
        <w:tab/>
      </w:r>
      <w:r w:rsidR="00524CA6">
        <w:t>20</w:t>
      </w:r>
    </w:p>
    <w:p w14:paraId="41DF7B56" w14:textId="371EB85D" w:rsidR="00A51578" w:rsidRDefault="00A51578" w:rsidP="0004644F">
      <w:pPr>
        <w:pStyle w:val="APAAbstract"/>
        <w:tabs>
          <w:tab w:val="left" w:leader="dot" w:pos="8640"/>
        </w:tabs>
        <w:ind w:firstLine="720"/>
      </w:pPr>
      <w:r>
        <w:t>Literature Review Findings</w:t>
      </w:r>
      <w:r w:rsidR="0004644F">
        <w:tab/>
      </w:r>
      <w:r w:rsidR="00CE70E1">
        <w:t>20</w:t>
      </w:r>
    </w:p>
    <w:p w14:paraId="3BB36373" w14:textId="4E0AF832" w:rsidR="00370F73" w:rsidRDefault="008206C6" w:rsidP="00373614">
      <w:pPr>
        <w:pStyle w:val="APAAbstract"/>
        <w:tabs>
          <w:tab w:val="left" w:leader="dot" w:pos="8640"/>
        </w:tabs>
        <w:ind w:left="720" w:firstLine="720"/>
        <w:jc w:val="both"/>
      </w:pPr>
      <w:r w:rsidRPr="00745B12">
        <w:rPr>
          <w:szCs w:val="24"/>
        </w:rPr>
        <w:t>Perceptual barriers of LGBTQ individuals in seeking healthcare</w:t>
      </w:r>
      <w:r w:rsidR="00373614">
        <w:tab/>
      </w:r>
      <w:r>
        <w:t>2</w:t>
      </w:r>
      <w:r w:rsidR="00524CA6">
        <w:t>1</w:t>
      </w:r>
    </w:p>
    <w:p w14:paraId="3CC5ABA5" w14:textId="15E07DF1" w:rsidR="00370F73" w:rsidRDefault="008206C6" w:rsidP="00373614">
      <w:pPr>
        <w:pStyle w:val="APAAbstract"/>
        <w:tabs>
          <w:tab w:val="left" w:leader="dot" w:pos="8640"/>
        </w:tabs>
        <w:ind w:left="720" w:firstLine="720"/>
        <w:jc w:val="both"/>
      </w:pPr>
      <w:r w:rsidRPr="00745B12">
        <w:t>Provider barriers to provide culturally competent care</w:t>
      </w:r>
      <w:r w:rsidR="00373614">
        <w:tab/>
      </w:r>
      <w:r>
        <w:t>2</w:t>
      </w:r>
      <w:r w:rsidR="00524CA6">
        <w:t>2</w:t>
      </w:r>
    </w:p>
    <w:p w14:paraId="77297599" w14:textId="1A24F95C" w:rsidR="008206C6" w:rsidRDefault="008206C6" w:rsidP="00373614">
      <w:pPr>
        <w:pStyle w:val="APAAbstract"/>
        <w:tabs>
          <w:tab w:val="left" w:leader="dot" w:pos="8640"/>
        </w:tabs>
        <w:ind w:left="720" w:firstLine="720"/>
        <w:jc w:val="both"/>
      </w:pPr>
      <w:r w:rsidRPr="00745B12">
        <w:t xml:space="preserve">Organizational barriers for providing </w:t>
      </w:r>
      <w:r w:rsidR="00997FFD" w:rsidRPr="00745B12">
        <w:t>culturally</w:t>
      </w:r>
      <w:r w:rsidRPr="00745B12">
        <w:t xml:space="preserve"> competent care</w:t>
      </w:r>
      <w:r w:rsidRPr="008206C6">
        <w:t>………..</w:t>
      </w:r>
      <w:r>
        <w:t>.....</w:t>
      </w:r>
      <w:r w:rsidRPr="008206C6">
        <w:t>2</w:t>
      </w:r>
      <w:r w:rsidR="00524CA6">
        <w:t>3</w:t>
      </w:r>
    </w:p>
    <w:p w14:paraId="304C902C" w14:textId="5F950FAA" w:rsidR="008206C6" w:rsidRPr="00745B12" w:rsidRDefault="008206C6" w:rsidP="00373614">
      <w:pPr>
        <w:pStyle w:val="APAAbstract"/>
        <w:tabs>
          <w:tab w:val="left" w:leader="dot" w:pos="8640"/>
        </w:tabs>
        <w:ind w:left="720" w:firstLine="720"/>
        <w:jc w:val="both"/>
      </w:pPr>
      <w:r w:rsidRPr="00745B12">
        <w:rPr>
          <w:szCs w:val="24"/>
        </w:rPr>
        <w:t>Strategies for implementing cultural competency</w:t>
      </w:r>
      <w:r w:rsidRPr="008206C6">
        <w:rPr>
          <w:szCs w:val="24"/>
        </w:rPr>
        <w:t>……………………</w:t>
      </w:r>
      <w:r>
        <w:rPr>
          <w:szCs w:val="24"/>
        </w:rPr>
        <w:t>.........</w:t>
      </w:r>
      <w:r w:rsidRPr="008206C6">
        <w:rPr>
          <w:szCs w:val="24"/>
        </w:rPr>
        <w:t>24</w:t>
      </w:r>
    </w:p>
    <w:p w14:paraId="0650DAD3" w14:textId="77777777" w:rsidR="008206C6" w:rsidRPr="00745B12" w:rsidRDefault="008206C6" w:rsidP="00373614">
      <w:pPr>
        <w:pStyle w:val="APAAbstract"/>
        <w:tabs>
          <w:tab w:val="left" w:leader="dot" w:pos="8640"/>
        </w:tabs>
        <w:ind w:left="720" w:firstLine="720"/>
        <w:jc w:val="both"/>
      </w:pPr>
    </w:p>
    <w:p w14:paraId="181DD10E" w14:textId="6AA52A52" w:rsidR="00370F73" w:rsidRDefault="00370F73" w:rsidP="0004644F">
      <w:pPr>
        <w:pStyle w:val="APAAbstract"/>
        <w:tabs>
          <w:tab w:val="left" w:leader="dot" w:pos="8640"/>
        </w:tabs>
        <w:ind w:firstLine="720"/>
      </w:pPr>
      <w:r w:rsidRPr="00370F73">
        <w:lastRenderedPageBreak/>
        <w:t xml:space="preserve">Limitations </w:t>
      </w:r>
      <w:r w:rsidR="00257B3A">
        <w:t xml:space="preserve">of </w:t>
      </w:r>
      <w:r w:rsidR="00257B3A" w:rsidRPr="00257B3A">
        <w:rPr>
          <w:szCs w:val="24"/>
        </w:rPr>
        <w:t>Literature Review Process</w:t>
      </w:r>
      <w:r w:rsidR="0004644F">
        <w:tab/>
      </w:r>
      <w:r w:rsidR="008206C6">
        <w:t>2</w:t>
      </w:r>
      <w:r w:rsidR="00524CA6">
        <w:t>7</w:t>
      </w:r>
    </w:p>
    <w:p w14:paraId="2F3B4FA0" w14:textId="0993F7A6" w:rsidR="008374CE" w:rsidRDefault="007525AF" w:rsidP="008374CE">
      <w:pPr>
        <w:pStyle w:val="APAAbstract"/>
        <w:tabs>
          <w:tab w:val="left" w:leader="dot" w:pos="8640"/>
        </w:tabs>
        <w:ind w:firstLine="720"/>
      </w:pPr>
      <w:r>
        <w:t>Discussion</w:t>
      </w:r>
      <w:r w:rsidR="008374CE">
        <w:tab/>
      </w:r>
      <w:r w:rsidR="00E813C2">
        <w:t>27</w:t>
      </w:r>
    </w:p>
    <w:p w14:paraId="495A908A" w14:textId="0C90481E" w:rsidR="007525AF" w:rsidRDefault="007525AF" w:rsidP="007525AF">
      <w:pPr>
        <w:pStyle w:val="APAAbstract"/>
        <w:tabs>
          <w:tab w:val="left" w:leader="dot" w:pos="8640"/>
        </w:tabs>
        <w:ind w:left="720" w:firstLine="720"/>
        <w:jc w:val="both"/>
      </w:pPr>
      <w:r>
        <w:t>Conclusions of findings</w:t>
      </w:r>
      <w:r>
        <w:tab/>
      </w:r>
      <w:r w:rsidR="00E813C2">
        <w:t>27</w:t>
      </w:r>
    </w:p>
    <w:p w14:paraId="1CBE0E46" w14:textId="162B4BD7" w:rsidR="00370F73" w:rsidRDefault="003714B4" w:rsidP="00373614">
      <w:pPr>
        <w:pStyle w:val="APAAbstract"/>
        <w:tabs>
          <w:tab w:val="left" w:leader="dot" w:pos="8640"/>
        </w:tabs>
        <w:ind w:left="720" w:firstLine="720"/>
        <w:jc w:val="both"/>
      </w:pPr>
      <w:r>
        <w:t>Advantages and disadvantages of f</w:t>
      </w:r>
      <w:r w:rsidR="00370F73" w:rsidRPr="00370F73">
        <w:t>indings</w:t>
      </w:r>
      <w:r w:rsidR="00373614">
        <w:tab/>
      </w:r>
      <w:r w:rsidR="00E813C2">
        <w:t>28</w:t>
      </w:r>
    </w:p>
    <w:p w14:paraId="404957AE" w14:textId="5D557955" w:rsidR="00370F73" w:rsidRDefault="003714B4" w:rsidP="00373614">
      <w:pPr>
        <w:pStyle w:val="APAAbstract"/>
        <w:tabs>
          <w:tab w:val="left" w:leader="dot" w:pos="8640"/>
        </w:tabs>
        <w:ind w:left="720" w:firstLine="720"/>
        <w:jc w:val="both"/>
      </w:pPr>
      <w:r>
        <w:t xml:space="preserve">Utilization </w:t>
      </w:r>
      <w:r w:rsidR="00257B3A">
        <w:t xml:space="preserve">of findings </w:t>
      </w:r>
      <w:r>
        <w:t>in p</w:t>
      </w:r>
      <w:r w:rsidR="00370F73" w:rsidRPr="00370F73">
        <w:t>ractice</w:t>
      </w:r>
      <w:r w:rsidR="00373614">
        <w:tab/>
      </w:r>
      <w:r w:rsidR="00E813C2">
        <w:t>2</w:t>
      </w:r>
      <w:r w:rsidR="00524CA6">
        <w:t>9</w:t>
      </w:r>
    </w:p>
    <w:p w14:paraId="2B65DA75" w14:textId="331CA126" w:rsidR="00370F73" w:rsidRDefault="00370F73" w:rsidP="0004644F">
      <w:pPr>
        <w:pStyle w:val="APAAbstract"/>
        <w:tabs>
          <w:tab w:val="left" w:leader="dot" w:pos="8640"/>
        </w:tabs>
        <w:ind w:firstLine="720"/>
      </w:pPr>
      <w:r>
        <w:t>Summary</w:t>
      </w:r>
      <w:r w:rsidR="0004644F">
        <w:tab/>
      </w:r>
      <w:r w:rsidR="00524CA6">
        <w:t>30</w:t>
      </w:r>
    </w:p>
    <w:p w14:paraId="5646FF1C" w14:textId="6C5EFE87" w:rsidR="00F0408E" w:rsidRDefault="00F0408E" w:rsidP="0004644F">
      <w:pPr>
        <w:pStyle w:val="APAAbstract"/>
        <w:tabs>
          <w:tab w:val="left" w:leader="dot" w:pos="8640"/>
        </w:tabs>
      </w:pPr>
      <w:r>
        <w:t xml:space="preserve">Chapter Three:  </w:t>
      </w:r>
      <w:r w:rsidRPr="00F0408E">
        <w:t>Theory and Concept Model for Evidence-based Practice</w:t>
      </w:r>
      <w:r w:rsidR="0004644F">
        <w:tab/>
      </w:r>
      <w:r w:rsidR="00524CA6">
        <w:t>31</w:t>
      </w:r>
    </w:p>
    <w:p w14:paraId="24AF3B36" w14:textId="13576513" w:rsidR="00F0408E" w:rsidRDefault="00F0408E" w:rsidP="0004644F">
      <w:pPr>
        <w:pStyle w:val="APAAbstract"/>
        <w:tabs>
          <w:tab w:val="left" w:leader="dot" w:pos="8640"/>
        </w:tabs>
        <w:ind w:firstLine="720"/>
      </w:pPr>
      <w:r>
        <w:t>Concept</w:t>
      </w:r>
      <w:r w:rsidR="009A2D87">
        <w:t xml:space="preserve"> Analysis</w:t>
      </w:r>
      <w:r w:rsidR="0004644F">
        <w:tab/>
      </w:r>
      <w:r w:rsidR="00E813C2">
        <w:t>3</w:t>
      </w:r>
      <w:r w:rsidR="00524CA6">
        <w:t>1</w:t>
      </w:r>
    </w:p>
    <w:p w14:paraId="5247E579" w14:textId="1ACD5043" w:rsidR="00F0408E" w:rsidRDefault="00F0408E" w:rsidP="0004644F">
      <w:pPr>
        <w:pStyle w:val="APAAbstract"/>
        <w:tabs>
          <w:tab w:val="left" w:leader="dot" w:pos="8640"/>
        </w:tabs>
        <w:ind w:firstLine="720"/>
      </w:pPr>
      <w:r>
        <w:t>Theoretical Framework</w:t>
      </w:r>
      <w:r w:rsidR="0004644F">
        <w:tab/>
      </w:r>
      <w:r w:rsidR="00E813C2">
        <w:t>3</w:t>
      </w:r>
      <w:r w:rsidR="00524CA6">
        <w:t>2</w:t>
      </w:r>
    </w:p>
    <w:p w14:paraId="630CCFFD" w14:textId="518CE352" w:rsidR="005D7E20" w:rsidRDefault="005D7E20" w:rsidP="005D7E20">
      <w:pPr>
        <w:pStyle w:val="APAAbstract"/>
        <w:tabs>
          <w:tab w:val="left" w:leader="dot" w:pos="8640"/>
        </w:tabs>
        <w:ind w:left="720" w:firstLine="720"/>
        <w:jc w:val="both"/>
      </w:pPr>
      <w:r w:rsidRPr="00F0408E">
        <w:t xml:space="preserve">Application </w:t>
      </w:r>
      <w:r w:rsidR="009209ED">
        <w:t xml:space="preserve">to </w:t>
      </w:r>
      <w:r w:rsidR="003C5117" w:rsidRPr="003C5117">
        <w:t>practice change</w:t>
      </w:r>
      <w:r>
        <w:tab/>
      </w:r>
      <w:r w:rsidR="00E813C2">
        <w:t>3</w:t>
      </w:r>
      <w:r w:rsidR="00524CA6">
        <w:t>4</w:t>
      </w:r>
    </w:p>
    <w:p w14:paraId="1FC3222B" w14:textId="24F9977C" w:rsidR="00F0408E" w:rsidRDefault="00F0408E" w:rsidP="0004644F">
      <w:pPr>
        <w:pStyle w:val="APAAbstract"/>
        <w:tabs>
          <w:tab w:val="left" w:leader="dot" w:pos="8640"/>
        </w:tabs>
        <w:ind w:firstLine="720"/>
      </w:pPr>
      <w:r w:rsidRPr="00F0408E">
        <w:t>Evidence-Based Practice Change Theory</w:t>
      </w:r>
      <w:r w:rsidR="0004644F">
        <w:tab/>
      </w:r>
      <w:r w:rsidR="00E813C2">
        <w:t>3</w:t>
      </w:r>
      <w:r w:rsidR="00524CA6">
        <w:t>5</w:t>
      </w:r>
    </w:p>
    <w:p w14:paraId="300D44D3" w14:textId="16352998" w:rsidR="00F0408E" w:rsidRDefault="00F0408E" w:rsidP="00373614">
      <w:pPr>
        <w:pStyle w:val="APAAbstract"/>
        <w:tabs>
          <w:tab w:val="left" w:leader="dot" w:pos="8640"/>
        </w:tabs>
        <w:ind w:left="720" w:firstLine="720"/>
        <w:jc w:val="both"/>
      </w:pPr>
      <w:r w:rsidRPr="00F0408E">
        <w:t xml:space="preserve">Application </w:t>
      </w:r>
      <w:r w:rsidR="009209ED">
        <w:t xml:space="preserve">to </w:t>
      </w:r>
      <w:r w:rsidR="003C5117" w:rsidRPr="003C5117">
        <w:t>practice change</w:t>
      </w:r>
      <w:r w:rsidR="00373614">
        <w:tab/>
      </w:r>
      <w:r w:rsidR="00E813C2">
        <w:t>3</w:t>
      </w:r>
      <w:r w:rsidR="00524CA6">
        <w:t>7</w:t>
      </w:r>
    </w:p>
    <w:p w14:paraId="7F369996" w14:textId="3BDE5CB1" w:rsidR="00F0408E" w:rsidRDefault="00F0408E" w:rsidP="009D295C">
      <w:pPr>
        <w:pStyle w:val="APAAbstract"/>
        <w:tabs>
          <w:tab w:val="left" w:leader="dot" w:pos="8640"/>
        </w:tabs>
        <w:ind w:firstLine="720"/>
      </w:pPr>
      <w:r>
        <w:t>Summary</w:t>
      </w:r>
      <w:r w:rsidR="009D295C">
        <w:tab/>
      </w:r>
      <w:r w:rsidR="00E813C2">
        <w:t>3</w:t>
      </w:r>
      <w:r w:rsidR="002B74DF">
        <w:t>8</w:t>
      </w:r>
    </w:p>
    <w:p w14:paraId="50CBA929" w14:textId="0408E03C" w:rsidR="00BA26A5" w:rsidRDefault="00820BA3" w:rsidP="004D4B90">
      <w:pPr>
        <w:pStyle w:val="APAAbstract"/>
        <w:tabs>
          <w:tab w:val="left" w:leader="dot" w:pos="8640"/>
        </w:tabs>
      </w:pPr>
      <w:r>
        <w:t>Chapter Four:  Pre-i</w:t>
      </w:r>
      <w:r w:rsidR="00BA26A5">
        <w:t>mplementation Plan</w:t>
      </w:r>
      <w:r w:rsidR="00BE1FB8">
        <w:tab/>
      </w:r>
      <w:r w:rsidR="00524CA6">
        <w:t>40</w:t>
      </w:r>
    </w:p>
    <w:p w14:paraId="494D1F54" w14:textId="638EFDA4" w:rsidR="00BA26A5" w:rsidRDefault="00E96B53" w:rsidP="00373614">
      <w:pPr>
        <w:pStyle w:val="APAAbstract"/>
        <w:tabs>
          <w:tab w:val="left" w:leader="dot" w:pos="8640"/>
        </w:tabs>
        <w:ind w:firstLine="720"/>
      </w:pPr>
      <w:r>
        <w:t xml:space="preserve">Project </w:t>
      </w:r>
      <w:r w:rsidR="00BA26A5">
        <w:t>Purpose</w:t>
      </w:r>
      <w:r w:rsidR="00373614">
        <w:tab/>
      </w:r>
      <w:r w:rsidR="00524CA6">
        <w:t>40</w:t>
      </w:r>
    </w:p>
    <w:p w14:paraId="68BA3371" w14:textId="7FA55DFB" w:rsidR="00BA26A5" w:rsidRDefault="00BA26A5" w:rsidP="00373614">
      <w:pPr>
        <w:pStyle w:val="APAAbstract"/>
        <w:tabs>
          <w:tab w:val="left" w:leader="dot" w:pos="8640"/>
        </w:tabs>
        <w:ind w:firstLine="720"/>
      </w:pPr>
      <w:r>
        <w:t>Project Management</w:t>
      </w:r>
      <w:r w:rsidR="00373614">
        <w:tab/>
      </w:r>
      <w:r w:rsidR="00524CA6">
        <w:t>40</w:t>
      </w:r>
    </w:p>
    <w:p w14:paraId="1A443156" w14:textId="06136B7C" w:rsidR="00BA26A5" w:rsidRDefault="003714B4" w:rsidP="00E61B28">
      <w:pPr>
        <w:pStyle w:val="APAAbstract"/>
        <w:tabs>
          <w:tab w:val="left" w:leader="dot" w:pos="8640"/>
        </w:tabs>
        <w:ind w:left="720" w:firstLine="720"/>
        <w:jc w:val="both"/>
      </w:pPr>
      <w:r>
        <w:t>Organizational readiness for c</w:t>
      </w:r>
      <w:r w:rsidR="00BA26A5">
        <w:t>hange</w:t>
      </w:r>
      <w:r w:rsidR="00E61B28">
        <w:tab/>
      </w:r>
      <w:r w:rsidR="00524CA6">
        <w:t>40</w:t>
      </w:r>
    </w:p>
    <w:p w14:paraId="41EAE42E" w14:textId="0B3B080B" w:rsidR="00BA26A5" w:rsidRDefault="009E04CE" w:rsidP="00E61B28">
      <w:pPr>
        <w:pStyle w:val="APAAbstract"/>
        <w:tabs>
          <w:tab w:val="left" w:leader="dot" w:pos="8640"/>
        </w:tabs>
        <w:ind w:left="720" w:firstLine="720"/>
        <w:jc w:val="both"/>
      </w:pPr>
      <w:r>
        <w:t>Interprofessional</w:t>
      </w:r>
      <w:r w:rsidR="000B1279">
        <w:t xml:space="preserve"> c</w:t>
      </w:r>
      <w:r w:rsidR="00BA26A5">
        <w:t>ollaboration</w:t>
      </w:r>
      <w:r w:rsidR="00E61B28">
        <w:tab/>
      </w:r>
      <w:r w:rsidR="00524CA6">
        <w:t>41</w:t>
      </w:r>
    </w:p>
    <w:p w14:paraId="79408ACF" w14:textId="72B04B36" w:rsidR="00BA26A5" w:rsidRDefault="003714B4" w:rsidP="00E61B28">
      <w:pPr>
        <w:pStyle w:val="APAAbstract"/>
        <w:tabs>
          <w:tab w:val="left" w:leader="dot" w:pos="8640"/>
        </w:tabs>
        <w:ind w:left="720" w:firstLine="720"/>
        <w:jc w:val="both"/>
      </w:pPr>
      <w:r>
        <w:t>Risk management a</w:t>
      </w:r>
      <w:r w:rsidR="00BA26A5">
        <w:t>ssessment</w:t>
      </w:r>
      <w:r w:rsidR="00E61B28">
        <w:tab/>
      </w:r>
      <w:r w:rsidR="00524CA6">
        <w:t>42</w:t>
      </w:r>
    </w:p>
    <w:p w14:paraId="662F6B7A" w14:textId="38970FAA" w:rsidR="00BA26A5" w:rsidRDefault="003714B4" w:rsidP="00E61B28">
      <w:pPr>
        <w:pStyle w:val="APAAbstract"/>
        <w:tabs>
          <w:tab w:val="left" w:leader="dot" w:pos="8640"/>
        </w:tabs>
        <w:ind w:left="720" w:firstLine="720"/>
        <w:jc w:val="both"/>
      </w:pPr>
      <w:r>
        <w:t>Organizational approval p</w:t>
      </w:r>
      <w:r w:rsidR="00BA26A5">
        <w:t>rocess</w:t>
      </w:r>
      <w:r w:rsidR="00E61B28">
        <w:tab/>
      </w:r>
      <w:r w:rsidR="00524CA6">
        <w:t>43</w:t>
      </w:r>
    </w:p>
    <w:p w14:paraId="4F0F5704" w14:textId="1640C567" w:rsidR="00BA26A5" w:rsidRDefault="003714B4" w:rsidP="00E61B28">
      <w:pPr>
        <w:pStyle w:val="APAAbstract"/>
        <w:tabs>
          <w:tab w:val="left" w:leader="dot" w:pos="8640"/>
        </w:tabs>
        <w:ind w:left="720" w:firstLine="720"/>
        <w:jc w:val="both"/>
      </w:pPr>
      <w:r>
        <w:t>Information t</w:t>
      </w:r>
      <w:r w:rsidR="00BA26A5">
        <w:t>echnology</w:t>
      </w:r>
      <w:r w:rsidR="00E61B28">
        <w:tab/>
      </w:r>
      <w:r w:rsidR="00E813C2">
        <w:t>4</w:t>
      </w:r>
      <w:r w:rsidR="00524CA6">
        <w:t>4</w:t>
      </w:r>
    </w:p>
    <w:p w14:paraId="7C984E1E" w14:textId="4DE1AF53" w:rsidR="00BA26A5" w:rsidRDefault="00FB06BB" w:rsidP="00373614">
      <w:pPr>
        <w:pStyle w:val="APAAbstract"/>
        <w:tabs>
          <w:tab w:val="left" w:leader="dot" w:pos="8640"/>
        </w:tabs>
        <w:ind w:firstLine="720"/>
      </w:pPr>
      <w:r>
        <w:t xml:space="preserve">Cost Analysis of </w:t>
      </w:r>
      <w:r w:rsidR="00BA26A5">
        <w:t>Materials Needed for Project</w:t>
      </w:r>
      <w:r w:rsidR="00373614">
        <w:tab/>
      </w:r>
      <w:r w:rsidR="00E813C2">
        <w:t>4</w:t>
      </w:r>
      <w:r w:rsidR="00524CA6">
        <w:t>4</w:t>
      </w:r>
    </w:p>
    <w:p w14:paraId="7AC793B9" w14:textId="660FD1C0" w:rsidR="00BA26A5" w:rsidRDefault="00BA26A5" w:rsidP="00373614">
      <w:pPr>
        <w:pStyle w:val="APAAbstract"/>
        <w:tabs>
          <w:tab w:val="left" w:leader="dot" w:pos="8640"/>
        </w:tabs>
        <w:ind w:firstLine="720"/>
      </w:pPr>
      <w:r>
        <w:t>Plans for Institutional Review Board Approval</w:t>
      </w:r>
      <w:r w:rsidR="00373614">
        <w:tab/>
      </w:r>
      <w:r w:rsidR="00E813C2">
        <w:t>4</w:t>
      </w:r>
      <w:r w:rsidR="00524CA6">
        <w:t>4</w:t>
      </w:r>
    </w:p>
    <w:p w14:paraId="2AB2A792" w14:textId="07EEA159" w:rsidR="00BA26A5" w:rsidRDefault="00BA26A5" w:rsidP="00373614">
      <w:pPr>
        <w:pStyle w:val="APAAbstract"/>
        <w:tabs>
          <w:tab w:val="left" w:leader="dot" w:pos="8640"/>
        </w:tabs>
        <w:ind w:firstLine="720"/>
      </w:pPr>
      <w:r>
        <w:lastRenderedPageBreak/>
        <w:t>Plan for Project Evaluation</w:t>
      </w:r>
      <w:r w:rsidR="00373614">
        <w:tab/>
      </w:r>
      <w:r w:rsidR="00E813C2">
        <w:t>4</w:t>
      </w:r>
      <w:r w:rsidR="00524CA6">
        <w:t>5</w:t>
      </w:r>
    </w:p>
    <w:p w14:paraId="075D4AFC" w14:textId="68B08AB4" w:rsidR="00BA26A5" w:rsidRDefault="00BA26A5" w:rsidP="00E61B28">
      <w:pPr>
        <w:pStyle w:val="APAAbstract"/>
        <w:tabs>
          <w:tab w:val="left" w:leader="dot" w:pos="8640"/>
        </w:tabs>
        <w:ind w:left="720" w:firstLine="720"/>
        <w:jc w:val="both"/>
      </w:pPr>
      <w:r>
        <w:t>Demographics</w:t>
      </w:r>
      <w:r w:rsidR="00E61B28">
        <w:tab/>
      </w:r>
      <w:r w:rsidR="000D6EBD">
        <w:t>4</w:t>
      </w:r>
      <w:r w:rsidR="00524CA6">
        <w:t>5</w:t>
      </w:r>
    </w:p>
    <w:p w14:paraId="1DC9D11E" w14:textId="57C5FE25" w:rsidR="00BA26A5" w:rsidRDefault="00CB42B2" w:rsidP="00E61B28">
      <w:pPr>
        <w:pStyle w:val="APAAbstract"/>
        <w:tabs>
          <w:tab w:val="left" w:leader="dot" w:pos="8640"/>
        </w:tabs>
        <w:ind w:left="720" w:firstLine="720"/>
        <w:jc w:val="both"/>
      </w:pPr>
      <w:r>
        <w:t>Outcome</w:t>
      </w:r>
      <w:r w:rsidR="003714B4">
        <w:t xml:space="preserve"> m</w:t>
      </w:r>
      <w:r w:rsidR="00BA26A5">
        <w:t>easurement</w:t>
      </w:r>
      <w:r w:rsidR="00524CA6">
        <w:t xml:space="preserve"> 1</w:t>
      </w:r>
      <w:r w:rsidR="00E61B28">
        <w:tab/>
      </w:r>
      <w:r w:rsidR="000D6EBD">
        <w:t>4</w:t>
      </w:r>
      <w:r w:rsidR="00524CA6">
        <w:t>5</w:t>
      </w:r>
    </w:p>
    <w:p w14:paraId="4BCAF5A2" w14:textId="61B3BAB7" w:rsidR="00BA26A5" w:rsidRDefault="006E3C89" w:rsidP="00E61B28">
      <w:pPr>
        <w:pStyle w:val="APAAbstract"/>
        <w:tabs>
          <w:tab w:val="left" w:leader="dot" w:pos="8640"/>
        </w:tabs>
        <w:ind w:left="1440" w:firstLine="720"/>
        <w:jc w:val="both"/>
      </w:pPr>
      <w:r>
        <w:t>Evaluation</w:t>
      </w:r>
      <w:r w:rsidR="003714B4">
        <w:t xml:space="preserve"> t</w:t>
      </w:r>
      <w:r w:rsidR="00BA26A5">
        <w:t>ool</w:t>
      </w:r>
      <w:r w:rsidR="00E61B28">
        <w:tab/>
      </w:r>
      <w:r w:rsidR="000D6EBD">
        <w:t>4</w:t>
      </w:r>
      <w:r w:rsidR="00524CA6">
        <w:t>5</w:t>
      </w:r>
    </w:p>
    <w:p w14:paraId="134B9E81" w14:textId="18C23EC0" w:rsidR="00524CA6" w:rsidRDefault="003714B4" w:rsidP="00E61B28">
      <w:pPr>
        <w:pStyle w:val="APAAbstract"/>
        <w:tabs>
          <w:tab w:val="left" w:leader="dot" w:pos="8640"/>
        </w:tabs>
        <w:ind w:left="1440" w:firstLine="720"/>
        <w:jc w:val="both"/>
      </w:pPr>
      <w:r>
        <w:t>Data a</w:t>
      </w:r>
      <w:r w:rsidR="00BA26A5">
        <w:t>nalysis</w:t>
      </w:r>
      <w:r w:rsidR="00E61B28">
        <w:tab/>
      </w:r>
      <w:r w:rsidR="000D6EBD">
        <w:t>4</w:t>
      </w:r>
      <w:r w:rsidR="00A84B26">
        <w:t>6</w:t>
      </w:r>
    </w:p>
    <w:p w14:paraId="58C50D69" w14:textId="6EEE1999" w:rsidR="00524CA6" w:rsidRDefault="00524CA6" w:rsidP="00524CA6">
      <w:pPr>
        <w:pStyle w:val="APAAbstract"/>
        <w:tabs>
          <w:tab w:val="left" w:leader="dot" w:pos="8640"/>
        </w:tabs>
        <w:ind w:left="720" w:firstLine="720"/>
        <w:jc w:val="both"/>
      </w:pPr>
      <w:r>
        <w:t>Outcome measurement 2</w:t>
      </w:r>
      <w:r>
        <w:tab/>
        <w:t>4</w:t>
      </w:r>
      <w:r w:rsidR="006D258A">
        <w:t>6</w:t>
      </w:r>
    </w:p>
    <w:p w14:paraId="1AA06983" w14:textId="688F4565" w:rsidR="00524CA6" w:rsidRDefault="00524CA6" w:rsidP="00524CA6">
      <w:pPr>
        <w:pStyle w:val="APAAbstract"/>
        <w:tabs>
          <w:tab w:val="left" w:leader="dot" w:pos="8640"/>
        </w:tabs>
        <w:ind w:left="1440" w:firstLine="720"/>
        <w:jc w:val="both"/>
      </w:pPr>
      <w:r>
        <w:t>Evaluation tool</w:t>
      </w:r>
      <w:r>
        <w:tab/>
        <w:t>46</w:t>
      </w:r>
    </w:p>
    <w:p w14:paraId="16FC7D71" w14:textId="3F58F838" w:rsidR="00524CA6" w:rsidRDefault="00524CA6" w:rsidP="00524CA6">
      <w:pPr>
        <w:pStyle w:val="APAAbstract"/>
        <w:tabs>
          <w:tab w:val="left" w:leader="dot" w:pos="8640"/>
        </w:tabs>
        <w:ind w:left="1440" w:firstLine="720"/>
        <w:jc w:val="both"/>
      </w:pPr>
      <w:r>
        <w:t>Data analysis</w:t>
      </w:r>
      <w:r>
        <w:tab/>
        <w:t>4</w:t>
      </w:r>
      <w:r w:rsidR="006D258A">
        <w:t>7</w:t>
      </w:r>
    </w:p>
    <w:p w14:paraId="5645ADB5" w14:textId="142FEF17" w:rsidR="00524CA6" w:rsidRDefault="00524CA6" w:rsidP="00524CA6">
      <w:pPr>
        <w:pStyle w:val="APAAbstract"/>
        <w:tabs>
          <w:tab w:val="left" w:leader="dot" w:pos="8640"/>
        </w:tabs>
        <w:ind w:left="720" w:firstLine="720"/>
        <w:jc w:val="both"/>
      </w:pPr>
      <w:r>
        <w:t>Outcome measurement 3</w:t>
      </w:r>
      <w:r>
        <w:tab/>
        <w:t>4</w:t>
      </w:r>
      <w:r w:rsidR="00DD6718">
        <w:t>7</w:t>
      </w:r>
    </w:p>
    <w:p w14:paraId="4A25E83F" w14:textId="0DF3F3E4" w:rsidR="00524CA6" w:rsidRDefault="00524CA6" w:rsidP="00524CA6">
      <w:pPr>
        <w:pStyle w:val="APAAbstract"/>
        <w:tabs>
          <w:tab w:val="left" w:leader="dot" w:pos="8640"/>
        </w:tabs>
        <w:ind w:left="1440" w:firstLine="720"/>
        <w:jc w:val="both"/>
      </w:pPr>
      <w:r>
        <w:t>Evaluation tool</w:t>
      </w:r>
      <w:r>
        <w:tab/>
        <w:t>4</w:t>
      </w:r>
      <w:r w:rsidR="00DD6718">
        <w:t>7</w:t>
      </w:r>
    </w:p>
    <w:p w14:paraId="2B4B9D84" w14:textId="53375D13" w:rsidR="00524CA6" w:rsidRDefault="00524CA6" w:rsidP="00524CA6">
      <w:pPr>
        <w:pStyle w:val="APAAbstract"/>
        <w:tabs>
          <w:tab w:val="left" w:leader="dot" w:pos="8640"/>
        </w:tabs>
        <w:ind w:left="1440" w:firstLine="720"/>
        <w:jc w:val="both"/>
      </w:pPr>
      <w:r>
        <w:t>Data analysis</w:t>
      </w:r>
      <w:r>
        <w:tab/>
        <w:t>4</w:t>
      </w:r>
      <w:r w:rsidR="006D258A">
        <w:t>8</w:t>
      </w:r>
    </w:p>
    <w:p w14:paraId="5B413896" w14:textId="4ADBE054" w:rsidR="00BA26A5" w:rsidRDefault="003714B4" w:rsidP="00E61B28">
      <w:pPr>
        <w:pStyle w:val="APAAbstract"/>
        <w:tabs>
          <w:tab w:val="left" w:leader="dot" w:pos="8640"/>
        </w:tabs>
        <w:ind w:left="720" w:firstLine="720"/>
        <w:jc w:val="both"/>
      </w:pPr>
      <w:r>
        <w:t>Data m</w:t>
      </w:r>
      <w:r w:rsidR="00BA26A5">
        <w:t>anagement</w:t>
      </w:r>
      <w:r w:rsidR="00E61B28">
        <w:tab/>
      </w:r>
      <w:r w:rsidR="000D6EBD">
        <w:t>4</w:t>
      </w:r>
      <w:r w:rsidR="00DD6718">
        <w:t>8</w:t>
      </w:r>
    </w:p>
    <w:p w14:paraId="5B89F8F9" w14:textId="7039D260" w:rsidR="00BA26A5" w:rsidRDefault="00BA26A5" w:rsidP="00373614">
      <w:pPr>
        <w:pStyle w:val="APAAbstract"/>
        <w:tabs>
          <w:tab w:val="left" w:leader="dot" w:pos="8640"/>
        </w:tabs>
        <w:ind w:firstLine="720"/>
      </w:pPr>
      <w:r>
        <w:t>Summary</w:t>
      </w:r>
      <w:r w:rsidR="00373614">
        <w:tab/>
      </w:r>
      <w:r w:rsidR="000D6EBD">
        <w:t>4</w:t>
      </w:r>
      <w:r w:rsidR="00DD6718">
        <w:t>8</w:t>
      </w:r>
    </w:p>
    <w:p w14:paraId="06D9E840" w14:textId="7548A13C" w:rsidR="009D3C3C" w:rsidRDefault="009D3C3C" w:rsidP="009D3C3C">
      <w:pPr>
        <w:pStyle w:val="APAAbstract"/>
        <w:tabs>
          <w:tab w:val="left" w:leader="dot" w:pos="8640"/>
        </w:tabs>
      </w:pPr>
      <w:r>
        <w:t>Chapter Five:  Implementation Process</w:t>
      </w:r>
      <w:r w:rsidR="006D503F">
        <w:tab/>
      </w:r>
      <w:r w:rsidR="000D6EBD">
        <w:t>4</w:t>
      </w:r>
      <w:r w:rsidR="00DD6718">
        <w:t>9</w:t>
      </w:r>
    </w:p>
    <w:p w14:paraId="5CD402B0" w14:textId="7E5E7E71" w:rsidR="006D503F" w:rsidRDefault="006D503F" w:rsidP="006D503F">
      <w:pPr>
        <w:pStyle w:val="APAAbstract"/>
        <w:tabs>
          <w:tab w:val="left" w:leader="dot" w:pos="8640"/>
        </w:tabs>
        <w:ind w:firstLine="720"/>
      </w:pPr>
      <w:r>
        <w:t>Setting</w:t>
      </w:r>
      <w:r>
        <w:tab/>
      </w:r>
      <w:r w:rsidR="000D6EBD">
        <w:t>4</w:t>
      </w:r>
      <w:r w:rsidR="00DD6718">
        <w:t>9</w:t>
      </w:r>
    </w:p>
    <w:p w14:paraId="74695126" w14:textId="3DA61E9C" w:rsidR="006D503F" w:rsidRDefault="005561B3" w:rsidP="006D503F">
      <w:pPr>
        <w:pStyle w:val="APAAbstract"/>
        <w:tabs>
          <w:tab w:val="left" w:leader="dot" w:pos="8640"/>
        </w:tabs>
        <w:ind w:firstLine="720"/>
      </w:pPr>
      <w:r>
        <w:t>Attendees</w:t>
      </w:r>
      <w:r w:rsidR="006D503F">
        <w:tab/>
      </w:r>
      <w:r w:rsidR="000D6EBD">
        <w:t>4</w:t>
      </w:r>
      <w:r w:rsidR="00DD6718">
        <w:t>9</w:t>
      </w:r>
    </w:p>
    <w:p w14:paraId="0EE73C4C" w14:textId="647C06CA" w:rsidR="006D503F" w:rsidRDefault="006D503F" w:rsidP="006D503F">
      <w:pPr>
        <w:pStyle w:val="APAAbstract"/>
        <w:tabs>
          <w:tab w:val="left" w:leader="dot" w:pos="8640"/>
        </w:tabs>
        <w:ind w:firstLine="720"/>
      </w:pPr>
      <w:r>
        <w:t>Recruitment</w:t>
      </w:r>
      <w:r>
        <w:tab/>
      </w:r>
      <w:r w:rsidR="000D6EBD">
        <w:t>4</w:t>
      </w:r>
      <w:r w:rsidR="00DD6718">
        <w:t>9</w:t>
      </w:r>
    </w:p>
    <w:p w14:paraId="5823D3AD" w14:textId="516D26C4" w:rsidR="006D503F" w:rsidRDefault="006D503F" w:rsidP="006D503F">
      <w:pPr>
        <w:pStyle w:val="APAAbstract"/>
        <w:tabs>
          <w:tab w:val="left" w:leader="dot" w:pos="8640"/>
        </w:tabs>
        <w:ind w:firstLine="720"/>
      </w:pPr>
      <w:r>
        <w:t>Implementation Process</w:t>
      </w:r>
      <w:r>
        <w:tab/>
      </w:r>
      <w:r w:rsidR="00DD6718">
        <w:t>50</w:t>
      </w:r>
    </w:p>
    <w:p w14:paraId="3870F832" w14:textId="1ABEACA1" w:rsidR="00E53258" w:rsidRDefault="000D6EBD" w:rsidP="00E53258">
      <w:pPr>
        <w:pStyle w:val="APAAbstract"/>
        <w:tabs>
          <w:tab w:val="left" w:leader="dot" w:pos="8640"/>
        </w:tabs>
        <w:ind w:left="720" w:firstLine="720"/>
        <w:jc w:val="both"/>
      </w:pPr>
      <w:r w:rsidRPr="00745B12">
        <w:t>Pre-Education module</w:t>
      </w:r>
      <w:r w:rsidR="00E53258">
        <w:tab/>
      </w:r>
      <w:r w:rsidR="00DD6718">
        <w:t>50</w:t>
      </w:r>
    </w:p>
    <w:p w14:paraId="77EBDB52" w14:textId="21323952" w:rsidR="000D6EBD" w:rsidRDefault="000D6EBD" w:rsidP="00E53258">
      <w:pPr>
        <w:pStyle w:val="APAAbstract"/>
        <w:tabs>
          <w:tab w:val="left" w:leader="dot" w:pos="8640"/>
        </w:tabs>
        <w:ind w:left="720" w:firstLine="720"/>
        <w:jc w:val="both"/>
      </w:pPr>
      <w:r w:rsidRPr="000D6EBD">
        <w:t>Education module……………………………………</w:t>
      </w:r>
      <w:r w:rsidR="0059482F" w:rsidRPr="000D6EBD">
        <w:t>…</w:t>
      </w:r>
      <w:r w:rsidR="0059482F">
        <w:t>.</w:t>
      </w:r>
      <w:r w:rsidRPr="000D6EBD">
        <w:t>………………</w:t>
      </w:r>
      <w:r w:rsidR="003D4FAA">
        <w:t xml:space="preserve">…. </w:t>
      </w:r>
      <w:r w:rsidR="00DD6718">
        <w:t>5</w:t>
      </w:r>
      <w:r w:rsidR="00D04218">
        <w:t>0</w:t>
      </w:r>
    </w:p>
    <w:p w14:paraId="49EB30A4" w14:textId="0913D735" w:rsidR="003D4FAA" w:rsidRDefault="003D4FAA" w:rsidP="006D503F">
      <w:pPr>
        <w:pStyle w:val="APAAbstract"/>
        <w:tabs>
          <w:tab w:val="left" w:leader="dot" w:pos="8640"/>
        </w:tabs>
        <w:ind w:firstLine="720"/>
      </w:pPr>
      <w:r>
        <w:t xml:space="preserve">           </w:t>
      </w:r>
      <w:r w:rsidR="000D6EBD" w:rsidRPr="00745B12">
        <w:t>Post-Education module……………………………………………………...</w:t>
      </w:r>
      <w:r w:rsidR="00524CA6">
        <w:t>5</w:t>
      </w:r>
      <w:r w:rsidR="00DD6718">
        <w:t>2</w:t>
      </w:r>
    </w:p>
    <w:p w14:paraId="61DD02FC" w14:textId="5933B444" w:rsidR="006D503F" w:rsidRDefault="006D503F" w:rsidP="006D503F">
      <w:pPr>
        <w:pStyle w:val="APAAbstract"/>
        <w:tabs>
          <w:tab w:val="left" w:leader="dot" w:pos="8640"/>
        </w:tabs>
        <w:ind w:firstLine="720"/>
      </w:pPr>
      <w:r>
        <w:t>Summary</w:t>
      </w:r>
      <w:r>
        <w:tab/>
      </w:r>
      <w:r w:rsidR="000D6EBD">
        <w:t>5</w:t>
      </w:r>
      <w:r w:rsidR="00DD6718">
        <w:t>2</w:t>
      </w:r>
    </w:p>
    <w:p w14:paraId="55B83D76" w14:textId="2F976E65" w:rsidR="002A4ACE" w:rsidRDefault="002A4ACE" w:rsidP="002A4ACE">
      <w:pPr>
        <w:pStyle w:val="APAAbstract"/>
        <w:tabs>
          <w:tab w:val="left" w:leader="dot" w:pos="8640"/>
        </w:tabs>
      </w:pPr>
      <w:r>
        <w:t>Chapter Six:  Evaluation of the Practice Change Initiative</w:t>
      </w:r>
      <w:r>
        <w:tab/>
      </w:r>
      <w:r w:rsidR="00DD6718">
        <w:t>53</w:t>
      </w:r>
    </w:p>
    <w:p w14:paraId="532F97BD" w14:textId="26343E8F" w:rsidR="002A4ACE" w:rsidRDefault="002A4ACE" w:rsidP="002A4ACE">
      <w:pPr>
        <w:pStyle w:val="APAAbstract"/>
        <w:tabs>
          <w:tab w:val="left" w:leader="dot" w:pos="8640"/>
        </w:tabs>
        <w:ind w:firstLine="720"/>
      </w:pPr>
      <w:r>
        <w:lastRenderedPageBreak/>
        <w:t>Participant Demographics</w:t>
      </w:r>
      <w:r>
        <w:tab/>
      </w:r>
      <w:r w:rsidR="00DD6718">
        <w:t>53</w:t>
      </w:r>
    </w:p>
    <w:p w14:paraId="2B9A036C" w14:textId="525FF5EC" w:rsidR="001F3428" w:rsidRDefault="001F3428" w:rsidP="001F3428">
      <w:pPr>
        <w:pStyle w:val="APAAbstract"/>
        <w:tabs>
          <w:tab w:val="left" w:leader="dot" w:pos="8640"/>
        </w:tabs>
        <w:ind w:firstLine="1440"/>
      </w:pPr>
      <w:r w:rsidRPr="00DD6718">
        <w:t xml:space="preserve">Figure </w:t>
      </w:r>
      <w:r w:rsidR="00DD6718" w:rsidRPr="00DD6718">
        <w:t>1</w:t>
      </w:r>
      <w:r>
        <w:tab/>
      </w:r>
      <w:r w:rsidR="00DD6718">
        <w:t>5</w:t>
      </w:r>
      <w:r w:rsidR="005B089D">
        <w:t>4</w:t>
      </w:r>
    </w:p>
    <w:p w14:paraId="61D6A70C" w14:textId="623D2481" w:rsidR="002A4ACE" w:rsidRDefault="002A4ACE" w:rsidP="002A4ACE">
      <w:pPr>
        <w:pStyle w:val="APAAbstract"/>
        <w:tabs>
          <w:tab w:val="left" w:leader="dot" w:pos="8640"/>
        </w:tabs>
        <w:ind w:firstLine="720"/>
      </w:pPr>
      <w:r>
        <w:t>Intended Outcome</w:t>
      </w:r>
      <w:r w:rsidR="00DD6718">
        <w:t>s</w:t>
      </w:r>
      <w:r>
        <w:tab/>
      </w:r>
      <w:r w:rsidR="00DD6718">
        <w:t>54</w:t>
      </w:r>
    </w:p>
    <w:p w14:paraId="06D2D091" w14:textId="13A79561" w:rsidR="002A4ACE" w:rsidRDefault="002A4ACE" w:rsidP="002A4ACE">
      <w:pPr>
        <w:pStyle w:val="APAAbstract"/>
        <w:tabs>
          <w:tab w:val="left" w:leader="dot" w:pos="8640"/>
        </w:tabs>
        <w:ind w:firstLine="720"/>
      </w:pPr>
      <w:r>
        <w:t>Findings</w:t>
      </w:r>
      <w:r>
        <w:tab/>
      </w:r>
      <w:r w:rsidR="005B089D">
        <w:t>55</w:t>
      </w:r>
    </w:p>
    <w:p w14:paraId="55FC328B" w14:textId="3F09BEA6" w:rsidR="008F2092" w:rsidRDefault="008F2092" w:rsidP="008F2092">
      <w:pPr>
        <w:pStyle w:val="APAAbstract"/>
        <w:tabs>
          <w:tab w:val="left" w:leader="dot" w:pos="8640"/>
        </w:tabs>
        <w:ind w:firstLine="1440"/>
      </w:pPr>
      <w:r w:rsidRPr="005B089D">
        <w:t xml:space="preserve">Figure </w:t>
      </w:r>
      <w:r w:rsidR="005B089D" w:rsidRPr="005B089D">
        <w:t>2</w:t>
      </w:r>
      <w:r>
        <w:tab/>
      </w:r>
      <w:r w:rsidR="005B089D">
        <w:t>57</w:t>
      </w:r>
    </w:p>
    <w:p w14:paraId="7CDBA3FF" w14:textId="0855BD0B" w:rsidR="006C186D" w:rsidRDefault="006C186D" w:rsidP="002A4ACE">
      <w:pPr>
        <w:pStyle w:val="APAAbstract"/>
        <w:tabs>
          <w:tab w:val="left" w:leader="dot" w:pos="8640"/>
        </w:tabs>
        <w:ind w:firstLine="720"/>
      </w:pPr>
      <w:r>
        <w:t>Summary</w:t>
      </w:r>
      <w:r>
        <w:tab/>
      </w:r>
      <w:r w:rsidR="005B089D">
        <w:t>59</w:t>
      </w:r>
    </w:p>
    <w:p w14:paraId="3D6603A7" w14:textId="42B543E7" w:rsidR="00902885" w:rsidRDefault="00902885" w:rsidP="00902885">
      <w:pPr>
        <w:pStyle w:val="APAAbstract"/>
        <w:tabs>
          <w:tab w:val="left" w:leader="dot" w:pos="8640"/>
        </w:tabs>
      </w:pPr>
      <w:r>
        <w:t>Chapter Seven:  Implications for Nursing Practice</w:t>
      </w:r>
      <w:r>
        <w:tab/>
      </w:r>
      <w:r w:rsidR="005B089D">
        <w:t>60</w:t>
      </w:r>
    </w:p>
    <w:p w14:paraId="7A8E7AC3" w14:textId="3EFACEFB" w:rsidR="00902885" w:rsidRDefault="00902885" w:rsidP="00902885">
      <w:pPr>
        <w:pStyle w:val="APAAbstract"/>
        <w:tabs>
          <w:tab w:val="left" w:leader="dot" w:pos="8640"/>
        </w:tabs>
        <w:ind w:firstLine="720"/>
      </w:pPr>
      <w:r>
        <w:t>Practice Implications</w:t>
      </w:r>
      <w:r>
        <w:tab/>
      </w:r>
      <w:r w:rsidR="005B089D">
        <w:t>60</w:t>
      </w:r>
    </w:p>
    <w:p w14:paraId="064A3597" w14:textId="1CBA9DF5" w:rsidR="00902885" w:rsidRDefault="00902885" w:rsidP="00902885">
      <w:pPr>
        <w:pStyle w:val="APAAbstract"/>
        <w:tabs>
          <w:tab w:val="left" w:leader="dot" w:pos="8640"/>
        </w:tabs>
        <w:ind w:firstLine="1440"/>
      </w:pPr>
      <w:r>
        <w:t>Essential I: Scientific underpinnings for practice</w:t>
      </w:r>
      <w:r>
        <w:tab/>
      </w:r>
      <w:r w:rsidR="005B089D">
        <w:t>6</w:t>
      </w:r>
      <w:r w:rsidR="003A287D">
        <w:t>0</w:t>
      </w:r>
    </w:p>
    <w:p w14:paraId="27BED57B" w14:textId="77777777" w:rsidR="007C3A26" w:rsidRDefault="00902885" w:rsidP="007C3A26">
      <w:pPr>
        <w:pStyle w:val="APAAbstract"/>
        <w:tabs>
          <w:tab w:val="left" w:leader="dot" w:pos="8640"/>
        </w:tabs>
        <w:spacing w:line="240" w:lineRule="auto"/>
        <w:ind w:firstLine="1440"/>
        <w:contextualSpacing/>
      </w:pPr>
      <w:r>
        <w:t>Essential II: Organization and systems leadership for quality</w:t>
      </w:r>
    </w:p>
    <w:p w14:paraId="37FD4360" w14:textId="4AF75ADE" w:rsidR="00902885" w:rsidRDefault="00902885" w:rsidP="007C3A26">
      <w:pPr>
        <w:pStyle w:val="APAAbstract"/>
        <w:tabs>
          <w:tab w:val="left" w:leader="dot" w:pos="8640"/>
        </w:tabs>
        <w:ind w:firstLine="1440"/>
        <w:contextualSpacing/>
      </w:pPr>
      <w:r>
        <w:t>improvement and systems thinking</w:t>
      </w:r>
      <w:r>
        <w:tab/>
      </w:r>
      <w:r w:rsidR="005B089D">
        <w:t>62</w:t>
      </w:r>
    </w:p>
    <w:p w14:paraId="4AD39D05" w14:textId="0E65C600" w:rsidR="008663E0" w:rsidRDefault="008663E0" w:rsidP="007C3A26">
      <w:pPr>
        <w:pStyle w:val="APAAbstract"/>
        <w:tabs>
          <w:tab w:val="left" w:leader="dot" w:pos="8640"/>
        </w:tabs>
        <w:ind w:firstLine="1440"/>
        <w:contextualSpacing/>
      </w:pPr>
      <w:r>
        <w:t>Essential III: Clinical scholarship and analytical methods for EBP</w:t>
      </w:r>
      <w:r>
        <w:tab/>
      </w:r>
      <w:r w:rsidR="005B089D">
        <w:t>64</w:t>
      </w:r>
    </w:p>
    <w:p w14:paraId="5C13DD55" w14:textId="77777777" w:rsidR="007C3A26" w:rsidRDefault="008663E0" w:rsidP="007C3A26">
      <w:pPr>
        <w:pStyle w:val="APAAbstract"/>
        <w:tabs>
          <w:tab w:val="left" w:leader="dot" w:pos="8640"/>
        </w:tabs>
        <w:spacing w:line="240" w:lineRule="auto"/>
        <w:ind w:firstLine="1440"/>
      </w:pPr>
      <w:r>
        <w:t xml:space="preserve">Essential IV: </w:t>
      </w:r>
      <w:r w:rsidRPr="00977171">
        <w:t>Information systems/technology and patient care</w:t>
      </w:r>
    </w:p>
    <w:p w14:paraId="6454F044" w14:textId="3E4A70B5" w:rsidR="008663E0" w:rsidRDefault="008663E0" w:rsidP="007C3A26">
      <w:pPr>
        <w:pStyle w:val="APAAbstract"/>
        <w:tabs>
          <w:tab w:val="left" w:leader="dot" w:pos="8640"/>
        </w:tabs>
        <w:ind w:firstLine="1440"/>
      </w:pPr>
      <w:r w:rsidRPr="00977171">
        <w:t>technology for the improvement and transformation of healthcare</w:t>
      </w:r>
      <w:r>
        <w:tab/>
      </w:r>
      <w:r w:rsidR="005B089D">
        <w:t>6</w:t>
      </w:r>
      <w:r w:rsidR="003A287D">
        <w:t>5</w:t>
      </w:r>
    </w:p>
    <w:p w14:paraId="43567B41" w14:textId="48D2AC24" w:rsidR="008663E0" w:rsidRDefault="005E6A85" w:rsidP="007C3A26">
      <w:pPr>
        <w:pStyle w:val="APAAbstract"/>
        <w:tabs>
          <w:tab w:val="left" w:leader="dot" w:pos="8640"/>
        </w:tabs>
        <w:ind w:firstLine="1440"/>
      </w:pPr>
      <w:r>
        <w:t xml:space="preserve">Essential V: </w:t>
      </w:r>
      <w:r w:rsidRPr="00977171">
        <w:t>Healthcare policy for advocacy in healthcare</w:t>
      </w:r>
      <w:r>
        <w:tab/>
      </w:r>
      <w:r w:rsidR="005B089D">
        <w:t>6</w:t>
      </w:r>
      <w:r w:rsidR="003A287D">
        <w:t>6</w:t>
      </w:r>
    </w:p>
    <w:p w14:paraId="738F5281" w14:textId="77777777" w:rsidR="007C3A26" w:rsidRDefault="005E6A85" w:rsidP="007C3A26">
      <w:pPr>
        <w:pStyle w:val="APAAbstract"/>
        <w:tabs>
          <w:tab w:val="left" w:leader="dot" w:pos="8640"/>
        </w:tabs>
        <w:spacing w:line="240" w:lineRule="auto"/>
        <w:ind w:firstLine="1440"/>
      </w:pPr>
      <w:r>
        <w:t xml:space="preserve">Essential VI: </w:t>
      </w:r>
      <w:r w:rsidRPr="00977171">
        <w:t>Interprofessional collaboration for improving patient</w:t>
      </w:r>
    </w:p>
    <w:p w14:paraId="721E47C1" w14:textId="5522B97E" w:rsidR="005E6A85" w:rsidRDefault="005E6A85" w:rsidP="007C3A26">
      <w:pPr>
        <w:pStyle w:val="APAAbstract"/>
        <w:tabs>
          <w:tab w:val="left" w:leader="dot" w:pos="8640"/>
        </w:tabs>
        <w:ind w:firstLine="1440"/>
      </w:pPr>
      <w:r w:rsidRPr="00977171">
        <w:t>and population health outcomes</w:t>
      </w:r>
      <w:r>
        <w:tab/>
      </w:r>
      <w:r w:rsidR="005B089D">
        <w:t>6</w:t>
      </w:r>
      <w:r w:rsidR="003A287D">
        <w:t>7</w:t>
      </w:r>
    </w:p>
    <w:p w14:paraId="79B8E42A" w14:textId="77777777" w:rsidR="007C3A26" w:rsidRDefault="005E6A85" w:rsidP="007C3A26">
      <w:pPr>
        <w:pStyle w:val="APAAbstract"/>
        <w:tabs>
          <w:tab w:val="left" w:leader="dot" w:pos="8640"/>
        </w:tabs>
        <w:spacing w:line="240" w:lineRule="auto"/>
        <w:ind w:firstLine="1440"/>
      </w:pPr>
      <w:r>
        <w:t xml:space="preserve">Essential VII: </w:t>
      </w:r>
      <w:r w:rsidRPr="00977171">
        <w:t>Clinical prevention and population health for</w:t>
      </w:r>
    </w:p>
    <w:p w14:paraId="4810B5B4" w14:textId="3032FD80" w:rsidR="005E6A85" w:rsidRDefault="005E6A85" w:rsidP="007C3A26">
      <w:pPr>
        <w:pStyle w:val="APAAbstract"/>
        <w:tabs>
          <w:tab w:val="left" w:leader="dot" w:pos="8640"/>
        </w:tabs>
        <w:ind w:firstLine="1440"/>
      </w:pPr>
      <w:r w:rsidRPr="00977171">
        <w:t>improving the nation’s health</w:t>
      </w:r>
      <w:r>
        <w:tab/>
      </w:r>
      <w:r w:rsidR="005B089D">
        <w:t>6</w:t>
      </w:r>
      <w:r w:rsidR="003A287D">
        <w:t>8</w:t>
      </w:r>
    </w:p>
    <w:p w14:paraId="42DB156E" w14:textId="3F0C7796" w:rsidR="005E6A85" w:rsidRDefault="005E6A85" w:rsidP="007C3A26">
      <w:pPr>
        <w:pStyle w:val="APAAbstract"/>
        <w:tabs>
          <w:tab w:val="left" w:leader="dot" w:pos="8640"/>
        </w:tabs>
        <w:ind w:firstLine="1440"/>
      </w:pPr>
      <w:r>
        <w:t>Essential VIII: Advanced nursing practice</w:t>
      </w:r>
      <w:r>
        <w:tab/>
      </w:r>
      <w:r w:rsidR="005B089D">
        <w:t>70</w:t>
      </w:r>
    </w:p>
    <w:p w14:paraId="06A2DC40" w14:textId="278687B6" w:rsidR="005E6A85" w:rsidRDefault="005E6A85" w:rsidP="005E6A85">
      <w:pPr>
        <w:pStyle w:val="APAAbstract"/>
        <w:tabs>
          <w:tab w:val="left" w:leader="dot" w:pos="8640"/>
        </w:tabs>
        <w:ind w:firstLine="720"/>
      </w:pPr>
      <w:r>
        <w:t>Summary</w:t>
      </w:r>
      <w:r>
        <w:tab/>
      </w:r>
      <w:r w:rsidR="005B089D">
        <w:t>7</w:t>
      </w:r>
      <w:r w:rsidR="00DB7FB5">
        <w:t>1</w:t>
      </w:r>
    </w:p>
    <w:p w14:paraId="16F24DAC" w14:textId="6F112449" w:rsidR="00D91A4D" w:rsidRDefault="00D91A4D" w:rsidP="00D91A4D">
      <w:pPr>
        <w:pStyle w:val="APAAbstract"/>
        <w:tabs>
          <w:tab w:val="left" w:leader="dot" w:pos="8640"/>
        </w:tabs>
      </w:pPr>
      <w:r>
        <w:t>Chapter Eight:  Final Conclusion</w:t>
      </w:r>
      <w:r w:rsidR="005B1B63">
        <w:t>s</w:t>
      </w:r>
      <w:r>
        <w:tab/>
      </w:r>
      <w:r w:rsidR="005B089D">
        <w:t>7</w:t>
      </w:r>
      <w:r w:rsidR="00DB7FB5">
        <w:t>2</w:t>
      </w:r>
    </w:p>
    <w:p w14:paraId="1101F5C8" w14:textId="7FA9F62F" w:rsidR="00D91A4D" w:rsidRPr="00D91A4D" w:rsidRDefault="0018145A" w:rsidP="00D91A4D">
      <w:pPr>
        <w:pStyle w:val="APAAbstract"/>
        <w:tabs>
          <w:tab w:val="left" w:leader="dot" w:pos="8640"/>
        </w:tabs>
        <w:ind w:firstLine="720"/>
      </w:pPr>
      <w:r>
        <w:t>Significance of Findings</w:t>
      </w:r>
      <w:r w:rsidR="00D91A4D" w:rsidRPr="00D91A4D">
        <w:tab/>
      </w:r>
      <w:r w:rsidR="005B089D">
        <w:t>7</w:t>
      </w:r>
      <w:r w:rsidR="00DB7FB5">
        <w:t>2</w:t>
      </w:r>
    </w:p>
    <w:p w14:paraId="4D295A63" w14:textId="29775F4E" w:rsidR="00D91A4D" w:rsidRDefault="0018145A" w:rsidP="00D91A4D">
      <w:pPr>
        <w:pStyle w:val="APAAbstract"/>
        <w:tabs>
          <w:tab w:val="left" w:leader="dot" w:pos="8640"/>
        </w:tabs>
        <w:ind w:firstLine="720"/>
      </w:pPr>
      <w:r>
        <w:t>Project Strengths and Limitations</w:t>
      </w:r>
      <w:r w:rsidR="00D91A4D">
        <w:tab/>
      </w:r>
      <w:r w:rsidR="005B089D">
        <w:t>7</w:t>
      </w:r>
      <w:r w:rsidR="00DB7FB5">
        <w:t>4</w:t>
      </w:r>
    </w:p>
    <w:p w14:paraId="470E6BDA" w14:textId="638FF0DA" w:rsidR="00D91A4D" w:rsidRDefault="0018145A" w:rsidP="00D91A4D">
      <w:pPr>
        <w:pStyle w:val="APAAbstract"/>
        <w:tabs>
          <w:tab w:val="left" w:leader="dot" w:pos="8640"/>
        </w:tabs>
        <w:ind w:firstLine="720"/>
      </w:pPr>
      <w:r>
        <w:t>Project Benefits</w:t>
      </w:r>
      <w:r w:rsidR="00D91A4D">
        <w:tab/>
      </w:r>
      <w:r w:rsidR="005B089D">
        <w:t>7</w:t>
      </w:r>
      <w:r w:rsidR="00DB7FB5">
        <w:t>5</w:t>
      </w:r>
    </w:p>
    <w:p w14:paraId="655801A3" w14:textId="2B366E51" w:rsidR="00D91A4D" w:rsidRDefault="0018145A" w:rsidP="00D91A4D">
      <w:pPr>
        <w:pStyle w:val="APAAbstract"/>
        <w:tabs>
          <w:tab w:val="left" w:leader="dot" w:pos="8640"/>
        </w:tabs>
        <w:ind w:firstLine="720"/>
      </w:pPr>
      <w:r>
        <w:lastRenderedPageBreak/>
        <w:t>Recommendations for Practice</w:t>
      </w:r>
      <w:r w:rsidR="00D91A4D">
        <w:tab/>
      </w:r>
      <w:r w:rsidR="005B089D">
        <w:t>7</w:t>
      </w:r>
      <w:r w:rsidR="003D1D3A">
        <w:t>5</w:t>
      </w:r>
    </w:p>
    <w:p w14:paraId="1CEAF724" w14:textId="59CA91CC" w:rsidR="0018145A" w:rsidRDefault="0018145A" w:rsidP="0018145A">
      <w:pPr>
        <w:pStyle w:val="APAAbstract"/>
        <w:tabs>
          <w:tab w:val="left" w:leader="dot" w:pos="8640"/>
        </w:tabs>
        <w:ind w:firstLine="720"/>
      </w:pPr>
      <w:r>
        <w:t>Final Summary</w:t>
      </w:r>
      <w:r>
        <w:tab/>
      </w:r>
      <w:r w:rsidR="005B089D">
        <w:t>7</w:t>
      </w:r>
      <w:r w:rsidR="003D1D3A">
        <w:t>6</w:t>
      </w:r>
    </w:p>
    <w:p w14:paraId="7928D1E2" w14:textId="30AE4AC6" w:rsidR="00C435FE" w:rsidRPr="00D91A4D" w:rsidRDefault="00C435FE" w:rsidP="00373614">
      <w:pPr>
        <w:pStyle w:val="APAAbstract"/>
        <w:tabs>
          <w:tab w:val="left" w:leader="dot" w:pos="8640"/>
        </w:tabs>
      </w:pPr>
      <w:r w:rsidRPr="00D91A4D">
        <w:t>References</w:t>
      </w:r>
      <w:r w:rsidR="00373614" w:rsidRPr="00D91A4D">
        <w:tab/>
      </w:r>
      <w:r w:rsidR="00B04122">
        <w:t>7</w:t>
      </w:r>
      <w:r w:rsidR="00DB7FB5">
        <w:t>8</w:t>
      </w:r>
    </w:p>
    <w:p w14:paraId="356EB18C" w14:textId="67590720" w:rsidR="00C435FE" w:rsidRDefault="00C435FE" w:rsidP="004D4B90">
      <w:pPr>
        <w:pStyle w:val="APAAbstract"/>
        <w:tabs>
          <w:tab w:val="left" w:leader="dot" w:pos="8640"/>
        </w:tabs>
      </w:pPr>
      <w:r>
        <w:t xml:space="preserve">Appendix A: </w:t>
      </w:r>
      <w:r w:rsidR="00F2523D">
        <w:t>Ten Core Competencies</w:t>
      </w:r>
      <w:r w:rsidR="00BE1FB8">
        <w:tab/>
      </w:r>
      <w:r w:rsidR="00F2523D">
        <w:t>8</w:t>
      </w:r>
      <w:r w:rsidR="00DB7FB5">
        <w:t>4</w:t>
      </w:r>
    </w:p>
    <w:p w14:paraId="35440D00" w14:textId="5D733A0E" w:rsidR="005C78DF" w:rsidRDefault="00C435FE" w:rsidP="004D4B90">
      <w:pPr>
        <w:pStyle w:val="APAAbstract"/>
        <w:tabs>
          <w:tab w:val="left" w:leader="dot" w:pos="8640"/>
        </w:tabs>
      </w:pPr>
      <w:r>
        <w:t xml:space="preserve">Appendix B:  </w:t>
      </w:r>
      <w:r w:rsidR="00F2523D">
        <w:t>Standard CNE Evaluation Form</w:t>
      </w:r>
      <w:r w:rsidR="00BE1FB8">
        <w:tab/>
      </w:r>
      <w:r w:rsidR="00F2523D">
        <w:t>8</w:t>
      </w:r>
      <w:r w:rsidR="00DB7FB5">
        <w:t>6</w:t>
      </w:r>
    </w:p>
    <w:p w14:paraId="6A400FEB" w14:textId="2887065A" w:rsidR="00022277" w:rsidRDefault="00022277" w:rsidP="00022277">
      <w:pPr>
        <w:pStyle w:val="APAAbstract"/>
        <w:tabs>
          <w:tab w:val="left" w:leader="dot" w:pos="8640"/>
        </w:tabs>
      </w:pPr>
      <w:r>
        <w:t xml:space="preserve">Appendix C:  </w:t>
      </w:r>
      <w:r w:rsidR="00F2523D">
        <w:t>Student Project Director Evaluation Form</w:t>
      </w:r>
      <w:r>
        <w:tab/>
      </w:r>
      <w:r w:rsidR="00F2523D">
        <w:t>8</w:t>
      </w:r>
      <w:r w:rsidR="00DB7FB5">
        <w:t>7</w:t>
      </w:r>
    </w:p>
    <w:p w14:paraId="7F583E34" w14:textId="77777777" w:rsidR="0014356D" w:rsidRDefault="0014356D" w:rsidP="004D4B90">
      <w:pPr>
        <w:pStyle w:val="APAAbstract"/>
        <w:tabs>
          <w:tab w:val="left" w:leader="dot" w:pos="8640"/>
        </w:tabs>
        <w:sectPr w:rsidR="0014356D" w:rsidSect="0014356D">
          <w:pgSz w:w="12240" w:h="15840" w:code="1"/>
          <w:pgMar w:top="1440" w:right="1440" w:bottom="1440" w:left="1440" w:header="720" w:footer="720" w:gutter="0"/>
          <w:cols w:space="720"/>
          <w:titlePg/>
          <w:docGrid w:linePitch="360"/>
        </w:sectPr>
      </w:pPr>
    </w:p>
    <w:p w14:paraId="6A6A8FA4" w14:textId="5A66E278" w:rsidR="00101859" w:rsidRPr="000B4F84" w:rsidRDefault="00101859" w:rsidP="000B4F84">
      <w:pPr>
        <w:pStyle w:val="APA"/>
        <w:ind w:firstLine="0"/>
        <w:jc w:val="center"/>
        <w:rPr>
          <w:b/>
        </w:rPr>
      </w:pPr>
      <w:r w:rsidRPr="000B4F84">
        <w:rPr>
          <w:b/>
        </w:rPr>
        <w:lastRenderedPageBreak/>
        <w:t>Chapter One:</w:t>
      </w:r>
      <w:r w:rsidR="000B4F84">
        <w:rPr>
          <w:b/>
        </w:rPr>
        <w:t xml:space="preserve"> </w:t>
      </w:r>
      <w:r w:rsidRPr="000B4F84">
        <w:rPr>
          <w:b/>
        </w:rPr>
        <w:t xml:space="preserve"> Overview of the Problem of Interest</w:t>
      </w:r>
      <w:r w:rsidR="0089760D">
        <w:rPr>
          <w:b/>
        </w:rPr>
        <w:t xml:space="preserve"> </w:t>
      </w:r>
    </w:p>
    <w:p w14:paraId="194D3178" w14:textId="77777777" w:rsidR="00775DBF" w:rsidRDefault="00CC78C7" w:rsidP="007F6221">
      <w:pPr>
        <w:pStyle w:val="APA"/>
        <w:ind w:firstLine="0"/>
      </w:pPr>
      <w:r>
        <w:rPr>
          <w:b/>
        </w:rPr>
        <w:tab/>
      </w:r>
      <w:r w:rsidR="007F6221" w:rsidRPr="0037446A">
        <w:rPr>
          <w:color w:val="333333"/>
          <w:szCs w:val="24"/>
          <w:shd w:val="clear" w:color="auto" w:fill="FFFFFF"/>
        </w:rPr>
        <w:t>Increased globalization and</w:t>
      </w:r>
      <w:r w:rsidR="007F6221">
        <w:rPr>
          <w:color w:val="333333"/>
          <w:szCs w:val="24"/>
          <w:shd w:val="clear" w:color="auto" w:fill="FFFFFF"/>
        </w:rPr>
        <w:t xml:space="preserve"> diversity have had an impact on the barriers that were once evident in the western world in the separation of cultures (Garneau and Pepin, 2015). These r</w:t>
      </w:r>
      <w:r w:rsidR="007F6221">
        <w:t xml:space="preserve">egular continued interactions between previously isolated cultures is changing the importance of cultural competency in health care in general and specifically within the nursing discipline (Garneau &amp; Pepin, 2015).  </w:t>
      </w:r>
      <w:r w:rsidR="00A00926">
        <w:t xml:space="preserve">Nurses care for all persons regardless of culture, ethnic background, religion, race, and the many other ways people are identified or identify themselves. All persons deserve culturally sensitive care based on their personal beliefs.  </w:t>
      </w:r>
    </w:p>
    <w:p w14:paraId="2DA65119" w14:textId="1C9403DE" w:rsidR="00A90B50" w:rsidRDefault="00775DBF" w:rsidP="007F6221">
      <w:pPr>
        <w:pStyle w:val="APA"/>
        <w:ind w:firstLine="0"/>
      </w:pPr>
      <w:r>
        <w:tab/>
      </w:r>
      <w:r w:rsidR="00A00926">
        <w:t>For many years</w:t>
      </w:r>
      <w:r>
        <w:t xml:space="preserve">, lesbian, gay, bisexual, transgender, and queer/questioning (LGBTQ) persons have faced health disparities much stemming from discrimination experienced from health care providers. There is a lack of education to healthcare providers on best practices in providing culturally sensitive care to this population. </w:t>
      </w:r>
      <w:r w:rsidR="00870010">
        <w:t>The use of</w:t>
      </w:r>
      <w:r>
        <w:t xml:space="preserve"> inclusive language during initial encounters creates a safe space and welcom</w:t>
      </w:r>
      <w:r w:rsidR="00EC401B">
        <w:t>ing environment.</w:t>
      </w:r>
      <w:r w:rsidR="00870010">
        <w:t xml:space="preserve"> The purpose of this chapter is to provide background information and the significance of the issue on the need for nurses to use inclusive language at time of a patient’s admission to a hospice home setting for end of life care.  In addition, it presents an overview of my Doctor in Nursing Practice (DNP) quality improvement project that </w:t>
      </w:r>
      <w:r w:rsidR="0005219A">
        <w:t xml:space="preserve">provides the organization an opportunity to </w:t>
      </w:r>
      <w:r w:rsidR="00870010">
        <w:t>increase</w:t>
      </w:r>
      <w:r w:rsidR="0005219A">
        <w:t xml:space="preserve"> staff education of creating a safe and welcoming space for LGBTQ clients and families by</w:t>
      </w:r>
      <w:r w:rsidR="00870010">
        <w:t xml:space="preserve"> use of inclusive </w:t>
      </w:r>
      <w:r w:rsidR="0005219A">
        <w:t>terminology and questions</w:t>
      </w:r>
      <w:r w:rsidR="00870010">
        <w:t>.</w:t>
      </w:r>
      <w:r w:rsidR="0005219A">
        <w:t xml:space="preserve"> </w:t>
      </w:r>
    </w:p>
    <w:p w14:paraId="47440C2C" w14:textId="32CC6845" w:rsidR="00824FCA" w:rsidRDefault="00824FCA" w:rsidP="00824FCA">
      <w:pPr>
        <w:pStyle w:val="APA"/>
        <w:ind w:firstLine="0"/>
        <w:rPr>
          <w:rFonts w:eastAsiaTheme="minorHAnsi"/>
          <w:szCs w:val="24"/>
        </w:rPr>
      </w:pPr>
      <w:r>
        <w:rPr>
          <w:b/>
        </w:rPr>
        <w:t>Background</w:t>
      </w:r>
      <w:r w:rsidR="0089760D">
        <w:rPr>
          <w:b/>
        </w:rPr>
        <w:t xml:space="preserve"> Information </w:t>
      </w:r>
    </w:p>
    <w:p w14:paraId="0975C755" w14:textId="0ED3B53E" w:rsidR="00016689" w:rsidRDefault="001108F5" w:rsidP="003A287D">
      <w:pPr>
        <w:spacing w:after="0"/>
        <w:ind w:firstLine="720"/>
        <w:rPr>
          <w:sz w:val="24"/>
          <w:szCs w:val="24"/>
        </w:rPr>
      </w:pPr>
      <w:r w:rsidRPr="00845707">
        <w:rPr>
          <w:sz w:val="24"/>
          <w:szCs w:val="24"/>
        </w:rPr>
        <w:t xml:space="preserve">Fredriksen-Goldsen, Kim, Shiu, Goldsen, and Emlet (2014) estimated that there are over 2.4 million </w:t>
      </w:r>
      <w:r w:rsidR="00C80B19">
        <w:rPr>
          <w:sz w:val="24"/>
          <w:szCs w:val="24"/>
        </w:rPr>
        <w:t>lesbian, gay, bisexual, and transgender (</w:t>
      </w:r>
      <w:r w:rsidRPr="00845707">
        <w:rPr>
          <w:sz w:val="24"/>
          <w:szCs w:val="24"/>
        </w:rPr>
        <w:t>LGBT</w:t>
      </w:r>
      <w:r w:rsidR="00C80B19">
        <w:rPr>
          <w:sz w:val="24"/>
          <w:szCs w:val="24"/>
        </w:rPr>
        <w:t>)</w:t>
      </w:r>
      <w:r w:rsidRPr="00845707">
        <w:rPr>
          <w:sz w:val="24"/>
          <w:szCs w:val="24"/>
        </w:rPr>
        <w:t xml:space="preserve"> old</w:t>
      </w:r>
      <w:r>
        <w:rPr>
          <w:sz w:val="24"/>
          <w:szCs w:val="24"/>
        </w:rPr>
        <w:t>er adults over age 50 in the United States</w:t>
      </w:r>
      <w:r w:rsidRPr="00845707">
        <w:rPr>
          <w:sz w:val="24"/>
          <w:szCs w:val="24"/>
        </w:rPr>
        <w:t xml:space="preserve">, with the expectation that this number will double to over 5 million LGBT adults over age </w:t>
      </w:r>
      <w:r w:rsidRPr="00845707">
        <w:rPr>
          <w:sz w:val="24"/>
          <w:szCs w:val="24"/>
        </w:rPr>
        <w:lastRenderedPageBreak/>
        <w:t>50 by year 2030.</w:t>
      </w:r>
      <w:r>
        <w:rPr>
          <w:sz w:val="24"/>
          <w:szCs w:val="24"/>
        </w:rPr>
        <w:t xml:space="preserve"> Afraid of discrimination, many LGBT older adults do not seek healthcare later in life </w:t>
      </w:r>
      <w:r w:rsidRPr="00845707">
        <w:rPr>
          <w:sz w:val="24"/>
          <w:szCs w:val="24"/>
        </w:rPr>
        <w:t xml:space="preserve">(Choi &amp; Meyer, 2016). </w:t>
      </w:r>
      <w:r>
        <w:rPr>
          <w:sz w:val="24"/>
          <w:szCs w:val="24"/>
        </w:rPr>
        <w:t>C</w:t>
      </w:r>
      <w:r w:rsidRPr="00845707">
        <w:rPr>
          <w:sz w:val="24"/>
          <w:szCs w:val="24"/>
        </w:rPr>
        <w:t>ulturally sensitive training for health care and social service agencies and professionals that provide support to elders could be critical in alleviating expectations of and experiences of discrimination that many LGBT older adults fear when seeking healthcare and professional help (Choi &amp; Meyer, 2016).</w:t>
      </w:r>
      <w:r w:rsidRPr="00845707">
        <w:rPr>
          <w:sz w:val="24"/>
          <w:szCs w:val="24"/>
          <w:shd w:val="clear" w:color="auto" w:fill="FFFFFF"/>
        </w:rPr>
        <w:t> </w:t>
      </w:r>
      <w:r w:rsidRPr="00845707">
        <w:rPr>
          <w:sz w:val="24"/>
          <w:szCs w:val="24"/>
        </w:rPr>
        <w:t>Effective culturally sensitive training for service providers could help improve the experience of LGBT elders with health care providers, alleviating expectations of discrimination that cause delay in seeking care (Choi &amp; Meyer, 2016).</w:t>
      </w:r>
      <w:r>
        <w:rPr>
          <w:sz w:val="24"/>
          <w:szCs w:val="24"/>
        </w:rPr>
        <w:t xml:space="preserve"> </w:t>
      </w:r>
    </w:p>
    <w:p w14:paraId="72146265" w14:textId="578CDB6D" w:rsidR="005F611B" w:rsidRDefault="003068ED" w:rsidP="003A287D">
      <w:pPr>
        <w:pStyle w:val="APA"/>
        <w:ind w:firstLine="0"/>
      </w:pPr>
      <w:r>
        <w:tab/>
      </w:r>
      <w:r w:rsidRPr="005E27E3">
        <w:rPr>
          <w:b/>
        </w:rPr>
        <w:t>Cultural Competence</w:t>
      </w:r>
      <w:r>
        <w:t xml:space="preserve"> </w:t>
      </w:r>
      <w:r w:rsidR="005F611B">
        <w:t xml:space="preserve">Campinha-Bacote (1999) defined cultural competence as “the process in which the healthcare provider continuously strives to achieve the ability to work within the cultural context of a client (individual, family or community)” (p. 203). In a more recent critical review of the literature, to reflect current global developments, Garneau and Pepin (2015) suggest that cultural competence be defined as: </w:t>
      </w:r>
    </w:p>
    <w:p w14:paraId="130FB734" w14:textId="6ADCB987" w:rsidR="005F611B" w:rsidRDefault="005F611B" w:rsidP="005F611B">
      <w:pPr>
        <w:pStyle w:val="APA"/>
        <w:ind w:left="720" w:firstLine="0"/>
      </w:pPr>
      <w:r>
        <w:t>A</w:t>
      </w:r>
      <w:r w:rsidRPr="00717029">
        <w:t xml:space="preserve"> complex know-act grounded in critical reflection and action, which the health care professional draws upon to provide culturally safe, congruent, and effective care in partnership with individuals, families, and communities living health experiences, and which </w:t>
      </w:r>
      <w:r w:rsidR="00D563E7" w:rsidRPr="00717029">
        <w:t>considers</w:t>
      </w:r>
      <w:r w:rsidRPr="00717029">
        <w:t xml:space="preserve"> the social and political dimensions of care</w:t>
      </w:r>
      <w:r>
        <w:t xml:space="preserve"> (p. 12)</w:t>
      </w:r>
      <w:r w:rsidRPr="00717029">
        <w:t>.</w:t>
      </w:r>
      <w:r>
        <w:t xml:space="preserve"> </w:t>
      </w:r>
    </w:p>
    <w:p w14:paraId="5CF3F8C4" w14:textId="77777777" w:rsidR="005F611B" w:rsidRDefault="005F611B" w:rsidP="005F611B">
      <w:pPr>
        <w:pStyle w:val="APA"/>
        <w:ind w:firstLine="0"/>
      </w:pPr>
      <w:r>
        <w:t xml:space="preserve">Strategies to improve cultural competency in health care providers are aimed to decrease health care disparities involving race, ethnicity and sexual orientation (Mann, 2017). </w:t>
      </w:r>
    </w:p>
    <w:p w14:paraId="169B5DDC" w14:textId="2A1961EA" w:rsidR="005F611B" w:rsidRDefault="003068ED" w:rsidP="005F611B">
      <w:pPr>
        <w:pStyle w:val="APA"/>
      </w:pPr>
      <w:r w:rsidRPr="005E27E3">
        <w:rPr>
          <w:b/>
        </w:rPr>
        <w:t>Health Disparities</w:t>
      </w:r>
      <w:r>
        <w:t xml:space="preserve"> </w:t>
      </w:r>
      <w:r w:rsidR="005F611B">
        <w:t xml:space="preserve">In recent years, the health disparities and inequalities faced by members of the LGBTQ community has received significant attention from policymakers, legislators, educators, health care providers, and community leaders (Lim, Brown, &amp; Kim 2014). Healthy People 2020 identified one social determinant affecting the health of LGBTQ </w:t>
      </w:r>
      <w:r w:rsidR="005F611B">
        <w:lastRenderedPageBreak/>
        <w:t xml:space="preserve">individuals as the lack of health care providers who are educated in culturally competent care for this population. The health care disparities that affect the LGBTQ population continued to be tied to sexual and social stigmatization (Lim et al., 2014). Due to this social stigmatization and discrimination, social determinants such as legal discrimination, lack of community programs, and a shortage of providers educated in culturally competent care affect the health of the LGBTQ population (Lim et al., 2014).  </w:t>
      </w:r>
    </w:p>
    <w:p w14:paraId="3D1CACEF" w14:textId="44761A3B" w:rsidR="00024863" w:rsidRDefault="003068ED" w:rsidP="00024863">
      <w:pPr>
        <w:pStyle w:val="APA"/>
      </w:pPr>
      <w:r w:rsidRPr="005E27E3">
        <w:rPr>
          <w:b/>
        </w:rPr>
        <w:t>Barriers</w:t>
      </w:r>
      <w:r>
        <w:t xml:space="preserve"> </w:t>
      </w:r>
      <w:r w:rsidR="005F611B">
        <w:t>In a qualitative study of chief nurse executives</w:t>
      </w:r>
      <w:r w:rsidR="005370DC">
        <w:t>,</w:t>
      </w:r>
      <w:r w:rsidR="005F611B">
        <w:t xml:space="preserve"> Ogbolu, Scrandis, &amp; Fitzpatrick (2017), found constrained cultural competency training as a barrier to providing patient centered care to diverse patients. Challenges with providing culturally competent training included insufficient training at time of orientation, lack of ongoing opportunities for safe and practical learning, and need for change in the organizational climate to foster learning and acknowledging gaps in education (Ogbolu et al., 2017). </w:t>
      </w:r>
      <w:r w:rsidR="00024863">
        <w:t>Another gap of providing culturally competent care to LGBTQ persons includes the lack of knowledge and use of inclusive language by service providers (</w:t>
      </w:r>
      <w:r w:rsidR="0030241B">
        <w:rPr>
          <w:szCs w:val="24"/>
        </w:rPr>
        <w:t>Boulder County Area Agency on Aging</w:t>
      </w:r>
      <w:r w:rsidR="00024863">
        <w:t xml:space="preserve">, 2013). </w:t>
      </w:r>
    </w:p>
    <w:p w14:paraId="4B330D87" w14:textId="2A1E15FF" w:rsidR="009D06D1" w:rsidRDefault="009D06D1" w:rsidP="009D06D1">
      <w:pPr>
        <w:pStyle w:val="APA"/>
        <w:ind w:firstLine="0"/>
      </w:pPr>
      <w:r>
        <w:tab/>
        <w:t xml:space="preserve">Reese and Beckwith (2015), conducted a </w:t>
      </w:r>
      <w:r w:rsidR="00024863">
        <w:t xml:space="preserve">mixed method </w:t>
      </w:r>
      <w:r>
        <w:t xml:space="preserve">study on barriers to cultural competence in the hospice setting. Two of the major barriers identified were lack of funding for development of culturally competent programs and deficient knowledge about diverse cultures and what cultural groups were present in the community (Reese &amp; Beckwith, 2015).  Organizational barriers </w:t>
      </w:r>
      <w:r w:rsidR="00024863">
        <w:t xml:space="preserve">also </w:t>
      </w:r>
      <w:r>
        <w:t xml:space="preserve">included failure to prioritize cultural competency, failure to budget for culturally competent services and staff that does not value awareness of cultural differences, not comfortable with diversity, and stereotypes diverse individuals (Reese &amp; Beckwith, 2015). </w:t>
      </w:r>
    </w:p>
    <w:p w14:paraId="0266037B" w14:textId="178701F1" w:rsidR="009D06D1" w:rsidRDefault="00FB22E3" w:rsidP="009D06D1">
      <w:pPr>
        <w:pStyle w:val="APA"/>
        <w:ind w:firstLine="0"/>
      </w:pPr>
      <w:r>
        <w:t xml:space="preserve">To support this study, Carabez et al. (2015), also found that </w:t>
      </w:r>
      <w:r>
        <w:rPr>
          <w:szCs w:val="24"/>
        </w:rPr>
        <w:t>n</w:t>
      </w:r>
      <w:r w:rsidR="009D06D1">
        <w:rPr>
          <w:szCs w:val="24"/>
        </w:rPr>
        <w:t>urses report that they do not feel comfortable or prepared to care for LGBTQ patients and desire more education</w:t>
      </w:r>
      <w:r>
        <w:rPr>
          <w:szCs w:val="24"/>
        </w:rPr>
        <w:t>.</w:t>
      </w:r>
      <w:r w:rsidR="009D06D1">
        <w:rPr>
          <w:szCs w:val="24"/>
        </w:rPr>
        <w:t xml:space="preserve"> </w:t>
      </w:r>
    </w:p>
    <w:p w14:paraId="4F4402A4" w14:textId="16FA0D15" w:rsidR="005E27E3" w:rsidRDefault="009D06D1" w:rsidP="00824FCA">
      <w:pPr>
        <w:pStyle w:val="APA"/>
        <w:ind w:firstLine="0"/>
      </w:pPr>
      <w:r>
        <w:lastRenderedPageBreak/>
        <w:tab/>
      </w:r>
      <w:r w:rsidR="003068ED" w:rsidRPr="00FB22E3">
        <w:rPr>
          <w:b/>
        </w:rPr>
        <w:t>Strategies</w:t>
      </w:r>
      <w:r w:rsidR="003068ED">
        <w:t xml:space="preserve"> </w:t>
      </w:r>
      <w:r w:rsidR="00FB22E3">
        <w:rPr>
          <w:szCs w:val="24"/>
        </w:rPr>
        <w:t>Recommendations for addressing barriers was to provide cultural competence training to staff (Reese &amp; Beckwith, 2015). Habits of self-awareness and reflection, ongoing professional development, and implementation of best practices are all essential in providing culturally competent care for LGBT persons (Lim</w:t>
      </w:r>
      <w:r w:rsidR="00F419CE">
        <w:rPr>
          <w:szCs w:val="24"/>
        </w:rPr>
        <w:t xml:space="preserve"> et al.</w:t>
      </w:r>
      <w:r w:rsidR="00FB22E3">
        <w:rPr>
          <w:szCs w:val="24"/>
        </w:rPr>
        <w:t xml:space="preserve">, 2014). </w:t>
      </w:r>
      <w:r w:rsidR="005F611B">
        <w:t>One strategy to promote inclusive patient and family centered care is to advance effective communication (Lim et al., 2014). Implementation of this strategy includes use of neutral and inclusive language when speaking to all patients, listen to and reflect on patient’s choice of language, and be aware of questions that assume heterosexuality and societal norms of family relationships (Lim et al., 2014). By using open ended inclusive questions throughout the healthcare continuum, all persons regardless of culture, sexual orientation or gender identity, including older LGBT</w:t>
      </w:r>
      <w:r w:rsidR="005F611B" w:rsidRPr="009D38DD">
        <w:rPr>
          <w:rStyle w:val="CommentReference"/>
          <w:sz w:val="24"/>
          <w:szCs w:val="24"/>
        </w:rPr>
        <w:t>Q</w:t>
      </w:r>
      <w:r w:rsidR="005F611B" w:rsidRPr="009D38DD">
        <w:t>,</w:t>
      </w:r>
      <w:r w:rsidR="005F611B">
        <w:t xml:space="preserve"> will feel more secure (</w:t>
      </w:r>
      <w:r w:rsidR="0030241B">
        <w:rPr>
          <w:szCs w:val="24"/>
        </w:rPr>
        <w:t>Boulder County Area Agency on Aging</w:t>
      </w:r>
      <w:r w:rsidR="005F611B">
        <w:t xml:space="preserve">, 2013). </w:t>
      </w:r>
      <w:r w:rsidR="005F611B">
        <w:tab/>
      </w:r>
    </w:p>
    <w:p w14:paraId="3F137F63" w14:textId="141F3468" w:rsidR="00F5766D" w:rsidRDefault="005E27E3" w:rsidP="00824FCA">
      <w:pPr>
        <w:pStyle w:val="APA"/>
        <w:ind w:firstLine="0"/>
        <w:rPr>
          <w:szCs w:val="24"/>
        </w:rPr>
      </w:pPr>
      <w:r>
        <w:rPr>
          <w:b/>
        </w:rPr>
        <w:tab/>
      </w:r>
      <w:r w:rsidR="00FB22E3" w:rsidRPr="00F5766D">
        <w:rPr>
          <w:b/>
        </w:rPr>
        <w:t>Hospice and Palliative Care</w:t>
      </w:r>
      <w:r w:rsidR="00FB22E3">
        <w:t xml:space="preserve"> </w:t>
      </w:r>
      <w:r w:rsidR="005F611B" w:rsidRPr="002E5734">
        <w:rPr>
          <w:szCs w:val="24"/>
        </w:rPr>
        <w:t xml:space="preserve">One of the </w:t>
      </w:r>
      <w:r w:rsidR="005F611B">
        <w:rPr>
          <w:szCs w:val="24"/>
        </w:rPr>
        <w:t>fundamental principles</w:t>
      </w:r>
      <w:r w:rsidR="005F611B" w:rsidRPr="002E5734">
        <w:rPr>
          <w:szCs w:val="24"/>
        </w:rPr>
        <w:t xml:space="preserve"> of palliative care is the </w:t>
      </w:r>
      <w:r w:rsidR="005F611B">
        <w:rPr>
          <w:szCs w:val="24"/>
        </w:rPr>
        <w:t>understanding</w:t>
      </w:r>
      <w:r w:rsidR="005F611B" w:rsidRPr="002E5734">
        <w:rPr>
          <w:szCs w:val="24"/>
        </w:rPr>
        <w:t xml:space="preserve"> that this type of care must be provided in a culturally competent manner, and that diverse populations have unique needs</w:t>
      </w:r>
      <w:r w:rsidR="005F611B">
        <w:rPr>
          <w:szCs w:val="24"/>
        </w:rPr>
        <w:t xml:space="preserve"> (Barrett &amp; Wholihan, 2016)</w:t>
      </w:r>
      <w:r w:rsidR="005F611B" w:rsidRPr="002E5734">
        <w:rPr>
          <w:szCs w:val="24"/>
        </w:rPr>
        <w:t xml:space="preserve">. </w:t>
      </w:r>
      <w:r w:rsidR="005F611B">
        <w:rPr>
          <w:szCs w:val="24"/>
        </w:rPr>
        <w:t>Therefore, n</w:t>
      </w:r>
      <w:r w:rsidR="005F611B" w:rsidRPr="002E5734">
        <w:rPr>
          <w:szCs w:val="24"/>
        </w:rPr>
        <w:t>urses</w:t>
      </w:r>
      <w:r w:rsidR="005F611B">
        <w:rPr>
          <w:szCs w:val="24"/>
        </w:rPr>
        <w:t xml:space="preserve">, who work in palliative care and hospice have the responsibility to possess the knowledge required to care for LGBTQ </w:t>
      </w:r>
      <w:r w:rsidR="005F611B" w:rsidRPr="002E5734">
        <w:rPr>
          <w:szCs w:val="24"/>
        </w:rPr>
        <w:t>patients</w:t>
      </w:r>
      <w:r w:rsidR="005F611B">
        <w:rPr>
          <w:szCs w:val="24"/>
        </w:rPr>
        <w:t xml:space="preserve"> (Barrett &amp; Wholihan, 2016)</w:t>
      </w:r>
      <w:r w:rsidR="005F611B" w:rsidRPr="002E5734">
        <w:rPr>
          <w:szCs w:val="24"/>
        </w:rPr>
        <w:t>.</w:t>
      </w:r>
      <w:r w:rsidR="005F611B">
        <w:rPr>
          <w:szCs w:val="24"/>
        </w:rPr>
        <w:t xml:space="preserve"> Persons who identify as LGBTQ are a vulnerable minority and have unique health issues (Barrett &amp; Wholihan, 2016). Hospice nurses</w:t>
      </w:r>
      <w:r w:rsidR="005F611B" w:rsidRPr="002E5734">
        <w:rPr>
          <w:szCs w:val="24"/>
        </w:rPr>
        <w:t xml:space="preserve"> can provide compassionate and professional care to LGBTQ </w:t>
      </w:r>
      <w:r w:rsidR="005F611B">
        <w:rPr>
          <w:szCs w:val="24"/>
        </w:rPr>
        <w:t>patients</w:t>
      </w:r>
      <w:r w:rsidR="005F611B" w:rsidRPr="002E5734">
        <w:rPr>
          <w:szCs w:val="24"/>
        </w:rPr>
        <w:t xml:space="preserve"> by </w:t>
      </w:r>
      <w:r w:rsidR="005F611B">
        <w:rPr>
          <w:szCs w:val="24"/>
        </w:rPr>
        <w:t>performing</w:t>
      </w:r>
      <w:r w:rsidR="005F611B" w:rsidRPr="002E5734">
        <w:rPr>
          <w:szCs w:val="24"/>
        </w:rPr>
        <w:t xml:space="preserve"> comprehensive and nonjudgmental </w:t>
      </w:r>
      <w:r w:rsidR="005F611B">
        <w:rPr>
          <w:szCs w:val="24"/>
        </w:rPr>
        <w:t>health histories and physical assessments through use of open-ended questions that are neutral and use inclusive language (Barrett &amp; Wholihan, 2016</w:t>
      </w:r>
      <w:r>
        <w:rPr>
          <w:szCs w:val="24"/>
        </w:rPr>
        <w:t>).</w:t>
      </w:r>
      <w:r w:rsidRPr="00845707">
        <w:rPr>
          <w:szCs w:val="24"/>
          <w:shd w:val="clear" w:color="auto" w:fill="FFFFFF"/>
        </w:rPr>
        <w:t xml:space="preserve"> End</w:t>
      </w:r>
      <w:r w:rsidR="001108F5" w:rsidRPr="00845707">
        <w:rPr>
          <w:szCs w:val="24"/>
          <w:shd w:val="clear" w:color="auto" w:fill="FFFFFF"/>
        </w:rPr>
        <w:t>-of-life care is the term used to describe the support and medical care given during the time surrounding death. (National Institute of Aging</w:t>
      </w:r>
      <w:r w:rsidR="001108F5">
        <w:rPr>
          <w:szCs w:val="24"/>
          <w:shd w:val="clear" w:color="auto" w:fill="FFFFFF"/>
        </w:rPr>
        <w:t>, 2017</w:t>
      </w:r>
      <w:r w:rsidR="001108F5" w:rsidRPr="00845707">
        <w:rPr>
          <w:szCs w:val="24"/>
          <w:shd w:val="clear" w:color="auto" w:fill="FFFFFF"/>
        </w:rPr>
        <w:t xml:space="preserve">). At the center of hospice and palliative care is the belief that each of us has the right to die pain-free and with dignity, and that our </w:t>
      </w:r>
      <w:r w:rsidR="001108F5" w:rsidRPr="00845707">
        <w:rPr>
          <w:szCs w:val="24"/>
          <w:shd w:val="clear" w:color="auto" w:fill="FFFFFF"/>
        </w:rPr>
        <w:lastRenderedPageBreak/>
        <w:t>families will receive the necessary support to allow us to do so (</w:t>
      </w:r>
      <w:r w:rsidR="00222187">
        <w:rPr>
          <w:szCs w:val="24"/>
          <w:shd w:val="clear" w:color="auto" w:fill="FFFFFF"/>
        </w:rPr>
        <w:t>National Hospice and Palliative Care Organization [</w:t>
      </w:r>
      <w:r w:rsidR="001108F5" w:rsidRPr="00845707">
        <w:rPr>
          <w:szCs w:val="24"/>
          <w:shd w:val="clear" w:color="auto" w:fill="FFFFFF"/>
        </w:rPr>
        <w:t>NH</w:t>
      </w:r>
      <w:r w:rsidR="00222187">
        <w:rPr>
          <w:szCs w:val="24"/>
          <w:shd w:val="clear" w:color="auto" w:fill="FFFFFF"/>
        </w:rPr>
        <w:t>PC</w:t>
      </w:r>
      <w:r w:rsidR="001108F5" w:rsidRPr="00845707">
        <w:rPr>
          <w:szCs w:val="24"/>
          <w:shd w:val="clear" w:color="auto" w:fill="FFFFFF"/>
        </w:rPr>
        <w:t>O</w:t>
      </w:r>
      <w:r w:rsidR="00222187">
        <w:rPr>
          <w:szCs w:val="24"/>
          <w:shd w:val="clear" w:color="auto" w:fill="FFFFFF"/>
        </w:rPr>
        <w:t>]</w:t>
      </w:r>
      <w:r w:rsidR="001108F5" w:rsidRPr="00845707">
        <w:rPr>
          <w:szCs w:val="24"/>
          <w:shd w:val="clear" w:color="auto" w:fill="FFFFFF"/>
        </w:rPr>
        <w:t>, 2017).</w:t>
      </w:r>
      <w:r w:rsidR="008C0CD1">
        <w:rPr>
          <w:szCs w:val="24"/>
          <w:shd w:val="clear" w:color="auto" w:fill="FFFFFF"/>
        </w:rPr>
        <w:t xml:space="preserve"> </w:t>
      </w:r>
      <w:r w:rsidR="00054843" w:rsidRPr="003D5B34">
        <w:rPr>
          <w:szCs w:val="24"/>
        </w:rPr>
        <w:t>Organizational culture competence in health care is de</w:t>
      </w:r>
      <w:r w:rsidR="00054843">
        <w:rPr>
          <w:szCs w:val="24"/>
        </w:rPr>
        <w:t>scribed</w:t>
      </w:r>
      <w:r w:rsidR="00054843" w:rsidRPr="003D5B34">
        <w:rPr>
          <w:szCs w:val="24"/>
        </w:rPr>
        <w:t xml:space="preserve"> as the systems’ ability to provide care to all patients with diverse values, beliefs, and behaviors, as well as individual tailoring of these needs in the social, cultural and linguistic domains (Betancourt, Green &amp; Carrillo, 2002; Reese &amp; Beckwith, 2015).</w:t>
      </w:r>
      <w:r w:rsidR="00F5766D" w:rsidRPr="00F5766D">
        <w:rPr>
          <w:szCs w:val="24"/>
        </w:rPr>
        <w:t xml:space="preserve"> </w:t>
      </w:r>
      <w:r w:rsidR="00F5766D" w:rsidRPr="003D5B34">
        <w:rPr>
          <w:szCs w:val="24"/>
        </w:rPr>
        <w:t>In the hospice setting, concepts of death and dying vary greatly between cultures and thus it is</w:t>
      </w:r>
      <w:r w:rsidR="00F5766D">
        <w:rPr>
          <w:szCs w:val="24"/>
        </w:rPr>
        <w:t xml:space="preserve"> imperative that culturally and linguistically competent care is present to aid in end of life discussions (Martin &amp; Barkley, 2016).</w:t>
      </w:r>
    </w:p>
    <w:p w14:paraId="52F803EF" w14:textId="0E86943E" w:rsidR="00824FCA" w:rsidRDefault="00824FCA" w:rsidP="00824FCA">
      <w:pPr>
        <w:pStyle w:val="APA"/>
        <w:ind w:firstLine="0"/>
        <w:rPr>
          <w:rFonts w:eastAsiaTheme="minorHAnsi"/>
          <w:szCs w:val="24"/>
        </w:rPr>
      </w:pPr>
      <w:r>
        <w:rPr>
          <w:b/>
        </w:rPr>
        <w:t>Significance of Clinical Problem</w:t>
      </w:r>
      <w:r w:rsidR="0089760D">
        <w:rPr>
          <w:b/>
        </w:rPr>
        <w:t xml:space="preserve"> </w:t>
      </w:r>
    </w:p>
    <w:p w14:paraId="0397C824" w14:textId="5803F3D4" w:rsidR="00CF0987" w:rsidRDefault="005709F7" w:rsidP="00CF0987">
      <w:pPr>
        <w:pStyle w:val="APA"/>
        <w:ind w:firstLine="0"/>
        <w:rPr>
          <w:color w:val="333333"/>
          <w:szCs w:val="24"/>
          <w:shd w:val="clear" w:color="auto" w:fill="FFFFFF"/>
        </w:rPr>
      </w:pPr>
      <w:r>
        <w:rPr>
          <w:rFonts w:eastAsiaTheme="minorHAnsi"/>
          <w:szCs w:val="24"/>
        </w:rPr>
        <w:tab/>
      </w:r>
      <w:r w:rsidR="00CF0987">
        <w:rPr>
          <w:color w:val="333333"/>
          <w:szCs w:val="24"/>
          <w:shd w:val="clear" w:color="auto" w:fill="FFFFFF"/>
        </w:rPr>
        <w:t>In past decades palliative care for LGBTQ patients centered around the diagnosis of Human Immunodeficiency Virus (HIV) and Acquired Immunodeficiency Syndrome (AIDS) (Barrett &amp; Wholihan, 2016).  HIV/AIDS still affect LGBTQ persons however this population is also predisposed to other chronic illnesses.  There is an increased rate of lung and bladder cancers due to an increased incidence of smoking as well as an increased rate of endometrial and breast cancers in lesbian women versus straight women (Griebling, 2016). The National LGBT Health and Aging Center found that the older LGBTQ person has a higher disability rate than heterosexual counterparts (Fred</w:t>
      </w:r>
      <w:r w:rsidR="00312992">
        <w:rPr>
          <w:color w:val="333333"/>
          <w:szCs w:val="24"/>
          <w:shd w:val="clear" w:color="auto" w:fill="FFFFFF"/>
        </w:rPr>
        <w:t>r</w:t>
      </w:r>
      <w:r w:rsidR="00CF0987">
        <w:rPr>
          <w:color w:val="333333"/>
          <w:szCs w:val="24"/>
          <w:shd w:val="clear" w:color="auto" w:fill="FFFFFF"/>
        </w:rPr>
        <w:t xml:space="preserve">iksen-Goldsen et al., 2011).  Although the LGBTQ population have these unique health issues, they continue to face access to care issues. </w:t>
      </w:r>
    </w:p>
    <w:p w14:paraId="3821A461" w14:textId="61085445" w:rsidR="00CF0987" w:rsidRDefault="00CF0987" w:rsidP="003A287D">
      <w:pPr>
        <w:spacing w:after="0"/>
        <w:ind w:firstLine="720"/>
        <w:rPr>
          <w:color w:val="333333"/>
          <w:sz w:val="24"/>
          <w:szCs w:val="24"/>
          <w:shd w:val="clear" w:color="auto" w:fill="FFFFFF"/>
        </w:rPr>
      </w:pPr>
      <w:r>
        <w:rPr>
          <w:color w:val="333333"/>
          <w:sz w:val="24"/>
          <w:szCs w:val="24"/>
          <w:shd w:val="clear" w:color="auto" w:fill="FFFFFF"/>
        </w:rPr>
        <w:t>Fred</w:t>
      </w:r>
      <w:r w:rsidR="00FB3091">
        <w:rPr>
          <w:color w:val="333333"/>
          <w:sz w:val="24"/>
          <w:szCs w:val="24"/>
          <w:shd w:val="clear" w:color="auto" w:fill="FFFFFF"/>
        </w:rPr>
        <w:t>r</w:t>
      </w:r>
      <w:r>
        <w:rPr>
          <w:color w:val="333333"/>
          <w:sz w:val="24"/>
          <w:szCs w:val="24"/>
          <w:shd w:val="clear" w:color="auto" w:fill="FFFFFF"/>
        </w:rPr>
        <w:t>iksen-Goldsen et al (2011) found that 21% of the LGBTQ population do not disclose their sexual orientation or gender identity to their physician and 15% fear accessing hea</w:t>
      </w:r>
      <w:r w:rsidR="005370DC">
        <w:rPr>
          <w:color w:val="333333"/>
          <w:sz w:val="24"/>
          <w:szCs w:val="24"/>
          <w:shd w:val="clear" w:color="auto" w:fill="FFFFFF"/>
        </w:rPr>
        <w:t>l</w:t>
      </w:r>
      <w:r>
        <w:rPr>
          <w:color w:val="333333"/>
          <w:sz w:val="24"/>
          <w:szCs w:val="24"/>
          <w:shd w:val="clear" w:color="auto" w:fill="FFFFFF"/>
        </w:rPr>
        <w:t xml:space="preserve">th care outside the LGBTQ community. Additionally, 13% of this same population report having been denied health care or </w:t>
      </w:r>
      <w:r w:rsidR="00134EF5">
        <w:rPr>
          <w:color w:val="333333"/>
          <w:sz w:val="24"/>
          <w:szCs w:val="24"/>
          <w:shd w:val="clear" w:color="auto" w:fill="FFFFFF"/>
        </w:rPr>
        <w:t xml:space="preserve">were </w:t>
      </w:r>
      <w:r>
        <w:rPr>
          <w:color w:val="333333"/>
          <w:sz w:val="24"/>
          <w:szCs w:val="24"/>
          <w:shd w:val="clear" w:color="auto" w:fill="FFFFFF"/>
        </w:rPr>
        <w:t>provided inferior care (Fred</w:t>
      </w:r>
      <w:r w:rsidR="00FB3091">
        <w:rPr>
          <w:color w:val="333333"/>
          <w:sz w:val="24"/>
          <w:szCs w:val="24"/>
          <w:shd w:val="clear" w:color="auto" w:fill="FFFFFF"/>
        </w:rPr>
        <w:t>r</w:t>
      </w:r>
      <w:r>
        <w:rPr>
          <w:color w:val="333333"/>
          <w:sz w:val="24"/>
          <w:szCs w:val="24"/>
          <w:shd w:val="clear" w:color="auto" w:fill="FFFFFF"/>
        </w:rPr>
        <w:t xml:space="preserve">iksen-Goldsen et al., 2011). LGBTQ elders are more likely to perceive an uninviting environment and actual mistreatment </w:t>
      </w:r>
      <w:r>
        <w:rPr>
          <w:color w:val="333333"/>
          <w:sz w:val="24"/>
          <w:szCs w:val="24"/>
          <w:shd w:val="clear" w:color="auto" w:fill="FFFFFF"/>
        </w:rPr>
        <w:lastRenderedPageBreak/>
        <w:t xml:space="preserve">from a variety of health care settings, including long term care facilities (Barrett &amp; Wholihan, 2016). </w:t>
      </w:r>
      <w:r w:rsidR="00FB3091">
        <w:rPr>
          <w:color w:val="333333"/>
          <w:sz w:val="24"/>
          <w:szCs w:val="24"/>
          <w:shd w:val="clear" w:color="auto" w:fill="FFFFFF"/>
        </w:rPr>
        <w:t>This fear of discrimination and lack of inclusive health care resources has led to a lack of optimal end-of-life care for LGBTQ persons (Barrett &amp; Wholihan, 2016). The lack of awareness by health care providers of other gender identities or sexual orientations and the presumption of heterosexuality leads the LGBTQ community to not seek palliative care in a timely manner (Cartwright, Hughes &amp; Leinert, 2012).</w:t>
      </w:r>
    </w:p>
    <w:p w14:paraId="52AB90F8" w14:textId="65A29619" w:rsidR="009B2465" w:rsidRDefault="009B2465" w:rsidP="003A287D">
      <w:pPr>
        <w:spacing w:after="0"/>
        <w:rPr>
          <w:sz w:val="24"/>
          <w:szCs w:val="24"/>
        </w:rPr>
      </w:pPr>
      <w:r>
        <w:rPr>
          <w:sz w:val="24"/>
          <w:szCs w:val="24"/>
        </w:rPr>
        <w:tab/>
        <w:t xml:space="preserve">This delay in seeking </w:t>
      </w:r>
      <w:r w:rsidR="00D30333">
        <w:rPr>
          <w:sz w:val="24"/>
          <w:szCs w:val="24"/>
        </w:rPr>
        <w:t xml:space="preserve">palliative </w:t>
      </w:r>
      <w:r w:rsidR="00224408">
        <w:rPr>
          <w:sz w:val="24"/>
          <w:szCs w:val="24"/>
        </w:rPr>
        <w:t xml:space="preserve">and hospice </w:t>
      </w:r>
      <w:r w:rsidR="00D30333">
        <w:rPr>
          <w:sz w:val="24"/>
          <w:szCs w:val="24"/>
        </w:rPr>
        <w:t xml:space="preserve">care in a timely manner </w:t>
      </w:r>
      <w:r w:rsidR="00224408">
        <w:rPr>
          <w:sz w:val="24"/>
          <w:szCs w:val="24"/>
        </w:rPr>
        <w:t xml:space="preserve">may </w:t>
      </w:r>
      <w:r w:rsidR="00D30333">
        <w:rPr>
          <w:sz w:val="24"/>
          <w:szCs w:val="24"/>
        </w:rPr>
        <w:t>lead to more LGBTQ persons dying in pain and alone</w:t>
      </w:r>
      <w:r w:rsidR="00224408">
        <w:rPr>
          <w:sz w:val="24"/>
          <w:szCs w:val="24"/>
        </w:rPr>
        <w:t xml:space="preserve">. LGBTQ individuals also have </w:t>
      </w:r>
      <w:r w:rsidR="000B1F1E">
        <w:rPr>
          <w:sz w:val="24"/>
          <w:szCs w:val="24"/>
        </w:rPr>
        <w:t>similar mis</w:t>
      </w:r>
      <w:r w:rsidR="00224408">
        <w:rPr>
          <w:sz w:val="24"/>
          <w:szCs w:val="24"/>
        </w:rPr>
        <w:t>perceptions</w:t>
      </w:r>
      <w:r w:rsidR="000B1F1E">
        <w:rPr>
          <w:sz w:val="24"/>
          <w:szCs w:val="24"/>
        </w:rPr>
        <w:t xml:space="preserve"> as their heterosexual counterparts about hospice and palliative care which also adds to the delay in seeking hospice care.  These misperceptions include that hospice is only for persons with cancer and that hospice is a place like a nursing home not a philosophy.  Another fear is the perception to family and friends that they have given up hope. Education to health care providers of culturally sensitive and inclusive care </w:t>
      </w:r>
      <w:r w:rsidR="007844E3">
        <w:rPr>
          <w:sz w:val="24"/>
          <w:szCs w:val="24"/>
        </w:rPr>
        <w:t>is one part in helping LGBTQ persons seek hospice care. However, hospice organizations need to outreach to LGBTQ communities and provide educational materials that specifically address the concerns of this population.</w:t>
      </w:r>
    </w:p>
    <w:p w14:paraId="56BD46BA" w14:textId="6D77DAD7" w:rsidR="00A25E05" w:rsidRPr="005117AB" w:rsidRDefault="00583514" w:rsidP="003A287D">
      <w:pPr>
        <w:spacing w:after="0"/>
        <w:ind w:firstLine="720"/>
        <w:rPr>
          <w:sz w:val="24"/>
          <w:szCs w:val="24"/>
        </w:rPr>
      </w:pPr>
      <w:bookmarkStart w:id="5" w:name="_Hlk517709619"/>
      <w:r>
        <w:rPr>
          <w:sz w:val="24"/>
          <w:szCs w:val="24"/>
        </w:rPr>
        <w:t xml:space="preserve">The setting for this DNP project is a hospice and palliative care organization located in  </w:t>
      </w:r>
      <w:r w:rsidR="00E13354">
        <w:rPr>
          <w:sz w:val="24"/>
          <w:szCs w:val="24"/>
        </w:rPr>
        <w:t>the southeast portion of the United States</w:t>
      </w:r>
      <w:r>
        <w:rPr>
          <w:sz w:val="24"/>
          <w:szCs w:val="24"/>
        </w:rPr>
        <w:t xml:space="preserve">. The agency </w:t>
      </w:r>
      <w:r w:rsidR="00A25E05">
        <w:rPr>
          <w:sz w:val="24"/>
          <w:szCs w:val="24"/>
        </w:rPr>
        <w:t xml:space="preserve">provides hospice and palliative care services to patients in the hospital, residence and at a freestanding inpatient hospice unit. Leadership at </w:t>
      </w:r>
      <w:r>
        <w:rPr>
          <w:sz w:val="24"/>
          <w:szCs w:val="24"/>
        </w:rPr>
        <w:t xml:space="preserve">the organization </w:t>
      </w:r>
      <w:r w:rsidR="00A25E05">
        <w:rPr>
          <w:sz w:val="24"/>
          <w:szCs w:val="24"/>
        </w:rPr>
        <w:t xml:space="preserve">identified </w:t>
      </w:r>
      <w:r w:rsidR="00A25E05" w:rsidRPr="007813B4">
        <w:rPr>
          <w:color w:val="000000"/>
          <w:sz w:val="24"/>
          <w:szCs w:val="24"/>
          <w:shd w:val="clear" w:color="auto" w:fill="FFFFFF"/>
        </w:rPr>
        <w:t xml:space="preserve">the need to improve the culture </w:t>
      </w:r>
      <w:r>
        <w:rPr>
          <w:color w:val="000000"/>
          <w:sz w:val="24"/>
          <w:szCs w:val="24"/>
          <w:shd w:val="clear" w:color="auto" w:fill="FFFFFF"/>
        </w:rPr>
        <w:t xml:space="preserve">at the agency </w:t>
      </w:r>
      <w:r w:rsidR="00A25E05" w:rsidRPr="007813B4">
        <w:rPr>
          <w:color w:val="000000"/>
          <w:sz w:val="24"/>
          <w:szCs w:val="24"/>
          <w:shd w:val="clear" w:color="auto" w:fill="FFFFFF"/>
        </w:rPr>
        <w:t xml:space="preserve">so that </w:t>
      </w:r>
      <w:r w:rsidR="00A25E05">
        <w:rPr>
          <w:color w:val="000000"/>
          <w:sz w:val="24"/>
          <w:szCs w:val="24"/>
          <w:shd w:val="clear" w:color="auto" w:fill="FFFFFF"/>
        </w:rPr>
        <w:t>all staff, patients and families</w:t>
      </w:r>
      <w:r w:rsidR="00A25E05" w:rsidRPr="007813B4">
        <w:rPr>
          <w:color w:val="000000"/>
          <w:sz w:val="24"/>
          <w:szCs w:val="24"/>
          <w:shd w:val="clear" w:color="auto" w:fill="FFFFFF"/>
        </w:rPr>
        <w:t xml:space="preserve"> feel welcome</w:t>
      </w:r>
      <w:r w:rsidR="00A25E05">
        <w:rPr>
          <w:sz w:val="24"/>
          <w:szCs w:val="24"/>
        </w:rPr>
        <w:t>.  An</w:t>
      </w:r>
      <w:r w:rsidR="00A25E05" w:rsidRPr="007813B4">
        <w:rPr>
          <w:color w:val="000000"/>
          <w:sz w:val="24"/>
          <w:szCs w:val="24"/>
          <w:shd w:val="clear" w:color="auto" w:fill="FFFFFF"/>
        </w:rPr>
        <w:t xml:space="preserve"> </w:t>
      </w:r>
      <w:r w:rsidR="00A25E05">
        <w:rPr>
          <w:color w:val="000000"/>
          <w:sz w:val="24"/>
          <w:szCs w:val="24"/>
          <w:shd w:val="clear" w:color="auto" w:fill="FFFFFF"/>
        </w:rPr>
        <w:t>interdisciplinary i</w:t>
      </w:r>
      <w:r w:rsidR="00A25E05" w:rsidRPr="007813B4">
        <w:rPr>
          <w:color w:val="000000"/>
          <w:sz w:val="24"/>
          <w:szCs w:val="24"/>
          <w:shd w:val="clear" w:color="auto" w:fill="FFFFFF"/>
        </w:rPr>
        <w:t xml:space="preserve">nclusion </w:t>
      </w:r>
      <w:r w:rsidR="00A25E05">
        <w:rPr>
          <w:color w:val="000000"/>
          <w:sz w:val="24"/>
          <w:szCs w:val="24"/>
          <w:shd w:val="clear" w:color="auto" w:fill="FFFFFF"/>
        </w:rPr>
        <w:t>w</w:t>
      </w:r>
      <w:r w:rsidR="00A25E05" w:rsidRPr="007813B4">
        <w:rPr>
          <w:color w:val="000000"/>
          <w:sz w:val="24"/>
          <w:szCs w:val="24"/>
          <w:shd w:val="clear" w:color="auto" w:fill="FFFFFF"/>
        </w:rPr>
        <w:t>orkgroup</w:t>
      </w:r>
      <w:r w:rsidR="00A25E05">
        <w:rPr>
          <w:color w:val="000000"/>
          <w:sz w:val="24"/>
          <w:szCs w:val="24"/>
          <w:shd w:val="clear" w:color="auto" w:fill="FFFFFF"/>
        </w:rPr>
        <w:t xml:space="preserve"> was developed to examine inclusivity, diversity, and culturally competent care</w:t>
      </w:r>
      <w:r>
        <w:rPr>
          <w:color w:val="000000"/>
          <w:sz w:val="24"/>
          <w:szCs w:val="24"/>
          <w:shd w:val="clear" w:color="auto" w:fill="FFFFFF"/>
        </w:rPr>
        <w:t xml:space="preserve"> within the organization</w:t>
      </w:r>
      <w:r w:rsidR="00A25E05">
        <w:rPr>
          <w:color w:val="000000"/>
          <w:sz w:val="24"/>
          <w:szCs w:val="24"/>
          <w:shd w:val="clear" w:color="auto" w:fill="FFFFFF"/>
        </w:rPr>
        <w:t>. Identified areas for improvement included</w:t>
      </w:r>
      <w:r w:rsidR="00A25E05" w:rsidRPr="00D65090">
        <w:rPr>
          <w:color w:val="212121"/>
          <w:sz w:val="24"/>
          <w:szCs w:val="24"/>
          <w:shd w:val="clear" w:color="auto" w:fill="FFFFFF"/>
        </w:rPr>
        <w:t xml:space="preserve"> </w:t>
      </w:r>
      <w:r w:rsidR="00A25E05">
        <w:rPr>
          <w:color w:val="212121"/>
          <w:sz w:val="24"/>
          <w:szCs w:val="24"/>
          <w:shd w:val="clear" w:color="auto" w:fill="FFFFFF"/>
        </w:rPr>
        <w:t>human resource</w:t>
      </w:r>
      <w:r w:rsidR="00A25E05" w:rsidRPr="00D65090">
        <w:rPr>
          <w:color w:val="212121"/>
          <w:sz w:val="24"/>
          <w:szCs w:val="24"/>
          <w:shd w:val="clear" w:color="auto" w:fill="FFFFFF"/>
        </w:rPr>
        <w:t xml:space="preserve"> policies and other administrative structures, clinician education and competency</w:t>
      </w:r>
      <w:r w:rsidR="00A25E05">
        <w:rPr>
          <w:color w:val="212121"/>
          <w:sz w:val="24"/>
          <w:szCs w:val="24"/>
          <w:shd w:val="clear" w:color="auto" w:fill="FFFFFF"/>
        </w:rPr>
        <w:t xml:space="preserve"> to provide culturally sensitive care</w:t>
      </w:r>
      <w:r w:rsidR="00A25E05" w:rsidRPr="00D65090">
        <w:rPr>
          <w:color w:val="212121"/>
          <w:sz w:val="24"/>
          <w:szCs w:val="24"/>
          <w:shd w:val="clear" w:color="auto" w:fill="FFFFFF"/>
        </w:rPr>
        <w:t xml:space="preserve"> </w:t>
      </w:r>
      <w:r w:rsidR="00A25E05" w:rsidRPr="00D65090">
        <w:rPr>
          <w:color w:val="212121"/>
          <w:sz w:val="24"/>
          <w:szCs w:val="24"/>
          <w:shd w:val="clear" w:color="auto" w:fill="FFFFFF"/>
        </w:rPr>
        <w:lastRenderedPageBreak/>
        <w:t>and outreach</w:t>
      </w:r>
      <w:r w:rsidR="00A25E05">
        <w:rPr>
          <w:color w:val="212121"/>
          <w:sz w:val="24"/>
          <w:szCs w:val="24"/>
          <w:shd w:val="clear" w:color="auto" w:fill="FFFFFF"/>
        </w:rPr>
        <w:t xml:space="preserve"> and </w:t>
      </w:r>
      <w:r w:rsidR="00A25E05" w:rsidRPr="00D65090">
        <w:rPr>
          <w:color w:val="212121"/>
          <w:sz w:val="24"/>
          <w:szCs w:val="24"/>
          <w:shd w:val="clear" w:color="auto" w:fill="FFFFFF"/>
        </w:rPr>
        <w:t>community ed</w:t>
      </w:r>
      <w:r w:rsidR="00A25E05">
        <w:rPr>
          <w:color w:val="212121"/>
          <w:sz w:val="24"/>
          <w:szCs w:val="24"/>
          <w:shd w:val="clear" w:color="auto" w:fill="FFFFFF"/>
        </w:rPr>
        <w:t>ucation</w:t>
      </w:r>
      <w:r w:rsidR="00A25E05" w:rsidRPr="00D65090">
        <w:rPr>
          <w:color w:val="212121"/>
          <w:sz w:val="24"/>
          <w:szCs w:val="24"/>
          <w:shd w:val="clear" w:color="auto" w:fill="FFFFFF"/>
        </w:rPr>
        <w:t xml:space="preserve"> </w:t>
      </w:r>
      <w:r w:rsidR="00A25E05">
        <w:rPr>
          <w:color w:val="212121"/>
          <w:sz w:val="24"/>
          <w:szCs w:val="24"/>
          <w:shd w:val="clear" w:color="auto" w:fill="FFFFFF"/>
        </w:rPr>
        <w:t>m</w:t>
      </w:r>
      <w:r w:rsidR="00A25E05" w:rsidRPr="00D65090">
        <w:rPr>
          <w:color w:val="212121"/>
          <w:sz w:val="24"/>
          <w:szCs w:val="24"/>
          <w:shd w:val="clear" w:color="auto" w:fill="FFFFFF"/>
        </w:rPr>
        <w:t>aterials</w:t>
      </w:r>
      <w:r w:rsidR="00A25E05" w:rsidRPr="005117AB">
        <w:rPr>
          <w:sz w:val="24"/>
          <w:szCs w:val="24"/>
        </w:rPr>
        <w:t>.  The LGBTQ population was identified as a priority</w:t>
      </w:r>
      <w:r w:rsidR="00B27C10">
        <w:rPr>
          <w:sz w:val="24"/>
          <w:szCs w:val="24"/>
        </w:rPr>
        <w:t>,</w:t>
      </w:r>
      <w:r w:rsidR="00A25E05" w:rsidRPr="005117AB">
        <w:rPr>
          <w:sz w:val="24"/>
          <w:szCs w:val="24"/>
        </w:rPr>
        <w:t xml:space="preserve"> since there currently are </w:t>
      </w:r>
      <w:r w:rsidR="00AB1C2A">
        <w:rPr>
          <w:sz w:val="24"/>
          <w:szCs w:val="24"/>
        </w:rPr>
        <w:t>limited</w:t>
      </w:r>
      <w:r w:rsidR="00A25E05" w:rsidRPr="005117AB">
        <w:rPr>
          <w:sz w:val="24"/>
          <w:szCs w:val="24"/>
        </w:rPr>
        <w:t xml:space="preserve"> staff </w:t>
      </w:r>
      <w:r w:rsidR="00EA073E">
        <w:rPr>
          <w:sz w:val="24"/>
          <w:szCs w:val="24"/>
        </w:rPr>
        <w:t>education module</w:t>
      </w:r>
      <w:r w:rsidR="00A25E05" w:rsidRPr="005117AB">
        <w:rPr>
          <w:sz w:val="24"/>
          <w:szCs w:val="24"/>
        </w:rPr>
        <w:t xml:space="preserve">s provided specific to LGBTQ </w:t>
      </w:r>
      <w:r w:rsidR="00B27C10">
        <w:rPr>
          <w:sz w:val="24"/>
          <w:szCs w:val="24"/>
        </w:rPr>
        <w:t>individuals</w:t>
      </w:r>
      <w:r w:rsidR="00A25E05" w:rsidRPr="005117AB">
        <w:rPr>
          <w:sz w:val="24"/>
          <w:szCs w:val="24"/>
        </w:rPr>
        <w:t>. The education department along with the leadership team from the inpatient hospice home identified the need for staff education related to cultural sensitivity care to include use of inclusive language at time of admission to the hospice home.  Through use of inclusive language at time of admission all persons would feel welcomed into the hospice home setting.</w:t>
      </w:r>
    </w:p>
    <w:bookmarkEnd w:id="5"/>
    <w:p w14:paraId="4C406574" w14:textId="18315B43" w:rsidR="00824FCA" w:rsidRDefault="00824FCA" w:rsidP="003A287D">
      <w:pPr>
        <w:pStyle w:val="APA"/>
        <w:ind w:firstLine="0"/>
        <w:rPr>
          <w:b/>
        </w:rPr>
      </w:pPr>
      <w:r>
        <w:rPr>
          <w:b/>
        </w:rPr>
        <w:t>Question Guiding Inquiry (PICO)</w:t>
      </w:r>
      <w:r w:rsidR="0089760D" w:rsidRPr="0089760D">
        <w:rPr>
          <w:rFonts w:eastAsiaTheme="minorHAnsi"/>
          <w:szCs w:val="24"/>
        </w:rPr>
        <w:t xml:space="preserve"> </w:t>
      </w:r>
    </w:p>
    <w:p w14:paraId="7A415E74" w14:textId="14BF0AF3" w:rsidR="00824FCA" w:rsidRDefault="00A27707" w:rsidP="003A287D">
      <w:pPr>
        <w:pStyle w:val="APA"/>
        <w:ind w:firstLine="630"/>
      </w:pPr>
      <w:r>
        <w:rPr>
          <w:b/>
        </w:rPr>
        <w:t>Population</w:t>
      </w:r>
      <w:r w:rsidR="004E465D">
        <w:rPr>
          <w:b/>
        </w:rPr>
        <w:t xml:space="preserve">. </w:t>
      </w:r>
      <w:r w:rsidR="004E465D">
        <w:t>P</w:t>
      </w:r>
      <w:r w:rsidR="00F00562" w:rsidRPr="00F00562">
        <w:t>atients admitted to the inpatient hospice home were</w:t>
      </w:r>
      <w:r w:rsidR="004E465D">
        <w:t xml:space="preserve"> potentially</w:t>
      </w:r>
      <w:r w:rsidR="00F00562" w:rsidRPr="00F00562">
        <w:t xml:space="preserve"> in receipt of the intervention with the idea that all persons including members of the LGBTQ community would </w:t>
      </w:r>
      <w:r w:rsidR="00B27C10">
        <w:t xml:space="preserve">experience </w:t>
      </w:r>
      <w:r w:rsidR="00F00562" w:rsidRPr="00F00562">
        <w:t>inclusive language at time of admission.</w:t>
      </w:r>
      <w:r w:rsidR="00F00562">
        <w:rPr>
          <w:b/>
        </w:rPr>
        <w:t xml:space="preserve"> </w:t>
      </w:r>
      <w:r w:rsidR="00990C7A">
        <w:t xml:space="preserve">The project </w:t>
      </w:r>
      <w:r w:rsidR="00F00562">
        <w:t xml:space="preserve">also focused on the </w:t>
      </w:r>
      <w:r w:rsidR="008F53CA">
        <w:t>registered</w:t>
      </w:r>
      <w:r w:rsidR="00820C22">
        <w:t xml:space="preserve"> nurses in the </w:t>
      </w:r>
      <w:r w:rsidR="008F53CA">
        <w:t xml:space="preserve">inpatient </w:t>
      </w:r>
      <w:r w:rsidR="00820C22">
        <w:t xml:space="preserve">hospice home setting that have been trained </w:t>
      </w:r>
      <w:r w:rsidR="008F53CA">
        <w:t>on the admission process</w:t>
      </w:r>
      <w:r w:rsidR="00820C22">
        <w:t xml:space="preserve"> to the hospice home</w:t>
      </w:r>
      <w:r w:rsidR="00990C7A">
        <w:t xml:space="preserve">.  </w:t>
      </w:r>
      <w:r w:rsidR="00D745AF">
        <w:t xml:space="preserve">Hospice home staff including licensed practical nurses and certified nursing assistants were also a component of the population. </w:t>
      </w:r>
      <w:r w:rsidR="00820C22">
        <w:t>The hospice home setting is a 30-bed inpatient freestanding facility</w:t>
      </w:r>
      <w:r w:rsidR="00F00562">
        <w:t xml:space="preserve"> and </w:t>
      </w:r>
      <w:r w:rsidR="00820C22">
        <w:t>has three levels of care: general inpatient services, routine level of care and respite care.</w:t>
      </w:r>
      <w:r w:rsidR="00872E16">
        <w:t xml:space="preserve">  </w:t>
      </w:r>
    </w:p>
    <w:p w14:paraId="2D39D07E" w14:textId="590246E7" w:rsidR="00A27707" w:rsidRDefault="00A27707" w:rsidP="000D0B55">
      <w:pPr>
        <w:pStyle w:val="APA"/>
        <w:rPr>
          <w:b/>
        </w:rPr>
      </w:pPr>
      <w:r>
        <w:rPr>
          <w:b/>
        </w:rPr>
        <w:t>Intervention</w:t>
      </w:r>
      <w:r>
        <w:t xml:space="preserve">.  </w:t>
      </w:r>
      <w:r w:rsidR="00820C22">
        <w:t xml:space="preserve">Implementation of a LGBTQ specific </w:t>
      </w:r>
      <w:r w:rsidR="00EA073E">
        <w:t>education module</w:t>
      </w:r>
      <w:r w:rsidR="00820C22">
        <w:t xml:space="preserve"> </w:t>
      </w:r>
      <w:r w:rsidR="00820C22" w:rsidRPr="00F00562">
        <w:rPr>
          <w:i/>
        </w:rPr>
        <w:t>Creating a Welcoming Space for LGBTQ Clients and Families at End of Life</w:t>
      </w:r>
      <w:r w:rsidR="00D745AF">
        <w:rPr>
          <w:i/>
        </w:rPr>
        <w:t xml:space="preserve"> </w:t>
      </w:r>
      <w:r w:rsidR="00D745AF">
        <w:t>was a main component to this DNP project.</w:t>
      </w:r>
      <w:r w:rsidR="00486A7E">
        <w:t xml:space="preserve"> </w:t>
      </w:r>
      <w:r w:rsidR="00F35BC0">
        <w:t>Th</w:t>
      </w:r>
      <w:r w:rsidR="00367487">
        <w:t>is one</w:t>
      </w:r>
      <w:r w:rsidR="00486A7E">
        <w:t>-</w:t>
      </w:r>
      <w:r w:rsidR="00367487">
        <w:t>hour, continu</w:t>
      </w:r>
      <w:r w:rsidR="00E719A9">
        <w:t xml:space="preserve">ing </w:t>
      </w:r>
      <w:r w:rsidR="00EA073E">
        <w:t>education module</w:t>
      </w:r>
      <w:r w:rsidR="00872E16">
        <w:t>,</w:t>
      </w:r>
      <w:r w:rsidR="00F35BC0">
        <w:t xml:space="preserve"> w</w:t>
      </w:r>
      <w:r w:rsidR="008F53CA">
        <w:t>as</w:t>
      </w:r>
      <w:r w:rsidR="00F35BC0">
        <w:t xml:space="preserve"> delivered to staff</w:t>
      </w:r>
      <w:r w:rsidR="00D745AF">
        <w:t xml:space="preserve"> at two separate offerings</w:t>
      </w:r>
      <w:r w:rsidR="00F35BC0">
        <w:t xml:space="preserve">. </w:t>
      </w:r>
      <w:r w:rsidR="008F53CA">
        <w:t xml:space="preserve"> The </w:t>
      </w:r>
      <w:r w:rsidR="00EA073E">
        <w:t>education module</w:t>
      </w:r>
      <w:r w:rsidR="008F53CA">
        <w:t xml:space="preserve"> provided information o</w:t>
      </w:r>
      <w:r w:rsidR="00D745AF">
        <w:t>n</w:t>
      </w:r>
      <w:r w:rsidR="008F53CA">
        <w:t xml:space="preserve"> terminology, health issues suffered by LGBTQ</w:t>
      </w:r>
      <w:r w:rsidR="00D745AF">
        <w:t xml:space="preserve"> individuals</w:t>
      </w:r>
      <w:r w:rsidR="008F53CA">
        <w:t xml:space="preserve">, access to care issues and the need to use inclusive language and open-ended questions during the admission process. This program was delivered through </w:t>
      </w:r>
      <w:r w:rsidR="008F5F6D">
        <w:t xml:space="preserve">a Microsoft® PowerPoint </w:t>
      </w:r>
      <w:r w:rsidR="008F53CA">
        <w:t>presentation as well as interactive group activities.</w:t>
      </w:r>
    </w:p>
    <w:p w14:paraId="0881E454" w14:textId="19E2477C" w:rsidR="00A27707" w:rsidRDefault="00A27707" w:rsidP="00534D5E">
      <w:pPr>
        <w:pStyle w:val="APA"/>
        <w:rPr>
          <w:b/>
        </w:rPr>
      </w:pPr>
      <w:r>
        <w:rPr>
          <w:b/>
        </w:rPr>
        <w:lastRenderedPageBreak/>
        <w:t>Comparison</w:t>
      </w:r>
      <w:r>
        <w:t xml:space="preserve">.  </w:t>
      </w:r>
      <w:r w:rsidR="004E465D">
        <w:t xml:space="preserve">Through feedback from the attendees of the </w:t>
      </w:r>
      <w:r w:rsidR="004F191E">
        <w:t>education module</w:t>
      </w:r>
      <w:r w:rsidR="004E465D">
        <w:t xml:space="preserve">, implementing the </w:t>
      </w:r>
      <w:r w:rsidR="004F191E">
        <w:t xml:space="preserve">education module </w:t>
      </w:r>
      <w:r w:rsidR="004E465D">
        <w:t xml:space="preserve">to all new staff at time of hire was considered. Current education provided at time of new hire regarding use of inclusive language and terminology was compared to the project </w:t>
      </w:r>
      <w:r w:rsidR="004F191E">
        <w:t>education module</w:t>
      </w:r>
      <w:r w:rsidR="004E465D">
        <w:t xml:space="preserve">. </w:t>
      </w:r>
      <w:r w:rsidR="00534D5E">
        <w:t>After comparison,</w:t>
      </w:r>
      <w:r w:rsidR="004E465D">
        <w:t xml:space="preserve"> an education module was suggested to </w:t>
      </w:r>
      <w:r w:rsidR="00534D5E">
        <w:t xml:space="preserve">the education department for new hire orientation. </w:t>
      </w:r>
    </w:p>
    <w:p w14:paraId="6F2E9F4A" w14:textId="6EF34FA3" w:rsidR="00AB1C2A" w:rsidRDefault="00534D5E" w:rsidP="00897DAA">
      <w:pPr>
        <w:spacing w:after="0"/>
        <w:rPr>
          <w:sz w:val="24"/>
          <w:szCs w:val="24"/>
        </w:rPr>
      </w:pPr>
      <w:r>
        <w:rPr>
          <w:b/>
        </w:rPr>
        <w:tab/>
      </w:r>
      <w:r w:rsidR="00A27707" w:rsidRPr="002F2CA9">
        <w:rPr>
          <w:b/>
          <w:sz w:val="24"/>
          <w:szCs w:val="24"/>
        </w:rPr>
        <w:t>Outcome</w:t>
      </w:r>
      <w:r w:rsidR="00486A7E">
        <w:rPr>
          <w:b/>
          <w:sz w:val="24"/>
          <w:szCs w:val="24"/>
        </w:rPr>
        <w:t>s</w:t>
      </w:r>
      <w:r>
        <w:rPr>
          <w:b/>
        </w:rPr>
        <w:t xml:space="preserve">. </w:t>
      </w:r>
      <w:bookmarkStart w:id="6" w:name="_Hlk522979138"/>
      <w:r w:rsidRPr="00534D5E">
        <w:rPr>
          <w:sz w:val="24"/>
          <w:szCs w:val="24"/>
        </w:rPr>
        <w:t xml:space="preserve">1. Attendance of 30% of Hospice Home staff to education module “Creating a Welcoming Space for LGBTQ Clients and Families at End of Life in the Hospice Setting”, with 1.0 </w:t>
      </w:r>
      <w:r w:rsidR="00DE0E2E">
        <w:rPr>
          <w:sz w:val="24"/>
          <w:szCs w:val="24"/>
        </w:rPr>
        <w:t>Continuing Nurse Education (</w:t>
      </w:r>
      <w:r w:rsidRPr="00534D5E">
        <w:rPr>
          <w:sz w:val="24"/>
          <w:szCs w:val="24"/>
        </w:rPr>
        <w:t>CNE</w:t>
      </w:r>
      <w:r w:rsidR="00DE0E2E">
        <w:rPr>
          <w:sz w:val="24"/>
          <w:szCs w:val="24"/>
        </w:rPr>
        <w:t>)</w:t>
      </w:r>
      <w:r w:rsidRPr="00534D5E">
        <w:rPr>
          <w:sz w:val="24"/>
          <w:szCs w:val="24"/>
        </w:rPr>
        <w:t xml:space="preserve"> credit.</w:t>
      </w:r>
      <w:r w:rsidRPr="00534D5E">
        <w:t xml:space="preserve"> </w:t>
      </w:r>
      <w:r w:rsidR="002738BF">
        <w:t xml:space="preserve"> </w:t>
      </w:r>
      <w:r w:rsidRPr="00534D5E">
        <w:rPr>
          <w:sz w:val="24"/>
          <w:szCs w:val="24"/>
        </w:rPr>
        <w:t xml:space="preserve">2. Effective implementation of “Creating a Welcoming Space for LGBTQ Clients and Families at End of Life in the Hospice Setting”, a LGBTQ specific culturally sensitive care </w:t>
      </w:r>
      <w:r w:rsidR="00EA073E">
        <w:rPr>
          <w:sz w:val="24"/>
          <w:szCs w:val="24"/>
        </w:rPr>
        <w:t>education module</w:t>
      </w:r>
      <w:r w:rsidRPr="00534D5E">
        <w:rPr>
          <w:sz w:val="24"/>
          <w:szCs w:val="24"/>
        </w:rPr>
        <w:t xml:space="preserve"> to new staff at time of orientation</w:t>
      </w:r>
      <w:r w:rsidR="001B6988">
        <w:rPr>
          <w:sz w:val="24"/>
          <w:szCs w:val="24"/>
        </w:rPr>
        <w:t xml:space="preserve"> to the organization. </w:t>
      </w:r>
      <w:r w:rsidRPr="00534D5E">
        <w:rPr>
          <w:sz w:val="24"/>
          <w:szCs w:val="24"/>
        </w:rPr>
        <w:t>3</w:t>
      </w:r>
      <w:r w:rsidRPr="00AB1C2A">
        <w:rPr>
          <w:sz w:val="24"/>
          <w:szCs w:val="24"/>
        </w:rPr>
        <w:t xml:space="preserve">. </w:t>
      </w:r>
      <w:r w:rsidR="00AB1C2A" w:rsidRPr="00AB1C2A">
        <w:rPr>
          <w:sz w:val="24"/>
          <w:szCs w:val="24"/>
        </w:rPr>
        <w:t>Initiate an organizational approach to increase use of inclusive language and terminology education through orientation and annual training.</w:t>
      </w:r>
      <w:bookmarkEnd w:id="6"/>
    </w:p>
    <w:p w14:paraId="362EC14A" w14:textId="29F6768C" w:rsidR="005E0AD4" w:rsidRPr="00AB1C2A" w:rsidRDefault="00824FCA" w:rsidP="00897DAA">
      <w:pPr>
        <w:spacing w:after="0"/>
        <w:rPr>
          <w:b/>
          <w:sz w:val="24"/>
          <w:szCs w:val="24"/>
        </w:rPr>
      </w:pPr>
      <w:r w:rsidRPr="00AB1C2A">
        <w:rPr>
          <w:b/>
          <w:sz w:val="24"/>
          <w:szCs w:val="24"/>
        </w:rPr>
        <w:t>Summary</w:t>
      </w:r>
      <w:r w:rsidR="0089760D" w:rsidRPr="00AB1C2A">
        <w:rPr>
          <w:b/>
          <w:sz w:val="24"/>
          <w:szCs w:val="24"/>
        </w:rPr>
        <w:t xml:space="preserve"> </w:t>
      </w:r>
    </w:p>
    <w:p w14:paraId="2334CAAF" w14:textId="7476EB4A" w:rsidR="00E550EE" w:rsidRDefault="005E0AD4" w:rsidP="00897DAA">
      <w:pPr>
        <w:pStyle w:val="APA"/>
        <w:ind w:firstLine="0"/>
        <w:rPr>
          <w:rFonts w:eastAsiaTheme="minorHAnsi"/>
          <w:szCs w:val="24"/>
        </w:rPr>
      </w:pPr>
      <w:r>
        <w:rPr>
          <w:rFonts w:eastAsiaTheme="minorHAnsi"/>
          <w:szCs w:val="24"/>
        </w:rPr>
        <w:tab/>
      </w:r>
      <w:r w:rsidR="00797851">
        <w:rPr>
          <w:rFonts w:eastAsiaTheme="minorHAnsi"/>
          <w:szCs w:val="24"/>
        </w:rPr>
        <w:t>Health disparities and inequities are evident in the health care setting. One population that suffers significantly is the LGBTQ</w:t>
      </w:r>
      <w:r w:rsidR="001B6988">
        <w:rPr>
          <w:rFonts w:eastAsiaTheme="minorHAnsi"/>
          <w:szCs w:val="24"/>
        </w:rPr>
        <w:t xml:space="preserve"> community</w:t>
      </w:r>
      <w:r w:rsidR="00797851">
        <w:rPr>
          <w:rFonts w:eastAsiaTheme="minorHAnsi"/>
          <w:szCs w:val="24"/>
        </w:rPr>
        <w:t xml:space="preserve">.  </w:t>
      </w:r>
      <w:r w:rsidR="00DC2E7C">
        <w:rPr>
          <w:rFonts w:eastAsiaTheme="minorHAnsi"/>
          <w:szCs w:val="24"/>
        </w:rPr>
        <w:t xml:space="preserve">LGBTQ elders suffer from chronic illnesses including an increased incidence of certain </w:t>
      </w:r>
      <w:r w:rsidR="00C277B1">
        <w:rPr>
          <w:rFonts w:eastAsiaTheme="minorHAnsi"/>
          <w:szCs w:val="24"/>
        </w:rPr>
        <w:t>cancers,</w:t>
      </w:r>
      <w:r w:rsidR="00DC2E7C">
        <w:rPr>
          <w:rFonts w:eastAsiaTheme="minorHAnsi"/>
          <w:szCs w:val="24"/>
        </w:rPr>
        <w:t xml:space="preserve"> yet many LGBTQ older adults </w:t>
      </w:r>
      <w:r w:rsidR="00C277B1">
        <w:rPr>
          <w:rFonts w:eastAsiaTheme="minorHAnsi"/>
          <w:szCs w:val="24"/>
        </w:rPr>
        <w:t xml:space="preserve">do not seek proper health care for many reasons. One significant reason is the lack of a welcoming environment and knowledge of LGBTQ specific needs by health care workers. </w:t>
      </w:r>
      <w:r w:rsidR="00797851">
        <w:rPr>
          <w:rFonts w:eastAsiaTheme="minorHAnsi"/>
          <w:szCs w:val="24"/>
        </w:rPr>
        <w:t xml:space="preserve">The lack of education </w:t>
      </w:r>
      <w:r w:rsidR="0000431D">
        <w:rPr>
          <w:rFonts w:eastAsiaTheme="minorHAnsi"/>
          <w:szCs w:val="24"/>
        </w:rPr>
        <w:t>of</w:t>
      </w:r>
      <w:r w:rsidR="00797851">
        <w:rPr>
          <w:rFonts w:eastAsiaTheme="minorHAnsi"/>
          <w:szCs w:val="24"/>
        </w:rPr>
        <w:t xml:space="preserve"> health care providers in pro</w:t>
      </w:r>
      <w:r w:rsidR="0000431D">
        <w:rPr>
          <w:rFonts w:eastAsiaTheme="minorHAnsi"/>
          <w:szCs w:val="24"/>
        </w:rPr>
        <w:t>viding culturally sensitive care has been found to be a major barrier.  Through proper education and training on</w:t>
      </w:r>
      <w:r w:rsidR="001B6988">
        <w:rPr>
          <w:rFonts w:eastAsiaTheme="minorHAnsi"/>
          <w:szCs w:val="24"/>
        </w:rPr>
        <w:t xml:space="preserve"> terminology,</w:t>
      </w:r>
      <w:r w:rsidR="0000431D">
        <w:rPr>
          <w:rFonts w:eastAsiaTheme="minorHAnsi"/>
          <w:szCs w:val="24"/>
        </w:rPr>
        <w:t xml:space="preserve"> use of inclusive language</w:t>
      </w:r>
      <w:r w:rsidR="00C277B1">
        <w:rPr>
          <w:rFonts w:eastAsiaTheme="minorHAnsi"/>
          <w:szCs w:val="24"/>
        </w:rPr>
        <w:t xml:space="preserve"> and open-ended questions</w:t>
      </w:r>
      <w:r w:rsidR="0000431D">
        <w:rPr>
          <w:rFonts w:eastAsiaTheme="minorHAnsi"/>
          <w:szCs w:val="24"/>
        </w:rPr>
        <w:t>, the gap allowing the LGBTQ community to feel secure and the health care provider feeling comfortable narrow</w:t>
      </w:r>
      <w:r w:rsidR="00E550EE">
        <w:rPr>
          <w:rFonts w:eastAsiaTheme="minorHAnsi"/>
          <w:szCs w:val="24"/>
        </w:rPr>
        <w:t>s</w:t>
      </w:r>
      <w:r w:rsidR="0000431D">
        <w:rPr>
          <w:rFonts w:eastAsiaTheme="minorHAnsi"/>
          <w:szCs w:val="24"/>
        </w:rPr>
        <w:t>.</w:t>
      </w:r>
      <w:r w:rsidR="00797851">
        <w:rPr>
          <w:rFonts w:eastAsiaTheme="minorHAnsi"/>
          <w:szCs w:val="24"/>
        </w:rPr>
        <w:t xml:space="preserve"> </w:t>
      </w:r>
    </w:p>
    <w:p w14:paraId="38D18127" w14:textId="2015F323" w:rsidR="009A5853" w:rsidRDefault="00E550EE" w:rsidP="00E550EE">
      <w:pPr>
        <w:pStyle w:val="APA"/>
        <w:rPr>
          <w:rFonts w:eastAsiaTheme="minorHAnsi"/>
          <w:szCs w:val="24"/>
        </w:rPr>
      </w:pPr>
      <w:r>
        <w:rPr>
          <w:rFonts w:eastAsiaTheme="minorHAnsi"/>
          <w:szCs w:val="24"/>
        </w:rPr>
        <w:lastRenderedPageBreak/>
        <w:t>Persons at end-of-life are a vulnerable population and require compassionate and professional nursing care. LGBTQ persons at end-of-life are at increased vulnerability and require an open, non-judgmental approach from health care providers. The use of open communication with use of</w:t>
      </w:r>
      <w:r w:rsidR="000D6AAF">
        <w:rPr>
          <w:rFonts w:eastAsiaTheme="minorHAnsi"/>
          <w:szCs w:val="24"/>
        </w:rPr>
        <w:t xml:space="preserve"> neutral and</w:t>
      </w:r>
      <w:r>
        <w:rPr>
          <w:rFonts w:eastAsiaTheme="minorHAnsi"/>
          <w:szCs w:val="24"/>
        </w:rPr>
        <w:t xml:space="preserve"> inclusive language and open-ended questions</w:t>
      </w:r>
      <w:r w:rsidR="0054013B">
        <w:rPr>
          <w:rFonts w:eastAsiaTheme="minorHAnsi"/>
          <w:szCs w:val="24"/>
        </w:rPr>
        <w:t xml:space="preserve"> increases culturally competent care. This increase in providing culturally competent care allows for the LGBTQ community to seek and receive the benefits of hospice and palliative care services in a timely manner. After</w:t>
      </w:r>
      <w:r w:rsidR="00054843">
        <w:rPr>
          <w:rFonts w:eastAsiaTheme="minorHAnsi"/>
          <w:szCs w:val="24"/>
        </w:rPr>
        <w:t xml:space="preserve"> the clinical problem was defined, evidence was needed to be appraised to ascertain an appropriate solution.</w:t>
      </w:r>
    </w:p>
    <w:p w14:paraId="051D5957" w14:textId="77777777" w:rsidR="009A5853" w:rsidRDefault="009A5853">
      <w:pPr>
        <w:rPr>
          <w:rFonts w:eastAsiaTheme="minorHAnsi"/>
          <w:sz w:val="24"/>
          <w:szCs w:val="24"/>
        </w:rPr>
      </w:pPr>
      <w:r>
        <w:rPr>
          <w:rFonts w:eastAsiaTheme="minorHAnsi"/>
          <w:szCs w:val="24"/>
        </w:rPr>
        <w:br w:type="page"/>
      </w:r>
    </w:p>
    <w:p w14:paraId="3B44BC56" w14:textId="01872258" w:rsidR="00824FCA" w:rsidRDefault="002F2CA9" w:rsidP="002F2CA9">
      <w:pPr>
        <w:pStyle w:val="APA"/>
        <w:tabs>
          <w:tab w:val="left" w:pos="1860"/>
        </w:tabs>
        <w:ind w:firstLine="0"/>
        <w:rPr>
          <w:b/>
        </w:rPr>
      </w:pPr>
      <w:r>
        <w:rPr>
          <w:b/>
        </w:rPr>
        <w:lastRenderedPageBreak/>
        <w:tab/>
      </w:r>
      <w:r w:rsidR="00824FCA">
        <w:rPr>
          <w:b/>
        </w:rPr>
        <w:t>Chapter Two:  Review of the Literature</w:t>
      </w:r>
    </w:p>
    <w:p w14:paraId="2AF1C9FF" w14:textId="11785C65" w:rsidR="002A1F3E" w:rsidRDefault="00456EBA" w:rsidP="002A1F3E">
      <w:pPr>
        <w:pStyle w:val="APA"/>
        <w:rPr>
          <w:b/>
        </w:rPr>
      </w:pPr>
      <w:r>
        <w:t xml:space="preserve">Review of the literature was conducted to support the need for education to health care providers to address the challenges that </w:t>
      </w:r>
      <w:r w:rsidR="00F659E6">
        <w:t xml:space="preserve">lesbian, gay, bisexual, transgender, and queer/questioning </w:t>
      </w:r>
      <w:r>
        <w:t xml:space="preserve"> </w:t>
      </w:r>
      <w:r w:rsidR="00F659E6">
        <w:t>(</w:t>
      </w:r>
      <w:r>
        <w:t>LGBTQ</w:t>
      </w:r>
      <w:r w:rsidR="00F659E6">
        <w:t>)</w:t>
      </w:r>
      <w:r>
        <w:t xml:space="preserve"> patients face at end-of-life.  Through review of the literature common themes became evident that further explain the various barriers that inhibit culturally competent care to this vulnerable population. Strategies to overcome these barriers were also discovered through literature review. </w:t>
      </w:r>
      <w:r w:rsidR="00054843">
        <w:t>The purpose of this chapter is t</w:t>
      </w:r>
      <w:r w:rsidR="00E719A9">
        <w:t>o summarize themes found in review of the literature to support the evidenced based project.</w:t>
      </w:r>
    </w:p>
    <w:p w14:paraId="4F3B9352" w14:textId="383D4949" w:rsidR="00824FCA" w:rsidRDefault="00824FCA" w:rsidP="00824FCA">
      <w:pPr>
        <w:pStyle w:val="APA"/>
        <w:ind w:firstLine="0"/>
        <w:rPr>
          <w:b/>
        </w:rPr>
      </w:pPr>
      <w:r>
        <w:rPr>
          <w:b/>
        </w:rPr>
        <w:t>Methodology</w:t>
      </w:r>
      <w:r w:rsidR="00421CF2">
        <w:rPr>
          <w:b/>
        </w:rPr>
        <w:t xml:space="preserve"> </w:t>
      </w:r>
      <w:r w:rsidR="00705608">
        <w:rPr>
          <w:rFonts w:eastAsiaTheme="minorHAnsi"/>
          <w:szCs w:val="24"/>
        </w:rPr>
        <w:t xml:space="preserve"> </w:t>
      </w:r>
      <w:r w:rsidR="00421CF2">
        <w:rPr>
          <w:rFonts w:eastAsiaTheme="minorHAnsi"/>
          <w:szCs w:val="24"/>
        </w:rPr>
        <w:t xml:space="preserve"> </w:t>
      </w:r>
    </w:p>
    <w:p w14:paraId="4F4EEF82" w14:textId="3C70D496" w:rsidR="00F87278" w:rsidRDefault="00824FCA" w:rsidP="00824FCA">
      <w:pPr>
        <w:pStyle w:val="APA"/>
      </w:pPr>
      <w:r>
        <w:rPr>
          <w:b/>
        </w:rPr>
        <w:t>Sampling strategies</w:t>
      </w:r>
      <w:r w:rsidRPr="00241808">
        <w:rPr>
          <w:b/>
        </w:rPr>
        <w:t>.</w:t>
      </w:r>
      <w:r>
        <w:t xml:space="preserve"> </w:t>
      </w:r>
      <w:r w:rsidR="00720E95">
        <w:rPr>
          <w:rFonts w:eastAsiaTheme="minorHAnsi"/>
          <w:szCs w:val="24"/>
        </w:rPr>
        <w:t xml:space="preserve"> </w:t>
      </w:r>
      <w:r w:rsidR="00F87278">
        <w:rPr>
          <w:rFonts w:eastAsiaTheme="minorHAnsi"/>
          <w:szCs w:val="24"/>
        </w:rPr>
        <w:t>R</w:t>
      </w:r>
      <w:r w:rsidR="001207E5" w:rsidRPr="00303C48">
        <w:rPr>
          <w:rFonts w:eastAsiaTheme="minorHAnsi"/>
        </w:rPr>
        <w:t xml:space="preserve">eview of the literature was conducted using </w:t>
      </w:r>
      <w:r w:rsidR="00020BB8">
        <w:rPr>
          <w:rFonts w:eastAsiaTheme="minorHAnsi"/>
        </w:rPr>
        <w:t xml:space="preserve">combinations of </w:t>
      </w:r>
      <w:r w:rsidR="001207E5" w:rsidRPr="00303C48">
        <w:rPr>
          <w:rFonts w:eastAsiaTheme="minorHAnsi"/>
        </w:rPr>
        <w:t xml:space="preserve">key search </w:t>
      </w:r>
      <w:r w:rsidR="001207E5" w:rsidRPr="003A6B3F">
        <w:rPr>
          <w:rFonts w:eastAsiaTheme="minorHAnsi"/>
          <w:i/>
        </w:rPr>
        <w:t xml:space="preserve">terms </w:t>
      </w:r>
      <w:r w:rsidR="00303C48" w:rsidRPr="003A6B3F">
        <w:rPr>
          <w:rFonts w:eastAsiaTheme="minorHAnsi"/>
          <w:i/>
        </w:rPr>
        <w:t>LGBT</w:t>
      </w:r>
      <w:r w:rsidR="001207E5" w:rsidRPr="003A6B3F">
        <w:rPr>
          <w:rFonts w:eastAsiaTheme="minorHAnsi"/>
          <w:i/>
        </w:rPr>
        <w:t xml:space="preserve">, </w:t>
      </w:r>
      <w:r w:rsidR="00303C48" w:rsidRPr="003A6B3F">
        <w:rPr>
          <w:rFonts w:eastAsiaTheme="minorHAnsi"/>
          <w:i/>
        </w:rPr>
        <w:t xml:space="preserve">LGBTQ, </w:t>
      </w:r>
      <w:r w:rsidR="001207E5" w:rsidRPr="003A6B3F">
        <w:rPr>
          <w:rFonts w:eastAsiaTheme="minorHAnsi"/>
          <w:i/>
        </w:rPr>
        <w:t>inclusiv</w:t>
      </w:r>
      <w:r w:rsidR="00303C48" w:rsidRPr="003A6B3F">
        <w:rPr>
          <w:rFonts w:eastAsiaTheme="minorHAnsi"/>
          <w:i/>
        </w:rPr>
        <w:t>e language</w:t>
      </w:r>
      <w:r w:rsidR="001207E5" w:rsidRPr="003A6B3F">
        <w:rPr>
          <w:rFonts w:eastAsiaTheme="minorHAnsi"/>
          <w:i/>
        </w:rPr>
        <w:t>, cultural competenc</w:t>
      </w:r>
      <w:r w:rsidR="00A83441" w:rsidRPr="003A6B3F">
        <w:rPr>
          <w:rFonts w:eastAsiaTheme="minorHAnsi"/>
          <w:i/>
        </w:rPr>
        <w:t>y</w:t>
      </w:r>
      <w:r w:rsidR="001207E5" w:rsidRPr="003A6B3F">
        <w:rPr>
          <w:rFonts w:eastAsiaTheme="minorHAnsi"/>
          <w:i/>
        </w:rPr>
        <w:t xml:space="preserve">, cultural sensitivity, </w:t>
      </w:r>
      <w:r w:rsidR="00E719A9" w:rsidRPr="003A6B3F">
        <w:rPr>
          <w:rFonts w:eastAsiaTheme="minorHAnsi"/>
          <w:i/>
        </w:rPr>
        <w:t xml:space="preserve">barriers, </w:t>
      </w:r>
      <w:r w:rsidR="00630AEB" w:rsidRPr="003A6B3F">
        <w:rPr>
          <w:rFonts w:eastAsiaTheme="minorHAnsi"/>
          <w:i/>
        </w:rPr>
        <w:t xml:space="preserve">palliative care, </w:t>
      </w:r>
      <w:r w:rsidR="001207E5" w:rsidRPr="003A6B3F">
        <w:rPr>
          <w:rFonts w:eastAsiaTheme="minorHAnsi"/>
          <w:i/>
        </w:rPr>
        <w:t xml:space="preserve">hospice, </w:t>
      </w:r>
      <w:r w:rsidR="00630AEB" w:rsidRPr="007F6059">
        <w:rPr>
          <w:rFonts w:eastAsiaTheme="minorHAnsi"/>
        </w:rPr>
        <w:t>and</w:t>
      </w:r>
      <w:r w:rsidR="00630AEB" w:rsidRPr="003A6B3F">
        <w:rPr>
          <w:rFonts w:eastAsiaTheme="minorHAnsi"/>
          <w:i/>
        </w:rPr>
        <w:t xml:space="preserve"> </w:t>
      </w:r>
      <w:r w:rsidR="001207E5" w:rsidRPr="003A6B3F">
        <w:rPr>
          <w:rFonts w:eastAsiaTheme="minorHAnsi"/>
          <w:i/>
        </w:rPr>
        <w:t>end of life</w:t>
      </w:r>
      <w:r w:rsidR="001207E5" w:rsidRPr="00303C48">
        <w:rPr>
          <w:rFonts w:eastAsiaTheme="minorHAnsi"/>
        </w:rPr>
        <w:t xml:space="preserve">. </w:t>
      </w:r>
      <w:r w:rsidR="00720E95">
        <w:rPr>
          <w:rFonts w:eastAsiaTheme="minorHAnsi"/>
        </w:rPr>
        <w:t xml:space="preserve">Inclusion criteria included scholarly, peer-reviewed publications during the </w:t>
      </w:r>
      <w:r w:rsidR="001207E5" w:rsidRPr="00303C48">
        <w:rPr>
          <w:rFonts w:eastAsiaTheme="minorHAnsi"/>
        </w:rPr>
        <w:t>Years 20</w:t>
      </w:r>
      <w:r w:rsidR="00630AEB">
        <w:rPr>
          <w:rFonts w:eastAsiaTheme="minorHAnsi"/>
        </w:rPr>
        <w:t>08</w:t>
      </w:r>
      <w:r w:rsidR="001207E5" w:rsidRPr="00303C48">
        <w:rPr>
          <w:rFonts w:eastAsiaTheme="minorHAnsi"/>
        </w:rPr>
        <w:t>- 2018</w:t>
      </w:r>
      <w:r w:rsidR="003A6B3F">
        <w:rPr>
          <w:rFonts w:eastAsiaTheme="minorHAnsi"/>
        </w:rPr>
        <w:t xml:space="preserve">. </w:t>
      </w:r>
      <w:r w:rsidR="003B6BEA" w:rsidRPr="00303C48">
        <w:t>This review involved a comprehensive search of studies from CINAHL, PUBMED, MEDLINE, Psych Info and Google Scholar databases. Articles were also limited to those that were published in English</w:t>
      </w:r>
      <w:r w:rsidR="00303C48" w:rsidRPr="00303C48">
        <w:t>.</w:t>
      </w:r>
      <w:r w:rsidR="00F87278">
        <w:t xml:space="preserve"> </w:t>
      </w:r>
    </w:p>
    <w:p w14:paraId="775802E8" w14:textId="25A92C3F" w:rsidR="005C39DA" w:rsidRDefault="00F87278" w:rsidP="00824FCA">
      <w:pPr>
        <w:pStyle w:val="APA"/>
      </w:pPr>
      <w:r>
        <w:t xml:space="preserve">Initially the search terms LGBT and palliative were used to keep a broad perspective on the subject and to allow for a wide range of articles.  These two search terms yielded 558 </w:t>
      </w:r>
      <w:r w:rsidR="00720E95">
        <w:t>potential articles</w:t>
      </w:r>
      <w:r>
        <w:t xml:space="preserve">.  Of these 558, 195 were journal articles </w:t>
      </w:r>
      <w:r w:rsidR="005C39DA">
        <w:t>with</w:t>
      </w:r>
      <w:r>
        <w:t xml:space="preserve"> 184 </w:t>
      </w:r>
      <w:r w:rsidR="005C39DA">
        <w:t>identified as</w:t>
      </w:r>
      <w:r>
        <w:t xml:space="preserve"> peer-reviewed and scholarly. When filtering in the years 2008-2018, 162 articles remained, all in the English language. Of the 162 </w:t>
      </w:r>
      <w:r w:rsidR="00E53508">
        <w:t xml:space="preserve">articles, 28 were in the discipline of nursing.  Of these 28 nursing related articles, six were found to be related to the project. However, ten additional articles were deemed useful when the filter of nursing was removed. Articles were </w:t>
      </w:r>
      <w:r w:rsidR="00720E95">
        <w:t xml:space="preserve">excluded </w:t>
      </w:r>
      <w:r w:rsidR="00E53508">
        <w:t xml:space="preserve">for a variety of reasons.  </w:t>
      </w:r>
      <w:r w:rsidR="00E53508">
        <w:lastRenderedPageBreak/>
        <w:t xml:space="preserve">These reasons included </w:t>
      </w:r>
      <w:r w:rsidR="00CF7C9B">
        <w:t>articles specific to one subset within the LGBTQ community, focus on one specific discipline, relating to children, and not directly related to the project.</w:t>
      </w:r>
    </w:p>
    <w:p w14:paraId="3B8F8ED3" w14:textId="216E5ADA" w:rsidR="00824FCA" w:rsidRPr="00303C48" w:rsidRDefault="005C39DA" w:rsidP="00824FCA">
      <w:pPr>
        <w:pStyle w:val="APA"/>
      </w:pPr>
      <w:r>
        <w:t xml:space="preserve">After this initial search of the literature, combinations of the key search terms were </w:t>
      </w:r>
      <w:r w:rsidR="00647E46">
        <w:t>undertaken,</w:t>
      </w:r>
      <w:r>
        <w:t xml:space="preserve"> and </w:t>
      </w:r>
      <w:r w:rsidR="00720E95">
        <w:t>articles were included which</w:t>
      </w:r>
      <w:r>
        <w:t xml:space="preserve"> related to barriers and specific strategies to providing culturally competent care to LGBTQ patients. Several articles that synthesized current literature were also discovered and applied to the foundation of the literature review for this project.</w:t>
      </w:r>
      <w:r w:rsidR="00CF7C9B">
        <w:t xml:space="preserve"> </w:t>
      </w:r>
      <w:r>
        <w:t xml:space="preserve">References from the systematic review and meta-analysis </w:t>
      </w:r>
      <w:r w:rsidR="00FE4E51">
        <w:t xml:space="preserve">articles were also explored for additional evidence. </w:t>
      </w:r>
      <w:r w:rsidR="00720E95">
        <w:t xml:space="preserve">Consequently, a total of </w:t>
      </w:r>
      <w:r w:rsidR="00EE37FD">
        <w:t xml:space="preserve">18 </w:t>
      </w:r>
      <w:r w:rsidR="00720E95">
        <w:t>articles were reviewed and synthesized in the following sections.</w:t>
      </w:r>
    </w:p>
    <w:p w14:paraId="45676C29" w14:textId="0D1708AC" w:rsidR="00824FCA" w:rsidRDefault="002B726E" w:rsidP="00241808">
      <w:pPr>
        <w:pStyle w:val="APA"/>
        <w:rPr>
          <w:rFonts w:eastAsiaTheme="minorHAnsi"/>
          <w:szCs w:val="24"/>
        </w:rPr>
      </w:pPr>
      <w:r>
        <w:rPr>
          <w:b/>
        </w:rPr>
        <w:t>E</w:t>
      </w:r>
      <w:r w:rsidR="00824FCA">
        <w:rPr>
          <w:b/>
        </w:rPr>
        <w:t>valuation</w:t>
      </w:r>
      <w:r>
        <w:rPr>
          <w:b/>
        </w:rPr>
        <w:t xml:space="preserve"> criteria</w:t>
      </w:r>
      <w:r w:rsidR="00EE37FD">
        <w:rPr>
          <w:b/>
        </w:rPr>
        <w:t xml:space="preserve"> </w:t>
      </w:r>
      <w:r w:rsidR="005C39DA">
        <w:rPr>
          <w:rFonts w:eastAsiaTheme="minorHAnsi"/>
          <w:szCs w:val="24"/>
        </w:rPr>
        <w:t xml:space="preserve">Articles were evaluated on relevance to this project.  </w:t>
      </w:r>
      <w:r w:rsidR="00FE4E51">
        <w:rPr>
          <w:rFonts w:eastAsiaTheme="minorHAnsi"/>
          <w:szCs w:val="24"/>
        </w:rPr>
        <w:t xml:space="preserve">Evaluation criteria included articles that addressed the barriers that LGBTQ persons encounter within the health care system, with a focus on hospice and palliative care services. Articles also were evaluated on the need for and the lack of culturally competent care and the use of neutral and inclusive language in the health care settings. </w:t>
      </w:r>
      <w:r w:rsidR="005C39DA">
        <w:rPr>
          <w:rFonts w:eastAsiaTheme="minorHAnsi"/>
          <w:szCs w:val="24"/>
        </w:rPr>
        <w:t xml:space="preserve">All levels of evidence were included. </w:t>
      </w:r>
      <w:r w:rsidR="00FE4E51">
        <w:rPr>
          <w:rFonts w:eastAsiaTheme="minorHAnsi"/>
          <w:szCs w:val="24"/>
        </w:rPr>
        <w:t xml:space="preserve">Articles included barriers to culturally competent care at both the organizational level as well as at the patient level. Data driven articles to provide a statistical component were also evaluated and referenced. </w:t>
      </w:r>
    </w:p>
    <w:p w14:paraId="4D36CF26" w14:textId="77777777" w:rsidR="00FD6B45" w:rsidRDefault="00824FCA" w:rsidP="00824FCA">
      <w:pPr>
        <w:pStyle w:val="APA"/>
        <w:ind w:firstLine="0"/>
        <w:rPr>
          <w:b/>
        </w:rPr>
      </w:pPr>
      <w:r>
        <w:rPr>
          <w:b/>
        </w:rPr>
        <w:t>Literature Review Findings</w:t>
      </w:r>
      <w:r w:rsidR="00421CF2">
        <w:rPr>
          <w:b/>
        </w:rPr>
        <w:t xml:space="preserve"> </w:t>
      </w:r>
    </w:p>
    <w:p w14:paraId="32BA6C4C" w14:textId="5C0BE3C7" w:rsidR="002C2D16" w:rsidRPr="000B7E81" w:rsidRDefault="00FD6B45" w:rsidP="00824FCA">
      <w:pPr>
        <w:pStyle w:val="APA"/>
        <w:ind w:firstLine="0"/>
        <w:rPr>
          <w:sz w:val="22"/>
        </w:rPr>
      </w:pPr>
      <w:r>
        <w:tab/>
      </w:r>
      <w:r w:rsidR="003A5A71" w:rsidRPr="003A5A71">
        <w:t xml:space="preserve">After review of the literature, </w:t>
      </w:r>
      <w:r w:rsidR="00E719A9">
        <w:t>four</w:t>
      </w:r>
      <w:r w:rsidR="003A5A71" w:rsidRPr="003A5A71">
        <w:t xml:space="preserve"> themes</w:t>
      </w:r>
      <w:r w:rsidR="003A5A71">
        <w:t xml:space="preserve"> became apparent that served as focal points for the project:</w:t>
      </w:r>
      <w:r w:rsidR="00A87C0D">
        <w:t xml:space="preserve"> </w:t>
      </w:r>
      <w:r w:rsidR="00C407CB">
        <w:t xml:space="preserve">perceptual </w:t>
      </w:r>
      <w:r w:rsidR="00790457">
        <w:t>barriers</w:t>
      </w:r>
      <w:r w:rsidR="00E719A9">
        <w:t xml:space="preserve"> of LGBTQ persons </w:t>
      </w:r>
      <w:r w:rsidR="00220058">
        <w:t xml:space="preserve">in </w:t>
      </w:r>
      <w:r w:rsidR="00E719A9">
        <w:t xml:space="preserve">seeking healthcare, </w:t>
      </w:r>
      <w:r w:rsidR="00790457">
        <w:t xml:space="preserve">provider barriers to provide </w:t>
      </w:r>
      <w:r w:rsidR="00A87C0D">
        <w:t>culturally competent care,</w:t>
      </w:r>
      <w:r w:rsidR="00E719A9">
        <w:t xml:space="preserve"> </w:t>
      </w:r>
      <w:r w:rsidR="00A87C0D">
        <w:t xml:space="preserve">organizational </w:t>
      </w:r>
      <w:r w:rsidR="003A5A71">
        <w:t>barriers to providing cultural</w:t>
      </w:r>
      <w:r w:rsidR="00D7552B">
        <w:t>ly</w:t>
      </w:r>
      <w:r w:rsidR="003A5A71">
        <w:t xml:space="preserve"> competent care</w:t>
      </w:r>
      <w:r w:rsidR="00E719A9">
        <w:t xml:space="preserve"> and strategies for implementing cultural competency</w:t>
      </w:r>
      <w:r w:rsidR="003A5A71">
        <w:t>.</w:t>
      </w:r>
    </w:p>
    <w:p w14:paraId="601842E5" w14:textId="466E2FFB" w:rsidR="00220058" w:rsidRDefault="00AA7F5E" w:rsidP="003A287D">
      <w:pPr>
        <w:spacing w:after="0"/>
        <w:ind w:firstLine="720"/>
        <w:rPr>
          <w:sz w:val="24"/>
          <w:szCs w:val="24"/>
        </w:rPr>
      </w:pPr>
      <w:r>
        <w:rPr>
          <w:b/>
          <w:sz w:val="24"/>
          <w:szCs w:val="24"/>
        </w:rPr>
        <w:lastRenderedPageBreak/>
        <w:t xml:space="preserve">Perceptual </w:t>
      </w:r>
      <w:r w:rsidR="00C407CB">
        <w:rPr>
          <w:b/>
          <w:sz w:val="24"/>
          <w:szCs w:val="24"/>
        </w:rPr>
        <w:t>b</w:t>
      </w:r>
      <w:r w:rsidR="00790457" w:rsidRPr="00790457">
        <w:rPr>
          <w:b/>
          <w:sz w:val="24"/>
          <w:szCs w:val="24"/>
        </w:rPr>
        <w:t>arriers</w:t>
      </w:r>
      <w:r w:rsidR="00C407CB">
        <w:rPr>
          <w:b/>
          <w:sz w:val="24"/>
          <w:szCs w:val="24"/>
        </w:rPr>
        <w:t xml:space="preserve"> </w:t>
      </w:r>
      <w:r w:rsidR="00220058">
        <w:rPr>
          <w:b/>
          <w:sz w:val="24"/>
          <w:szCs w:val="24"/>
        </w:rPr>
        <w:t>of</w:t>
      </w:r>
      <w:r w:rsidR="00790457" w:rsidRPr="00790457">
        <w:rPr>
          <w:b/>
          <w:sz w:val="24"/>
          <w:szCs w:val="24"/>
        </w:rPr>
        <w:t xml:space="preserve"> LGBTQ</w:t>
      </w:r>
      <w:r w:rsidR="00C407CB">
        <w:rPr>
          <w:b/>
          <w:sz w:val="24"/>
          <w:szCs w:val="24"/>
        </w:rPr>
        <w:t xml:space="preserve"> individuals</w:t>
      </w:r>
      <w:r w:rsidR="00790457" w:rsidRPr="00790457">
        <w:rPr>
          <w:b/>
          <w:sz w:val="24"/>
          <w:szCs w:val="24"/>
        </w:rPr>
        <w:t xml:space="preserve"> </w:t>
      </w:r>
      <w:r w:rsidR="00220058">
        <w:rPr>
          <w:b/>
          <w:sz w:val="24"/>
          <w:szCs w:val="24"/>
        </w:rPr>
        <w:t xml:space="preserve">in </w:t>
      </w:r>
      <w:r w:rsidR="00C407CB">
        <w:rPr>
          <w:b/>
          <w:sz w:val="24"/>
          <w:szCs w:val="24"/>
        </w:rPr>
        <w:t>s</w:t>
      </w:r>
      <w:r w:rsidR="00790457" w:rsidRPr="00790457">
        <w:rPr>
          <w:b/>
          <w:sz w:val="24"/>
          <w:szCs w:val="24"/>
        </w:rPr>
        <w:t xml:space="preserve">eeking </w:t>
      </w:r>
      <w:r w:rsidR="00C407CB">
        <w:rPr>
          <w:b/>
          <w:sz w:val="24"/>
          <w:szCs w:val="24"/>
        </w:rPr>
        <w:t>h</w:t>
      </w:r>
      <w:r w:rsidR="00790457" w:rsidRPr="00790457">
        <w:rPr>
          <w:b/>
          <w:sz w:val="24"/>
          <w:szCs w:val="24"/>
        </w:rPr>
        <w:t>ealthcare</w:t>
      </w:r>
      <w:r w:rsidR="00C407CB">
        <w:rPr>
          <w:b/>
          <w:sz w:val="24"/>
          <w:szCs w:val="24"/>
        </w:rPr>
        <w:t>.</w:t>
      </w:r>
      <w:r w:rsidR="00790457">
        <w:rPr>
          <w:b/>
        </w:rPr>
        <w:t xml:space="preserve"> </w:t>
      </w:r>
      <w:r w:rsidR="00790457" w:rsidRPr="00845707">
        <w:rPr>
          <w:sz w:val="24"/>
          <w:szCs w:val="24"/>
        </w:rPr>
        <w:t>Although definitions vary, broadly LGBT older adults can be defined as the population of sexual and gender minority individuals over the age of 50 (Choi &amp; Meyer, 2016). Fredriksen-Goldsen, Kim, Shiu, Goldsen, and Emlet (2014) estimated that there are over 2.4 million LGBT old</w:t>
      </w:r>
      <w:r w:rsidR="00790457">
        <w:rPr>
          <w:sz w:val="24"/>
          <w:szCs w:val="24"/>
        </w:rPr>
        <w:t>er adults over age 50 in the United States</w:t>
      </w:r>
      <w:r w:rsidR="00790457" w:rsidRPr="00845707">
        <w:rPr>
          <w:sz w:val="24"/>
          <w:szCs w:val="24"/>
        </w:rPr>
        <w:t>, with the expectation that this number will double to over 5 million LGBT adults over age 50 by year 2030.  Health disparities are evident in this population. LGBT adults have worse mental and physical health compared to heterosexual and cisgender older adults (Choi &amp; Meyer, 2016). Lesbian, gay, and bisexual (LGB) older adults have higher risks of mental health issues, disability, and higher rates of disease and physical limitation than their heterosexual counterparts (Choi &amp; Meyer, 2016). Transgender older adults also face a higher risk of poor physical health and disability</w:t>
      </w:r>
      <w:r w:rsidR="002766F2">
        <w:rPr>
          <w:sz w:val="24"/>
          <w:szCs w:val="24"/>
        </w:rPr>
        <w:t xml:space="preserve"> along </w:t>
      </w:r>
      <w:r w:rsidR="00790457" w:rsidRPr="00845707">
        <w:rPr>
          <w:sz w:val="24"/>
          <w:szCs w:val="24"/>
        </w:rPr>
        <w:t>with depressive symptoms which are associated with experiences of victimization and stigma (Choi &amp; Meyer, 2016).</w:t>
      </w:r>
    </w:p>
    <w:p w14:paraId="7FB2B284" w14:textId="4650B64C" w:rsidR="00790457" w:rsidRDefault="00C407CB" w:rsidP="003A287D">
      <w:pPr>
        <w:spacing w:after="0"/>
        <w:ind w:firstLine="720"/>
        <w:rPr>
          <w:sz w:val="24"/>
          <w:szCs w:val="24"/>
        </w:rPr>
      </w:pPr>
      <w:r>
        <w:rPr>
          <w:sz w:val="24"/>
          <w:szCs w:val="24"/>
        </w:rPr>
        <w:t xml:space="preserve">Perceptual barriers LGBTQ persons face is fear and anxiety over the need to “out” themselves </w:t>
      </w:r>
      <w:r w:rsidR="00220058">
        <w:rPr>
          <w:sz w:val="24"/>
          <w:szCs w:val="24"/>
        </w:rPr>
        <w:t>regarding</w:t>
      </w:r>
      <w:r>
        <w:rPr>
          <w:sz w:val="24"/>
          <w:szCs w:val="24"/>
        </w:rPr>
        <w:t xml:space="preserve"> gender identity, gender expression or sexual orientation.  </w:t>
      </w:r>
      <w:r w:rsidR="00790457" w:rsidRPr="00845707">
        <w:rPr>
          <w:sz w:val="24"/>
          <w:szCs w:val="24"/>
        </w:rPr>
        <w:t>Brotman, Ryan and Cormier (2003) and Stein, Beckerman, and Sherman (2010) both concluded that fear and anxiety that LGBT older adults feel toward health care is further exacerbated in situations in which long-term care or advanced-care is needed (Choi &amp; Meyer, 2016). Data from these two qualitative studie</w:t>
      </w:r>
      <w:r w:rsidR="00790457">
        <w:rPr>
          <w:sz w:val="24"/>
          <w:szCs w:val="24"/>
        </w:rPr>
        <w:t>s of LGB older adults revealed a</w:t>
      </w:r>
      <w:r w:rsidR="00790457" w:rsidRPr="00845707">
        <w:rPr>
          <w:sz w:val="24"/>
          <w:szCs w:val="24"/>
        </w:rPr>
        <w:t xml:space="preserve"> common concern of receiving long-term care was the fear of having to go back into the closet (Brotman et al, 2003; Choi &amp; Meyer, 2016; Stein et al., 2010). LGB older adults were also afraid of being neglected by their health care providers and of being ostracized by other residents due to their sexual orientation (Brotman et al, 2003; Choi &amp; Meyer, 2016; Stein et al., 2010). To cope with this fear, many older LGB adults receiving long-term care reported that they conceal their sexual orientation for fear of </w:t>
      </w:r>
      <w:r w:rsidR="00790457" w:rsidRPr="00845707">
        <w:rPr>
          <w:sz w:val="24"/>
          <w:szCs w:val="24"/>
        </w:rPr>
        <w:lastRenderedPageBreak/>
        <w:t>mistreatment (Brotman et al, 2003; Choi &amp; Meyer, 2016). According to a 2010 survey conducted by MetLife, these stressors caused a higher proportion of LGBT adults reportedly wanting hospice care at home compared to heterosexual older adults. Data results from this same survey found that over 50% of the LGBT sample of older adults believed health professionals would treat them with respect at end-of-life (</w:t>
      </w:r>
      <w:r w:rsidR="00647E46" w:rsidRPr="00845707">
        <w:rPr>
          <w:sz w:val="24"/>
          <w:szCs w:val="24"/>
        </w:rPr>
        <w:t>MetLife</w:t>
      </w:r>
      <w:r w:rsidR="00790457" w:rsidRPr="00845707">
        <w:rPr>
          <w:sz w:val="24"/>
          <w:szCs w:val="24"/>
        </w:rPr>
        <w:t>, 2010).</w:t>
      </w:r>
    </w:p>
    <w:p w14:paraId="4EE6CB17" w14:textId="070A1936" w:rsidR="00C407CB" w:rsidRPr="00845707" w:rsidRDefault="00C407CB" w:rsidP="003A287D">
      <w:pPr>
        <w:spacing w:after="0"/>
        <w:ind w:firstLine="720"/>
        <w:rPr>
          <w:sz w:val="24"/>
          <w:szCs w:val="24"/>
        </w:rPr>
      </w:pPr>
      <w:r w:rsidRPr="00845707">
        <w:rPr>
          <w:sz w:val="24"/>
          <w:szCs w:val="24"/>
        </w:rPr>
        <w:t>Choi and Meyer (2016) identify future research and policy needs for the LGBT older adult.  LGBT older adults need more frequent health care and social support. From a service perspective, culturally sensitive training for health care and social service agencies and professionals that provide support to elders could be critical in alleviating expectations of and experiences of discrimination that many LGBT older adults fear when seeking healthcare and professional help (Choi &amp; Meyer, 2016).</w:t>
      </w:r>
    </w:p>
    <w:p w14:paraId="02B117B9" w14:textId="3FE48C3C" w:rsidR="00790457" w:rsidRDefault="00790457" w:rsidP="003A287D">
      <w:pPr>
        <w:pStyle w:val="APA"/>
        <w:ind w:firstLine="0"/>
      </w:pPr>
      <w:r>
        <w:rPr>
          <w:b/>
        </w:rPr>
        <w:tab/>
        <w:t xml:space="preserve">Provider </w:t>
      </w:r>
      <w:r w:rsidR="0056494C">
        <w:rPr>
          <w:b/>
        </w:rPr>
        <w:t>b</w:t>
      </w:r>
      <w:r>
        <w:rPr>
          <w:b/>
        </w:rPr>
        <w:t xml:space="preserve">arriers to </w:t>
      </w:r>
      <w:r w:rsidR="0056494C">
        <w:rPr>
          <w:b/>
        </w:rPr>
        <w:t>p</w:t>
      </w:r>
      <w:r>
        <w:rPr>
          <w:b/>
        </w:rPr>
        <w:t xml:space="preserve">rovide </w:t>
      </w:r>
      <w:r w:rsidR="0056494C">
        <w:rPr>
          <w:b/>
        </w:rPr>
        <w:t>c</w:t>
      </w:r>
      <w:r>
        <w:rPr>
          <w:b/>
        </w:rPr>
        <w:t xml:space="preserve">ulturally </w:t>
      </w:r>
      <w:r w:rsidR="0056494C">
        <w:rPr>
          <w:b/>
        </w:rPr>
        <w:t>c</w:t>
      </w:r>
      <w:r>
        <w:rPr>
          <w:b/>
        </w:rPr>
        <w:t xml:space="preserve">ompetent </w:t>
      </w:r>
      <w:r w:rsidR="0056494C">
        <w:rPr>
          <w:b/>
        </w:rPr>
        <w:t>c</w:t>
      </w:r>
      <w:r>
        <w:rPr>
          <w:b/>
        </w:rPr>
        <w:t>are</w:t>
      </w:r>
      <w:r w:rsidR="00984C91">
        <w:rPr>
          <w:b/>
        </w:rPr>
        <w:t>.</w:t>
      </w:r>
      <w:r w:rsidR="00735082">
        <w:rPr>
          <w:b/>
        </w:rPr>
        <w:t xml:space="preserve"> </w:t>
      </w:r>
      <w:r w:rsidR="00F03C5B" w:rsidRPr="00F03C5B">
        <w:t>In an integrative review</w:t>
      </w:r>
      <w:r w:rsidR="00F03C5B">
        <w:rPr>
          <w:b/>
        </w:rPr>
        <w:t xml:space="preserve"> </w:t>
      </w:r>
      <w:r w:rsidR="00F03C5B" w:rsidRPr="00F03C5B">
        <w:t xml:space="preserve">by Stewart and O’Reilly </w:t>
      </w:r>
      <w:r w:rsidR="00F03C5B">
        <w:t xml:space="preserve">(2017), </w:t>
      </w:r>
      <w:r w:rsidR="00984C91">
        <w:t>the authors explored</w:t>
      </w:r>
      <w:r w:rsidR="00F03C5B">
        <w:t xml:space="preserve"> attitudes, knowledge and beliefs of nurses and midwives of the health care needs of the LGBTQ population</w:t>
      </w:r>
      <w:r w:rsidR="00F219AD">
        <w:t>.</w:t>
      </w:r>
      <w:r w:rsidR="00F03C5B">
        <w:t xml:space="preserve"> </w:t>
      </w:r>
      <w:r w:rsidR="00F219AD">
        <w:t xml:space="preserve">They </w:t>
      </w:r>
      <w:r w:rsidR="00F03C5B">
        <w:t>concluded that nurses possess a wide range of attitudes, knowledge and beliefs which impact care received by LGBTQ patients</w:t>
      </w:r>
      <w:r w:rsidR="00F219AD">
        <w:t xml:space="preserve"> (Stewart and O’Reilly, 2017</w:t>
      </w:r>
      <w:r w:rsidR="00FA54A2">
        <w:t>). Stewart</w:t>
      </w:r>
      <w:r w:rsidR="00F03C5B">
        <w:t xml:space="preserve"> and O’Reilly (2017) also found that the many issues of decreased care appear to be caused by a culture of heteronormativity and lack of education on LGBTQ health.</w:t>
      </w:r>
    </w:p>
    <w:p w14:paraId="762446B3" w14:textId="13D659DE" w:rsidR="00A259E1" w:rsidRPr="00F03C5B" w:rsidRDefault="006178BE" w:rsidP="00824FCA">
      <w:pPr>
        <w:pStyle w:val="APA"/>
        <w:ind w:firstLine="0"/>
      </w:pPr>
      <w:r>
        <w:tab/>
      </w:r>
      <w:r w:rsidR="006378C4">
        <w:t xml:space="preserve">In an in-depth survey of over 1800 direct patient care providers, </w:t>
      </w:r>
      <w:r>
        <w:t xml:space="preserve">Somerville (2015) found that only </w:t>
      </w:r>
      <w:r w:rsidR="008F400A">
        <w:t>9</w:t>
      </w:r>
      <w:r>
        <w:t xml:space="preserve">% of staff responsible for patient care had received education on the health care needs of </w:t>
      </w:r>
      <w:r w:rsidR="008F400A">
        <w:t xml:space="preserve">lesbian, gay, and bisexual </w:t>
      </w:r>
      <w:r>
        <w:t>patients, and half of these trained were only educated on sexual health needs.</w:t>
      </w:r>
      <w:r w:rsidR="00A259E1">
        <w:t xml:space="preserve"> </w:t>
      </w:r>
      <w:r w:rsidR="008F400A">
        <w:t>Furthermore, 72% of direct patient staff ha</w:t>
      </w:r>
      <w:r w:rsidR="00577630">
        <w:t>d</w:t>
      </w:r>
      <w:r w:rsidR="008F400A">
        <w:t xml:space="preserve"> not received any education or training on the unique health needs of LGBT persons, the rights of same-sex partners and parents or the </w:t>
      </w:r>
      <w:r w:rsidR="008F400A">
        <w:lastRenderedPageBreak/>
        <w:t xml:space="preserve">use of neutral language and practices that are inclusive of the LGBT community (Somerville, 2015). </w:t>
      </w:r>
      <w:r w:rsidR="00577630">
        <w:t>Somerville (2015) concluded that</w:t>
      </w:r>
      <w:r w:rsidR="006378C4">
        <w:t xml:space="preserve"> 57% of health care providers did not consider sexual orientation important to individual care needs</w:t>
      </w:r>
      <w:r w:rsidR="008F400A">
        <w:t xml:space="preserve">. </w:t>
      </w:r>
    </w:p>
    <w:p w14:paraId="5DBBB90E" w14:textId="51008AF7" w:rsidR="00AF41AC" w:rsidRDefault="00AF41AC" w:rsidP="00790457">
      <w:pPr>
        <w:pStyle w:val="APA"/>
        <w:ind w:firstLine="0"/>
      </w:pPr>
      <w:r>
        <w:rPr>
          <w:b/>
        </w:rPr>
        <w:tab/>
      </w:r>
      <w:r w:rsidR="00790457">
        <w:rPr>
          <w:b/>
        </w:rPr>
        <w:t xml:space="preserve">Organizational </w:t>
      </w:r>
      <w:r w:rsidR="0056494C">
        <w:rPr>
          <w:b/>
        </w:rPr>
        <w:t>b</w:t>
      </w:r>
      <w:r w:rsidR="005C1C75">
        <w:rPr>
          <w:b/>
        </w:rPr>
        <w:t xml:space="preserve">arriers for </w:t>
      </w:r>
      <w:r w:rsidR="0056494C">
        <w:rPr>
          <w:b/>
        </w:rPr>
        <w:t>p</w:t>
      </w:r>
      <w:r w:rsidR="005C1C75">
        <w:rPr>
          <w:b/>
        </w:rPr>
        <w:t xml:space="preserve">roviding </w:t>
      </w:r>
      <w:r w:rsidR="0056494C">
        <w:rPr>
          <w:b/>
        </w:rPr>
        <w:t>c</w:t>
      </w:r>
      <w:r w:rsidR="005C1C75">
        <w:rPr>
          <w:b/>
        </w:rPr>
        <w:t>ultural</w:t>
      </w:r>
      <w:r w:rsidR="00D7552B">
        <w:rPr>
          <w:b/>
        </w:rPr>
        <w:t>ly</w:t>
      </w:r>
      <w:r w:rsidR="005C1C75">
        <w:rPr>
          <w:b/>
        </w:rPr>
        <w:t xml:space="preserve"> </w:t>
      </w:r>
      <w:r w:rsidR="0056494C">
        <w:rPr>
          <w:b/>
        </w:rPr>
        <w:t>c</w:t>
      </w:r>
      <w:r w:rsidR="005C1C75">
        <w:rPr>
          <w:b/>
        </w:rPr>
        <w:t xml:space="preserve">ompetent </w:t>
      </w:r>
      <w:r w:rsidR="0056494C">
        <w:rPr>
          <w:b/>
        </w:rPr>
        <w:t>c</w:t>
      </w:r>
      <w:r w:rsidR="005C1C75">
        <w:rPr>
          <w:b/>
        </w:rPr>
        <w:t>are</w:t>
      </w:r>
      <w:r w:rsidR="0056494C">
        <w:rPr>
          <w:b/>
        </w:rPr>
        <w:t>.</w:t>
      </w:r>
      <w:r w:rsidR="004812D5">
        <w:rPr>
          <w:b/>
        </w:rPr>
        <w:t xml:space="preserve"> </w:t>
      </w:r>
      <w:r w:rsidR="00B86D2C">
        <w:t>A</w:t>
      </w:r>
      <w:r w:rsidR="00B86D2C" w:rsidRPr="00B86D2C">
        <w:t xml:space="preserve"> </w:t>
      </w:r>
      <w:r w:rsidR="00577630">
        <w:t xml:space="preserve">qualitative </w:t>
      </w:r>
      <w:r w:rsidR="00B86D2C" w:rsidRPr="00B86D2C">
        <w:t>study by Ogbolu, Sc</w:t>
      </w:r>
      <w:r w:rsidR="00D563E7">
        <w:t>r</w:t>
      </w:r>
      <w:r w:rsidR="00B86D2C" w:rsidRPr="00B86D2C">
        <w:t>andis and Fitzpatrick (2018)</w:t>
      </w:r>
      <w:r w:rsidR="00B86D2C">
        <w:t xml:space="preserve"> examined barriers perceived by </w:t>
      </w:r>
      <w:r w:rsidR="001452F3">
        <w:t xml:space="preserve">hospital </w:t>
      </w:r>
      <w:r w:rsidR="00577630">
        <w:t>chief nurse executives</w:t>
      </w:r>
      <w:r w:rsidR="00B86D2C">
        <w:t xml:space="preserve"> in the </w:t>
      </w:r>
      <w:r w:rsidR="00215E70">
        <w:t xml:space="preserve">implementation of culturally and linguistically appropriate services. </w:t>
      </w:r>
      <w:r w:rsidR="00577630">
        <w:t>Eight chief nursing executives were interviewed in depth by a trained researcher to identify barriers to facilitate the delivery of culturally and linguistic services</w:t>
      </w:r>
      <w:r w:rsidR="00010867">
        <w:t xml:space="preserve">. </w:t>
      </w:r>
      <w:r w:rsidR="00215E70">
        <w:t>Three themes emerged from the study which were identified as barriers. This included lack of awareness of resources for health care organizations, constrained cultural competency training, and limited resources (</w:t>
      </w:r>
      <w:r w:rsidR="00984C91">
        <w:t xml:space="preserve">e.g. </w:t>
      </w:r>
      <w:r w:rsidR="00215E70">
        <w:t xml:space="preserve">cost and time). </w:t>
      </w:r>
      <w:r w:rsidR="001452F3">
        <w:t>To address these barriers the adoption of patient and family advisory committees, community outreach advocates and specialized culturally competency programs were suggested (Ogbolu, Sc</w:t>
      </w:r>
      <w:r w:rsidR="00D563E7">
        <w:t>r</w:t>
      </w:r>
      <w:r w:rsidR="001452F3">
        <w:t xml:space="preserve">andis, &amp; Fitzpatrick, 2018). </w:t>
      </w:r>
    </w:p>
    <w:p w14:paraId="6C505C06" w14:textId="64A769AA" w:rsidR="001452F3" w:rsidRDefault="004F239B" w:rsidP="005C1C75">
      <w:pPr>
        <w:pStyle w:val="APA"/>
      </w:pPr>
      <w:r>
        <w:t>Reese and Beckwith (2015) identified organizational barriers to cultural competence in hospice. A national mixed method study of 207 hospice directors</w:t>
      </w:r>
      <w:r w:rsidR="00010867">
        <w:t xml:space="preserve"> was conducted using a national Web-based survey which explored organizational barriers to the development of culturally competent programs (Reese &amp; Beckwith, 2015). </w:t>
      </w:r>
      <w:r w:rsidR="00855CB9">
        <w:t>P</w:t>
      </w:r>
      <w:r w:rsidR="00010867">
        <w:t xml:space="preserve">hase 1 included qualitative questions with the goal of collecting in-depth and unexpected information (Reese &amp; Beckwith, 2015). </w:t>
      </w:r>
      <w:r w:rsidR="00D52E39">
        <w:t>Results from Phase 1</w:t>
      </w:r>
      <w:r>
        <w:t xml:space="preserve"> found three major barriers to cultural competence including lack of funding for additional staff for community outreach or development of culturally competent programs, lack of applications from diverse populations, and lack of knowledge about diverse cultures and cultural groups not being served in the community</w:t>
      </w:r>
      <w:r w:rsidR="00790457">
        <w:t xml:space="preserve"> (Reese &amp; Beckwith, 2015)</w:t>
      </w:r>
      <w:r>
        <w:t xml:space="preserve">. Organizational barriers identified included failure to prioritize cultural competence, failure to provide a budget </w:t>
      </w:r>
      <w:r>
        <w:lastRenderedPageBreak/>
        <w:t xml:space="preserve">for culturally competent services, </w:t>
      </w:r>
      <w:r w:rsidR="00855CB9">
        <w:t xml:space="preserve">and </w:t>
      </w:r>
      <w:r>
        <w:t xml:space="preserve">staff that does not value awareness of cultural awareness. </w:t>
      </w:r>
      <w:r w:rsidR="00D52E39">
        <w:t>Phase 2 of the mixed methods study was conducted as an interactive session with 100 symposium attendees which provided additional data on barriers, solutions, and strategies for improvement (Reese &amp; Beckwith, 2015).</w:t>
      </w:r>
    </w:p>
    <w:p w14:paraId="09D8E708" w14:textId="45BCB0BF" w:rsidR="00735082" w:rsidRDefault="00A769EE" w:rsidP="003A287D">
      <w:pPr>
        <w:spacing w:after="0"/>
        <w:ind w:firstLine="720"/>
        <w:rPr>
          <w:sz w:val="24"/>
          <w:szCs w:val="24"/>
        </w:rPr>
      </w:pPr>
      <w:r w:rsidRPr="00845707">
        <w:rPr>
          <w:sz w:val="24"/>
          <w:szCs w:val="24"/>
        </w:rPr>
        <w:t xml:space="preserve">In a focus group study, that included health administrators, Brotman et al. (2003) found that LGBT issues were avoided or ignored in agenda setting meetings. </w:t>
      </w:r>
      <w:r w:rsidR="00F06848">
        <w:rPr>
          <w:sz w:val="24"/>
          <w:szCs w:val="24"/>
        </w:rPr>
        <w:t>Although an older study</w:t>
      </w:r>
      <w:r w:rsidR="00825E91">
        <w:rPr>
          <w:sz w:val="24"/>
          <w:szCs w:val="24"/>
        </w:rPr>
        <w:t>, Brotman et al. (2013)</w:t>
      </w:r>
      <w:r w:rsidR="00825E91" w:rsidRPr="00825E91">
        <w:rPr>
          <w:sz w:val="24"/>
          <w:szCs w:val="24"/>
        </w:rPr>
        <w:t xml:space="preserve"> </w:t>
      </w:r>
      <w:r w:rsidR="00825E91">
        <w:rPr>
          <w:sz w:val="24"/>
          <w:szCs w:val="24"/>
        </w:rPr>
        <w:t xml:space="preserve">highlighted recommendations for change </w:t>
      </w:r>
      <w:r w:rsidR="00825E91" w:rsidRPr="00825E91">
        <w:rPr>
          <w:sz w:val="24"/>
          <w:szCs w:val="24"/>
        </w:rPr>
        <w:t>including those related to best practice programs.</w:t>
      </w:r>
      <w:r w:rsidR="00984C91">
        <w:rPr>
          <w:sz w:val="24"/>
          <w:szCs w:val="24"/>
        </w:rPr>
        <w:t xml:space="preserve">  </w:t>
      </w:r>
      <w:r w:rsidRPr="00825E91">
        <w:rPr>
          <w:sz w:val="24"/>
          <w:szCs w:val="24"/>
        </w:rPr>
        <w:t>However</w:t>
      </w:r>
      <w:r w:rsidRPr="00845707">
        <w:rPr>
          <w:sz w:val="24"/>
          <w:szCs w:val="24"/>
        </w:rPr>
        <w:t>, survey data which assessed providers’ readiness, attitudes, and experiences working with LGBT older adults in Michigan and the Midwest area showed that most providers were aware that LGBT older adults faced additional challenges as opposed to the general aging population and responded positively to providing or receiving training to work with LGBT older adults (Choi &amp; Meyer, 2016, Hughes, Harold &amp; Boyer, 2011; Knochel, Croghan, Moone, &amp; Quam, 2010). Providers believed their current services were appropriat</w:t>
      </w:r>
      <w:r>
        <w:rPr>
          <w:sz w:val="24"/>
          <w:szCs w:val="24"/>
        </w:rPr>
        <w:t>e and with an</w:t>
      </w:r>
      <w:r w:rsidRPr="00845707">
        <w:rPr>
          <w:sz w:val="24"/>
          <w:szCs w:val="24"/>
        </w:rPr>
        <w:t xml:space="preserve"> environment welcoming toward LGBT older adults. (Choi &amp; Meyer, 2016; </w:t>
      </w:r>
      <w:r>
        <w:rPr>
          <w:sz w:val="24"/>
          <w:szCs w:val="24"/>
        </w:rPr>
        <w:t>Knochel</w:t>
      </w:r>
      <w:r w:rsidRPr="00845707">
        <w:rPr>
          <w:sz w:val="24"/>
          <w:szCs w:val="24"/>
        </w:rPr>
        <w:t xml:space="preserve"> </w:t>
      </w:r>
      <w:r>
        <w:rPr>
          <w:sz w:val="24"/>
          <w:szCs w:val="24"/>
        </w:rPr>
        <w:t>et al.</w:t>
      </w:r>
      <w:r w:rsidRPr="00845707">
        <w:rPr>
          <w:sz w:val="24"/>
          <w:szCs w:val="24"/>
        </w:rPr>
        <w:t xml:space="preserve">, 2010). However, few agencies reported that programs or efforts, such as outreach programs, existed to help LGBT older adults and few collected sexual orientation and gender identity demographics of their clientele. (Choi &amp; Meyer, 2016; Knochel, et al., 2010). The attitude and role of healthcare providers and organizations are integral to how services are sought and received. </w:t>
      </w:r>
    </w:p>
    <w:p w14:paraId="1A9C9ED5" w14:textId="6D7DF347" w:rsidR="0002623F" w:rsidRDefault="00735082" w:rsidP="003A287D">
      <w:pPr>
        <w:spacing w:after="0"/>
        <w:ind w:firstLine="720"/>
        <w:rPr>
          <w:sz w:val="24"/>
          <w:szCs w:val="24"/>
        </w:rPr>
      </w:pPr>
      <w:r w:rsidRPr="0002623F">
        <w:rPr>
          <w:b/>
          <w:sz w:val="24"/>
          <w:szCs w:val="24"/>
        </w:rPr>
        <w:t xml:space="preserve">Strategies for </w:t>
      </w:r>
      <w:r w:rsidR="00935D67">
        <w:rPr>
          <w:b/>
          <w:sz w:val="24"/>
          <w:szCs w:val="24"/>
        </w:rPr>
        <w:t>i</w:t>
      </w:r>
      <w:r w:rsidRPr="0002623F">
        <w:rPr>
          <w:b/>
          <w:sz w:val="24"/>
          <w:szCs w:val="24"/>
        </w:rPr>
        <w:t xml:space="preserve">mplementing </w:t>
      </w:r>
      <w:r w:rsidR="00935D67">
        <w:rPr>
          <w:b/>
          <w:sz w:val="24"/>
          <w:szCs w:val="24"/>
        </w:rPr>
        <w:t>c</w:t>
      </w:r>
      <w:r w:rsidRPr="0002623F">
        <w:rPr>
          <w:b/>
          <w:sz w:val="24"/>
          <w:szCs w:val="24"/>
        </w:rPr>
        <w:t xml:space="preserve">ultural </w:t>
      </w:r>
      <w:r w:rsidR="00935D67">
        <w:rPr>
          <w:b/>
          <w:sz w:val="24"/>
          <w:szCs w:val="24"/>
        </w:rPr>
        <w:t>c</w:t>
      </w:r>
      <w:r w:rsidRPr="0002623F">
        <w:rPr>
          <w:b/>
          <w:sz w:val="24"/>
          <w:szCs w:val="24"/>
        </w:rPr>
        <w:t>ompetency</w:t>
      </w:r>
      <w:r w:rsidR="00935D67">
        <w:rPr>
          <w:b/>
          <w:sz w:val="24"/>
          <w:szCs w:val="24"/>
        </w:rPr>
        <w:t>.</w:t>
      </w:r>
      <w:r>
        <w:rPr>
          <w:b/>
        </w:rPr>
        <w:t xml:space="preserve"> </w:t>
      </w:r>
      <w:r w:rsidR="0002623F" w:rsidRPr="00845707">
        <w:rPr>
          <w:sz w:val="24"/>
          <w:szCs w:val="24"/>
        </w:rPr>
        <w:t xml:space="preserve">In a paper directed to health care providers and agencies, </w:t>
      </w:r>
      <w:r w:rsidR="0002623F" w:rsidRPr="00845707">
        <w:rPr>
          <w:sz w:val="24"/>
          <w:szCs w:val="24"/>
          <w:shd w:val="clear" w:color="auto" w:fill="FFFFFF"/>
        </w:rPr>
        <w:t>Fredriksen-Goldsen, Hoy-Ellis, Goldsen, Emlet, and Hooyman</w:t>
      </w:r>
      <w:r w:rsidR="0002623F" w:rsidRPr="00845707">
        <w:rPr>
          <w:sz w:val="24"/>
          <w:szCs w:val="24"/>
        </w:rPr>
        <w:t xml:space="preserve"> (2014a</w:t>
      </w:r>
      <w:r w:rsidR="0002623F">
        <w:rPr>
          <w:sz w:val="24"/>
          <w:szCs w:val="24"/>
        </w:rPr>
        <w:t>) provided 10</w:t>
      </w:r>
      <w:r w:rsidR="0002623F" w:rsidRPr="00845707">
        <w:rPr>
          <w:sz w:val="24"/>
          <w:szCs w:val="24"/>
        </w:rPr>
        <w:t xml:space="preserve"> core competencies to better serve the LGBT older adult population (see Appendix</w:t>
      </w:r>
      <w:r w:rsidR="0002623F">
        <w:rPr>
          <w:sz w:val="24"/>
          <w:szCs w:val="24"/>
        </w:rPr>
        <w:t xml:space="preserve"> </w:t>
      </w:r>
      <w:r w:rsidR="00D540C5">
        <w:rPr>
          <w:sz w:val="24"/>
          <w:szCs w:val="24"/>
        </w:rPr>
        <w:t>A</w:t>
      </w:r>
      <w:r w:rsidR="0002623F" w:rsidRPr="00845707">
        <w:rPr>
          <w:sz w:val="24"/>
          <w:szCs w:val="24"/>
        </w:rPr>
        <w:t xml:space="preserve">). Cultural competency was a major theme at both the provider and organization level with </w:t>
      </w:r>
      <w:r w:rsidR="0002623F" w:rsidRPr="00845707">
        <w:rPr>
          <w:sz w:val="24"/>
          <w:szCs w:val="24"/>
        </w:rPr>
        <w:lastRenderedPageBreak/>
        <w:t>many of the recommendations focused on understanding the social history of LGBT individuals and conducting serious assessments of provider and organizational prejudices (Fredriksen-Goldsen et al., 2014a).</w:t>
      </w:r>
    </w:p>
    <w:p w14:paraId="7A467A00" w14:textId="77777777" w:rsidR="0056494C" w:rsidRDefault="00A769EE" w:rsidP="0056494C">
      <w:pPr>
        <w:pStyle w:val="APA"/>
        <w:rPr>
          <w:szCs w:val="24"/>
        </w:rPr>
      </w:pPr>
      <w:r w:rsidRPr="00845707">
        <w:rPr>
          <w:szCs w:val="24"/>
        </w:rPr>
        <w:t xml:space="preserve">When considering the LGBT client in the hospice setting, three of these ten core competencies can be used as the framework for a quality improvement project focusing on nursing education in the culturally competent care of the older LGBT client. </w:t>
      </w:r>
      <w:r w:rsidR="00984C91">
        <w:rPr>
          <w:szCs w:val="24"/>
        </w:rPr>
        <w:t>These three core competencies include</w:t>
      </w:r>
      <w:r w:rsidR="0056494C">
        <w:rPr>
          <w:szCs w:val="24"/>
        </w:rPr>
        <w:t xml:space="preserve"> self-reflection, current knowledge, and inclusive language.</w:t>
      </w:r>
    </w:p>
    <w:p w14:paraId="05406A16" w14:textId="77777777" w:rsidR="00220058" w:rsidRDefault="001A0DD5" w:rsidP="0019283D">
      <w:pPr>
        <w:pStyle w:val="APA"/>
      </w:pPr>
      <w:r w:rsidRPr="0056494C">
        <w:rPr>
          <w:b/>
          <w:i/>
          <w:szCs w:val="24"/>
        </w:rPr>
        <w:t>Self-reflection</w:t>
      </w:r>
      <w:r w:rsidR="0056494C">
        <w:rPr>
          <w:rStyle w:val="CommentReference"/>
        </w:rPr>
        <w:t>.</w:t>
      </w:r>
      <w:r w:rsidRPr="0056494C">
        <w:rPr>
          <w:rStyle w:val="CommentReference"/>
        </w:rPr>
        <w:t xml:space="preserve"> </w:t>
      </w:r>
      <w:r w:rsidR="00A769EE" w:rsidRPr="001A0DD5">
        <w:rPr>
          <w:szCs w:val="24"/>
        </w:rPr>
        <w:t xml:space="preserve">The first core competency states to critically analyze personal and professional attitudes toward sexual orientation, gender identity and age (Fredriksen-Goldsen et al., 2014a). Self-reflection by health care professionals would allow individuals to recognize their own beliefs and attitudes when caring for this population. </w:t>
      </w:r>
      <w:r>
        <w:t>Also i</w:t>
      </w:r>
      <w:r w:rsidRPr="001A0DD5">
        <w:rPr>
          <w:szCs w:val="24"/>
        </w:rPr>
        <w:t xml:space="preserve">ncluded in this competency is to </w:t>
      </w:r>
      <w:r>
        <w:t>u</w:t>
      </w:r>
      <w:r w:rsidRPr="001A0DD5">
        <w:t xml:space="preserve">nderstand </w:t>
      </w:r>
      <w:r>
        <w:t>h</w:t>
      </w:r>
      <w:r w:rsidRPr="001A0DD5">
        <w:t xml:space="preserve">ow </w:t>
      </w:r>
      <w:r>
        <w:t>the f</w:t>
      </w:r>
      <w:r w:rsidRPr="001A0DD5">
        <w:t xml:space="preserve">actors </w:t>
      </w:r>
      <w:r>
        <w:t>of</w:t>
      </w:r>
      <w:r w:rsidRPr="001A0DD5">
        <w:t xml:space="preserve"> </w:t>
      </w:r>
      <w:r>
        <w:t>c</w:t>
      </w:r>
      <w:r w:rsidRPr="001A0DD5">
        <w:t xml:space="preserve">ulture, </w:t>
      </w:r>
      <w:r>
        <w:t>r</w:t>
      </w:r>
      <w:r w:rsidRPr="001A0DD5">
        <w:t xml:space="preserve">eligion, </w:t>
      </w:r>
      <w:r>
        <w:t>m</w:t>
      </w:r>
      <w:r w:rsidRPr="001A0DD5">
        <w:t xml:space="preserve">edia, and </w:t>
      </w:r>
      <w:r>
        <w:t>h</w:t>
      </w:r>
      <w:r w:rsidRPr="001A0DD5">
        <w:t xml:space="preserve">ealth and </w:t>
      </w:r>
      <w:r>
        <w:t>h</w:t>
      </w:r>
      <w:r w:rsidRPr="001A0DD5">
        <w:t xml:space="preserve">uman </w:t>
      </w:r>
      <w:r>
        <w:t>s</w:t>
      </w:r>
      <w:r w:rsidRPr="001A0DD5">
        <w:t xml:space="preserve">ervice </w:t>
      </w:r>
      <w:r>
        <w:t>s</w:t>
      </w:r>
      <w:r w:rsidRPr="001A0DD5">
        <w:t xml:space="preserve">ystems </w:t>
      </w:r>
      <w:r>
        <w:t>i</w:t>
      </w:r>
      <w:r w:rsidRPr="001A0DD5">
        <w:t xml:space="preserve">nfluence </w:t>
      </w:r>
      <w:r>
        <w:t>a</w:t>
      </w:r>
      <w:r w:rsidRPr="001A0DD5">
        <w:t xml:space="preserve">ttitudes and </w:t>
      </w:r>
      <w:r>
        <w:t>e</w:t>
      </w:r>
      <w:r w:rsidRPr="001A0DD5">
        <w:t xml:space="preserve">thical </w:t>
      </w:r>
      <w:r>
        <w:t>d</w:t>
      </w:r>
      <w:r w:rsidRPr="001A0DD5">
        <w:t>ecision-</w:t>
      </w:r>
      <w:r>
        <w:t>m</w:t>
      </w:r>
      <w:r w:rsidRPr="001A0DD5">
        <w:t>aking</w:t>
      </w:r>
      <w:r>
        <w:t xml:space="preserve"> </w:t>
      </w:r>
      <w:r w:rsidRPr="001A0DD5">
        <w:rPr>
          <w:szCs w:val="24"/>
        </w:rPr>
        <w:t>(Fredriksen-Goldsen et al., 2014a)</w:t>
      </w:r>
      <w:r>
        <w:t xml:space="preserve">. </w:t>
      </w:r>
      <w:r w:rsidR="002474D4">
        <w:t xml:space="preserve">   </w:t>
      </w:r>
      <w:r w:rsidR="002474D4">
        <w:tab/>
        <w:t xml:space="preserve">Hospice and palliative care nurses must self-reflect on their own personal attitudes and how they approach the LGBTQ client at this very difficult time (Barrett &amp; Wholihan, 2016). </w:t>
      </w:r>
      <w:r w:rsidR="002474D4" w:rsidRPr="002474D4">
        <w:t>Leadership needs to raise staff awareness and conduct ongoing meetings to discuss openly personal perspectives, beliefs and own values (Barrett &amp; Wholihan, 2016).  Barrett and Wholihan (2016) also emphasize that harmful attitudes and biases be resolved and re-evaluated.</w:t>
      </w:r>
    </w:p>
    <w:p w14:paraId="7C04A331" w14:textId="7B4436D7" w:rsidR="00830E38" w:rsidRDefault="00124294" w:rsidP="0019283D">
      <w:pPr>
        <w:pStyle w:val="APA"/>
        <w:rPr>
          <w:szCs w:val="24"/>
        </w:rPr>
      </w:pPr>
      <w:r w:rsidRPr="0019283D">
        <w:rPr>
          <w:b/>
          <w:i/>
          <w:szCs w:val="24"/>
        </w:rPr>
        <w:t>Current knowledge</w:t>
      </w:r>
      <w:r w:rsidR="0019283D">
        <w:rPr>
          <w:b/>
          <w:i/>
          <w:szCs w:val="24"/>
        </w:rPr>
        <w:t xml:space="preserve">. </w:t>
      </w:r>
      <w:r w:rsidR="00A769EE" w:rsidRPr="002474D4">
        <w:rPr>
          <w:szCs w:val="24"/>
        </w:rPr>
        <w:t>The fourth competency addresses the need to use the most up-to-date</w:t>
      </w:r>
      <w:r w:rsidR="00A769EE" w:rsidRPr="00845707">
        <w:rPr>
          <w:szCs w:val="24"/>
        </w:rPr>
        <w:t xml:space="preserve"> knowledge available to engage in culturally competent practice with LGBT older adults (Fredriksen-Goldsen et al., 2014a). Utilizing the most current culturally competent knowledge provides a sense of inclusiveness and will help build rapport between the nurse, the patient, and their support system.</w:t>
      </w:r>
      <w:r w:rsidR="008157C5">
        <w:rPr>
          <w:szCs w:val="24"/>
        </w:rPr>
        <w:t xml:space="preserve"> To facilitate current knowledge in culturally competent care for LGBTQ </w:t>
      </w:r>
      <w:r w:rsidR="008157C5">
        <w:rPr>
          <w:szCs w:val="24"/>
        </w:rPr>
        <w:lastRenderedPageBreak/>
        <w:t xml:space="preserve">clients, comprehensive education in the form of education modules is imperative for staff (Jones-Schenk, 2018). Effective communication, role-playing and coaching speeds both understanding and cultural competency for health care providers (Jones-Schenk, 2018). </w:t>
      </w:r>
    </w:p>
    <w:p w14:paraId="6607F7D2" w14:textId="64EEB103" w:rsidR="0019283D" w:rsidRDefault="00124294" w:rsidP="0019283D">
      <w:pPr>
        <w:pStyle w:val="APA"/>
      </w:pPr>
      <w:r>
        <w:rPr>
          <w:szCs w:val="24"/>
        </w:rPr>
        <w:t>Stewart and O’Reilly</w:t>
      </w:r>
      <w:r w:rsidR="00B03D06">
        <w:rPr>
          <w:szCs w:val="24"/>
        </w:rPr>
        <w:t xml:space="preserve"> (2017)</w:t>
      </w:r>
      <w:r>
        <w:rPr>
          <w:szCs w:val="24"/>
        </w:rPr>
        <w:t xml:space="preserve"> recommend that LGBTQ </w:t>
      </w:r>
      <w:r w:rsidR="00830E38">
        <w:rPr>
          <w:szCs w:val="24"/>
        </w:rPr>
        <w:t>education</w:t>
      </w:r>
      <w:r>
        <w:rPr>
          <w:szCs w:val="24"/>
        </w:rPr>
        <w:t xml:space="preserve"> be included in undergraduate nursing education and part of continued professional development.</w:t>
      </w:r>
      <w:r w:rsidRPr="00124294">
        <w:t xml:space="preserve"> Martin and Barkley (2016) addressed the need for improved cultural competence at end of life</w:t>
      </w:r>
      <w:r w:rsidR="00830E38">
        <w:t xml:space="preserve"> and suggest the need for specialized training </w:t>
      </w:r>
      <w:r w:rsidR="00830E38" w:rsidRPr="00124294">
        <w:t>to provide culturally sensitive care to diverse populations at end of life.</w:t>
      </w:r>
    </w:p>
    <w:p w14:paraId="2AFD56C8" w14:textId="61A730CC" w:rsidR="001206DE" w:rsidRDefault="00830E38" w:rsidP="0019283D">
      <w:pPr>
        <w:pStyle w:val="APA"/>
        <w:rPr>
          <w:szCs w:val="24"/>
        </w:rPr>
      </w:pPr>
      <w:r w:rsidRPr="0019283D">
        <w:rPr>
          <w:b/>
          <w:i/>
          <w:szCs w:val="24"/>
        </w:rPr>
        <w:t>Inclusive language</w:t>
      </w:r>
      <w:r w:rsidR="0019283D">
        <w:rPr>
          <w:b/>
          <w:i/>
          <w:szCs w:val="24"/>
        </w:rPr>
        <w:t>.</w:t>
      </w:r>
      <w:r>
        <w:rPr>
          <w:szCs w:val="24"/>
        </w:rPr>
        <w:t xml:space="preserve"> The</w:t>
      </w:r>
      <w:r w:rsidR="00A769EE" w:rsidRPr="00845707">
        <w:rPr>
          <w:szCs w:val="24"/>
        </w:rPr>
        <w:t xml:space="preserve"> sixth competency, as described by Fredriksen-Goldsen et al., (2014a), provides a reminder to use empathy and sensitive interviewing skills during assessment and intervention. This competency also ensures the use of appropriate language when working with LGBT older adults to also establish and build rapport. </w:t>
      </w:r>
      <w:r>
        <w:rPr>
          <w:szCs w:val="24"/>
        </w:rPr>
        <w:t xml:space="preserve">Barrett and Wholihan (2016) wrote extensively on the role nurses’ play in providing quality palliative care to LGBTQ patients. Nurses can provide quality compassionate, professional and empathetic care </w:t>
      </w:r>
      <w:r w:rsidR="008D60B0">
        <w:rPr>
          <w:szCs w:val="24"/>
        </w:rPr>
        <w:t>by completing non-judgmental comprehensive health histories using neutral and inclusive language (Barrett &amp; Wholihan, 2016). Barrett and Wholihan (2016) also suggest that nurses keep an open mind and avoid assumptions about a patients</w:t>
      </w:r>
      <w:r w:rsidR="001206DE">
        <w:rPr>
          <w:szCs w:val="24"/>
        </w:rPr>
        <w:t>’</w:t>
      </w:r>
      <w:r w:rsidR="008D60B0">
        <w:rPr>
          <w:szCs w:val="24"/>
        </w:rPr>
        <w:t xml:space="preserve"> sexual orientation based on physical appearance. Another guideline states to be mindful of language that assumes heterosexuality</w:t>
      </w:r>
      <w:r w:rsidR="001206DE">
        <w:rPr>
          <w:szCs w:val="24"/>
        </w:rPr>
        <w:t xml:space="preserve"> and to use open-ended questions (Barrett &amp; Wholihan, 2016).</w:t>
      </w:r>
    </w:p>
    <w:p w14:paraId="54B0C2CF" w14:textId="44BCB4A8" w:rsidR="00790457" w:rsidRPr="005C1C75" w:rsidRDefault="00102A6B" w:rsidP="00FD7796">
      <w:pPr>
        <w:pStyle w:val="APA"/>
      </w:pPr>
      <w:r>
        <w:rPr>
          <w:szCs w:val="24"/>
        </w:rPr>
        <w:t>T</w:t>
      </w:r>
      <w:r w:rsidR="00220058">
        <w:rPr>
          <w:szCs w:val="24"/>
        </w:rPr>
        <w:t>he ten core competencies provide an overview</w:t>
      </w:r>
      <w:r>
        <w:rPr>
          <w:szCs w:val="24"/>
        </w:rPr>
        <w:t xml:space="preserve"> of every aspect in best practice for caring</w:t>
      </w:r>
      <w:r w:rsidR="00220058">
        <w:rPr>
          <w:szCs w:val="24"/>
        </w:rPr>
        <w:t xml:space="preserve"> </w:t>
      </w:r>
      <w:r>
        <w:rPr>
          <w:szCs w:val="24"/>
        </w:rPr>
        <w:t xml:space="preserve">for LGBTQ persons. The combination of self-reflection, current knowledge and inclusive language creates a continuous triangle with LGBTQ individuals at the center of receiving culturally sensitive care. Health care providers self-reflect on their own beliefs and knowledge </w:t>
      </w:r>
      <w:r>
        <w:rPr>
          <w:szCs w:val="24"/>
        </w:rPr>
        <w:lastRenderedPageBreak/>
        <w:t xml:space="preserve">base, seek current knowledge and apply the best practice of using inclusive language. </w:t>
      </w:r>
      <w:r w:rsidR="00A769EE" w:rsidRPr="00845707">
        <w:rPr>
          <w:szCs w:val="24"/>
        </w:rPr>
        <w:t xml:space="preserve">When used effectively, these three identified core competencies can be the building blocks to develop a quality improvement project to increase nurses’ knowledge in care of the older LGBT client in the hospice setting. </w:t>
      </w:r>
      <w:r w:rsidR="00790457">
        <w:tab/>
        <w:t xml:space="preserve"> </w:t>
      </w:r>
    </w:p>
    <w:p w14:paraId="332C2B44" w14:textId="77777777" w:rsidR="0067757A" w:rsidRDefault="00824FCA" w:rsidP="00824FCA">
      <w:pPr>
        <w:pStyle w:val="APA"/>
        <w:ind w:firstLine="0"/>
        <w:rPr>
          <w:b/>
          <w:szCs w:val="24"/>
        </w:rPr>
      </w:pPr>
      <w:r>
        <w:rPr>
          <w:b/>
        </w:rPr>
        <w:t xml:space="preserve">Limitations </w:t>
      </w:r>
      <w:r w:rsidR="00257B3A">
        <w:rPr>
          <w:b/>
        </w:rPr>
        <w:t xml:space="preserve">of </w:t>
      </w:r>
      <w:r w:rsidR="00257B3A" w:rsidRPr="003F7065">
        <w:rPr>
          <w:b/>
          <w:szCs w:val="24"/>
        </w:rPr>
        <w:t>Literature Review Process</w:t>
      </w:r>
      <w:r w:rsidR="00421CF2">
        <w:rPr>
          <w:b/>
          <w:szCs w:val="24"/>
        </w:rPr>
        <w:t xml:space="preserve"> </w:t>
      </w:r>
    </w:p>
    <w:p w14:paraId="6E1C792E" w14:textId="79987898" w:rsidR="00824FCA" w:rsidRDefault="0067757A" w:rsidP="00D7552B">
      <w:pPr>
        <w:pStyle w:val="APA"/>
        <w:ind w:firstLine="0"/>
        <w:rPr>
          <w:b/>
        </w:rPr>
      </w:pPr>
      <w:r>
        <w:rPr>
          <w:rFonts w:eastAsiaTheme="minorHAnsi"/>
          <w:szCs w:val="24"/>
        </w:rPr>
        <w:tab/>
      </w:r>
      <w:r w:rsidR="00FD7796">
        <w:rPr>
          <w:rFonts w:eastAsiaTheme="minorHAnsi"/>
          <w:szCs w:val="24"/>
        </w:rPr>
        <w:t xml:space="preserve">The main limitation in the literature review process was the need to use several combinations of the keywords.  Although the words appear to have similar meaning and are used interchangeably in speech, the use of them in a literature search engine would yield different results. </w:t>
      </w:r>
      <w:r w:rsidR="00A83441">
        <w:rPr>
          <w:rFonts w:eastAsiaTheme="minorHAnsi"/>
          <w:szCs w:val="24"/>
        </w:rPr>
        <w:t xml:space="preserve">For example, when </w:t>
      </w:r>
      <w:r w:rsidR="00A83441" w:rsidRPr="0019283D">
        <w:rPr>
          <w:rFonts w:eastAsiaTheme="minorHAnsi"/>
          <w:i/>
          <w:szCs w:val="24"/>
        </w:rPr>
        <w:t>cultural competency</w:t>
      </w:r>
      <w:r w:rsidR="00A83441">
        <w:rPr>
          <w:rFonts w:eastAsiaTheme="minorHAnsi"/>
          <w:szCs w:val="24"/>
        </w:rPr>
        <w:t xml:space="preserve"> and </w:t>
      </w:r>
      <w:r w:rsidR="00A83441" w:rsidRPr="0019283D">
        <w:rPr>
          <w:rFonts w:eastAsiaTheme="minorHAnsi"/>
          <w:i/>
          <w:szCs w:val="24"/>
        </w:rPr>
        <w:t>LGBTQ</w:t>
      </w:r>
      <w:r w:rsidR="0019283D">
        <w:rPr>
          <w:rFonts w:eastAsiaTheme="minorHAnsi"/>
          <w:i/>
          <w:szCs w:val="24"/>
        </w:rPr>
        <w:t xml:space="preserve"> </w:t>
      </w:r>
      <w:r w:rsidR="00A83441">
        <w:rPr>
          <w:rFonts w:eastAsiaTheme="minorHAnsi"/>
          <w:szCs w:val="24"/>
        </w:rPr>
        <w:t xml:space="preserve">were combined the search yielded 2149 results with 856 journal articles. However, when the “Q” is </w:t>
      </w:r>
      <w:r w:rsidR="00D563E7">
        <w:rPr>
          <w:rFonts w:eastAsiaTheme="minorHAnsi"/>
          <w:szCs w:val="24"/>
        </w:rPr>
        <w:t>dropped,</w:t>
      </w:r>
      <w:r w:rsidR="00A83441">
        <w:rPr>
          <w:rFonts w:eastAsiaTheme="minorHAnsi"/>
          <w:szCs w:val="24"/>
        </w:rPr>
        <w:t xml:space="preserve"> and the words </w:t>
      </w:r>
      <w:r w:rsidR="00A83441" w:rsidRPr="00850CA5">
        <w:rPr>
          <w:rFonts w:eastAsiaTheme="minorHAnsi"/>
          <w:i/>
          <w:szCs w:val="24"/>
        </w:rPr>
        <w:t>cultural competency</w:t>
      </w:r>
      <w:r w:rsidR="00A83441">
        <w:rPr>
          <w:rFonts w:eastAsiaTheme="minorHAnsi"/>
          <w:szCs w:val="24"/>
        </w:rPr>
        <w:t xml:space="preserve"> and </w:t>
      </w:r>
      <w:r w:rsidR="00A83441" w:rsidRPr="00850CA5">
        <w:rPr>
          <w:rFonts w:eastAsiaTheme="minorHAnsi"/>
          <w:i/>
          <w:szCs w:val="24"/>
        </w:rPr>
        <w:t>LGBT</w:t>
      </w:r>
      <w:r w:rsidR="00A83441">
        <w:rPr>
          <w:rFonts w:eastAsiaTheme="minorHAnsi"/>
          <w:szCs w:val="24"/>
        </w:rPr>
        <w:t xml:space="preserve"> are combined the results more than doubled yielding 4680 with 2056 journal articles. </w:t>
      </w:r>
      <w:r w:rsidR="00F20794">
        <w:rPr>
          <w:rFonts w:eastAsiaTheme="minorHAnsi"/>
          <w:szCs w:val="24"/>
        </w:rPr>
        <w:t>This required</w:t>
      </w:r>
      <w:r w:rsidR="000D355A">
        <w:rPr>
          <w:rFonts w:eastAsiaTheme="minorHAnsi"/>
          <w:szCs w:val="24"/>
        </w:rPr>
        <w:t xml:space="preserve"> an additional awareness when reviewing articles</w:t>
      </w:r>
      <w:r w:rsidR="00F20794">
        <w:rPr>
          <w:rFonts w:eastAsiaTheme="minorHAnsi"/>
          <w:szCs w:val="24"/>
        </w:rPr>
        <w:t xml:space="preserve"> to be more cognizant</w:t>
      </w:r>
      <w:r w:rsidR="00850CA5">
        <w:rPr>
          <w:rFonts w:eastAsiaTheme="minorHAnsi"/>
          <w:szCs w:val="24"/>
        </w:rPr>
        <w:t xml:space="preserve"> of the defined population being studied. This impacted how the search was conducted because both keywords </w:t>
      </w:r>
      <w:r w:rsidR="00850CA5" w:rsidRPr="00850CA5">
        <w:rPr>
          <w:rFonts w:eastAsiaTheme="minorHAnsi"/>
          <w:i/>
          <w:szCs w:val="24"/>
        </w:rPr>
        <w:t>LGBTQ</w:t>
      </w:r>
      <w:r w:rsidR="00850CA5">
        <w:rPr>
          <w:rFonts w:eastAsiaTheme="minorHAnsi"/>
          <w:szCs w:val="24"/>
        </w:rPr>
        <w:t xml:space="preserve"> and </w:t>
      </w:r>
      <w:r w:rsidR="00850CA5" w:rsidRPr="00850CA5">
        <w:rPr>
          <w:rFonts w:eastAsiaTheme="minorHAnsi"/>
          <w:i/>
          <w:szCs w:val="24"/>
        </w:rPr>
        <w:t>LGBT</w:t>
      </w:r>
      <w:r w:rsidR="00850CA5">
        <w:rPr>
          <w:rFonts w:eastAsiaTheme="minorHAnsi"/>
          <w:szCs w:val="24"/>
        </w:rPr>
        <w:t xml:space="preserve"> needed to be used to ensure as many articles were found but mindful of duplicate findings. Using both terms required more time of the student.</w:t>
      </w:r>
    </w:p>
    <w:p w14:paraId="5001F69D" w14:textId="77777777" w:rsidR="00D7552B" w:rsidRDefault="007525AF" w:rsidP="003A287D">
      <w:pPr>
        <w:spacing w:after="0"/>
        <w:rPr>
          <w:rFonts w:eastAsia="Calibri"/>
          <w:b/>
          <w:sz w:val="24"/>
          <w:szCs w:val="24"/>
        </w:rPr>
      </w:pPr>
      <w:r>
        <w:rPr>
          <w:rFonts w:eastAsia="Calibri"/>
          <w:b/>
          <w:sz w:val="24"/>
          <w:szCs w:val="24"/>
        </w:rPr>
        <w:t>Discussion</w:t>
      </w:r>
      <w:r w:rsidR="00421CF2">
        <w:rPr>
          <w:rFonts w:eastAsia="Calibri"/>
          <w:b/>
          <w:sz w:val="24"/>
          <w:szCs w:val="24"/>
        </w:rPr>
        <w:t xml:space="preserve"> </w:t>
      </w:r>
    </w:p>
    <w:p w14:paraId="1C0D94D0" w14:textId="77777777" w:rsidR="00E21D68" w:rsidRDefault="00D7552B" w:rsidP="003A287D">
      <w:pPr>
        <w:spacing w:after="0"/>
        <w:rPr>
          <w:rFonts w:eastAsiaTheme="minorHAnsi"/>
          <w:sz w:val="24"/>
          <w:szCs w:val="24"/>
        </w:rPr>
      </w:pPr>
      <w:r>
        <w:rPr>
          <w:rFonts w:eastAsia="Calibri"/>
          <w:b/>
          <w:sz w:val="24"/>
          <w:szCs w:val="24"/>
        </w:rPr>
        <w:tab/>
      </w:r>
      <w:r w:rsidR="007525AF">
        <w:rPr>
          <w:rFonts w:eastAsia="Calibri"/>
          <w:b/>
          <w:sz w:val="24"/>
          <w:szCs w:val="24"/>
        </w:rPr>
        <w:t>Conclusion of f</w:t>
      </w:r>
      <w:r w:rsidR="00824FCA">
        <w:rPr>
          <w:rFonts w:eastAsia="Calibri"/>
          <w:b/>
          <w:sz w:val="24"/>
          <w:szCs w:val="24"/>
        </w:rPr>
        <w:t>indings</w:t>
      </w:r>
      <w:r w:rsidR="007525AF">
        <w:rPr>
          <w:rFonts w:eastAsia="Calibri"/>
          <w:b/>
          <w:sz w:val="24"/>
          <w:szCs w:val="24"/>
        </w:rPr>
        <w:t>.</w:t>
      </w:r>
      <w:r w:rsidR="00421CF2">
        <w:rPr>
          <w:rFonts w:eastAsia="Calibri"/>
          <w:b/>
          <w:sz w:val="24"/>
          <w:szCs w:val="24"/>
        </w:rPr>
        <w:t xml:space="preserve"> </w:t>
      </w:r>
      <w:r w:rsidR="00380680">
        <w:rPr>
          <w:rFonts w:eastAsiaTheme="minorHAnsi"/>
          <w:sz w:val="24"/>
          <w:szCs w:val="24"/>
        </w:rPr>
        <w:t>Through extensive review of the literature and reviewing articles addressing culturally competent care</w:t>
      </w:r>
      <w:r w:rsidR="0088110F">
        <w:rPr>
          <w:rFonts w:eastAsiaTheme="minorHAnsi"/>
          <w:sz w:val="24"/>
          <w:szCs w:val="24"/>
        </w:rPr>
        <w:t xml:space="preserve">, it became apparent that there is a lack of knowledge on how to </w:t>
      </w:r>
      <w:r w:rsidR="00F20794">
        <w:rPr>
          <w:rFonts w:eastAsiaTheme="minorHAnsi"/>
          <w:sz w:val="24"/>
          <w:szCs w:val="24"/>
        </w:rPr>
        <w:t xml:space="preserve">provide the </w:t>
      </w:r>
      <w:r w:rsidR="0088110F">
        <w:rPr>
          <w:rFonts w:eastAsiaTheme="minorHAnsi"/>
          <w:sz w:val="24"/>
          <w:szCs w:val="24"/>
        </w:rPr>
        <w:t xml:space="preserve">best </w:t>
      </w:r>
      <w:r w:rsidR="00F20794">
        <w:rPr>
          <w:rFonts w:eastAsiaTheme="minorHAnsi"/>
          <w:sz w:val="24"/>
          <w:szCs w:val="24"/>
        </w:rPr>
        <w:t xml:space="preserve">health </w:t>
      </w:r>
      <w:r w:rsidR="0088110F">
        <w:rPr>
          <w:rFonts w:eastAsiaTheme="minorHAnsi"/>
          <w:sz w:val="24"/>
          <w:szCs w:val="24"/>
        </w:rPr>
        <w:t xml:space="preserve">care </w:t>
      </w:r>
      <w:r w:rsidR="00F20794">
        <w:rPr>
          <w:rFonts w:eastAsiaTheme="minorHAnsi"/>
          <w:sz w:val="24"/>
          <w:szCs w:val="24"/>
        </w:rPr>
        <w:t>for LGBTQ persons</w:t>
      </w:r>
      <w:r w:rsidR="0088110F">
        <w:rPr>
          <w:rFonts w:eastAsiaTheme="minorHAnsi"/>
          <w:sz w:val="24"/>
          <w:szCs w:val="24"/>
        </w:rPr>
        <w:t>. The lack of knowledge stems from both organizational barrier</w:t>
      </w:r>
      <w:r w:rsidR="00362736">
        <w:rPr>
          <w:rFonts w:eastAsiaTheme="minorHAnsi"/>
          <w:sz w:val="24"/>
          <w:szCs w:val="24"/>
        </w:rPr>
        <w:t>s, such as cost and lack of training,</w:t>
      </w:r>
      <w:r w:rsidR="0088110F">
        <w:rPr>
          <w:rFonts w:eastAsiaTheme="minorHAnsi"/>
          <w:sz w:val="24"/>
          <w:szCs w:val="24"/>
        </w:rPr>
        <w:t xml:space="preserve"> as well as </w:t>
      </w:r>
      <w:r w:rsidR="00362736">
        <w:rPr>
          <w:rFonts w:eastAsiaTheme="minorHAnsi"/>
          <w:sz w:val="24"/>
          <w:szCs w:val="24"/>
        </w:rPr>
        <w:t>provider</w:t>
      </w:r>
      <w:r w:rsidR="0088110F">
        <w:rPr>
          <w:rFonts w:eastAsiaTheme="minorHAnsi"/>
          <w:sz w:val="24"/>
          <w:szCs w:val="24"/>
        </w:rPr>
        <w:t xml:space="preserve"> barrier</w:t>
      </w:r>
      <w:r w:rsidR="00362736">
        <w:rPr>
          <w:rFonts w:eastAsiaTheme="minorHAnsi"/>
          <w:sz w:val="24"/>
          <w:szCs w:val="24"/>
        </w:rPr>
        <w:t xml:space="preserve">s.  The provider barriers included not only a culture of </w:t>
      </w:r>
      <w:r w:rsidR="00362736" w:rsidRPr="00362736">
        <w:rPr>
          <w:sz w:val="24"/>
          <w:szCs w:val="24"/>
        </w:rPr>
        <w:t>heteronormativity</w:t>
      </w:r>
      <w:r w:rsidR="00362736">
        <w:rPr>
          <w:rFonts w:eastAsiaTheme="minorHAnsi"/>
          <w:sz w:val="24"/>
          <w:szCs w:val="24"/>
        </w:rPr>
        <w:t xml:space="preserve"> but also the lack of educational opportunities to gain insight into </w:t>
      </w:r>
      <w:r w:rsidR="00362736" w:rsidRPr="0019283D">
        <w:rPr>
          <w:rFonts w:eastAsiaTheme="minorHAnsi"/>
          <w:sz w:val="24"/>
          <w:szCs w:val="24"/>
        </w:rPr>
        <w:t>LGBT</w:t>
      </w:r>
      <w:r w:rsidR="0019283D" w:rsidRPr="0019283D">
        <w:rPr>
          <w:rFonts w:eastAsiaTheme="minorHAnsi"/>
          <w:sz w:val="24"/>
          <w:szCs w:val="24"/>
        </w:rPr>
        <w:t>Q</w:t>
      </w:r>
      <w:r w:rsidR="00362736">
        <w:rPr>
          <w:rFonts w:eastAsiaTheme="minorHAnsi"/>
          <w:sz w:val="24"/>
          <w:szCs w:val="24"/>
        </w:rPr>
        <w:t xml:space="preserve"> health needs and inclusion practices.  Fundamental to </w:t>
      </w:r>
      <w:r w:rsidR="00D330C2">
        <w:rPr>
          <w:rFonts w:eastAsiaTheme="minorHAnsi"/>
          <w:sz w:val="24"/>
          <w:szCs w:val="24"/>
        </w:rPr>
        <w:t xml:space="preserve">providing a safe environment for </w:t>
      </w:r>
      <w:r w:rsidR="00D330C2" w:rsidRPr="0019283D">
        <w:rPr>
          <w:rFonts w:eastAsiaTheme="minorHAnsi"/>
          <w:sz w:val="24"/>
          <w:szCs w:val="24"/>
        </w:rPr>
        <w:t>LGBTQ</w:t>
      </w:r>
      <w:r w:rsidR="00D330C2">
        <w:rPr>
          <w:rFonts w:eastAsiaTheme="minorHAnsi"/>
          <w:sz w:val="24"/>
          <w:szCs w:val="24"/>
        </w:rPr>
        <w:t xml:space="preserve"> persons</w:t>
      </w:r>
      <w:r w:rsidR="0019283D">
        <w:rPr>
          <w:rFonts w:eastAsiaTheme="minorHAnsi"/>
          <w:sz w:val="24"/>
          <w:szCs w:val="24"/>
        </w:rPr>
        <w:t xml:space="preserve"> </w:t>
      </w:r>
      <w:r w:rsidR="00362736">
        <w:rPr>
          <w:rFonts w:eastAsiaTheme="minorHAnsi"/>
          <w:sz w:val="24"/>
          <w:szCs w:val="24"/>
        </w:rPr>
        <w:t xml:space="preserve">is the use of inclusive language. </w:t>
      </w:r>
      <w:r w:rsidR="00D330C2">
        <w:rPr>
          <w:rFonts w:eastAsiaTheme="minorHAnsi"/>
          <w:sz w:val="24"/>
          <w:szCs w:val="24"/>
        </w:rPr>
        <w:t xml:space="preserve"> </w:t>
      </w:r>
      <w:r w:rsidR="00D330C2">
        <w:rPr>
          <w:rFonts w:eastAsiaTheme="minorHAnsi"/>
          <w:sz w:val="24"/>
          <w:szCs w:val="24"/>
        </w:rPr>
        <w:lastRenderedPageBreak/>
        <w:t xml:space="preserve">Incorporating neutral and inclusive language by health care providers creates a safe space for LGBTQ individuals. Use of inclusive language at time of initial contact enables LGBTQ patients to receive optimal quality care. Also gleamed from </w:t>
      </w:r>
      <w:r w:rsidR="007A3513">
        <w:rPr>
          <w:rFonts w:eastAsiaTheme="minorHAnsi"/>
          <w:sz w:val="24"/>
          <w:szCs w:val="24"/>
        </w:rPr>
        <w:t>the literature review was the need for providers to self-reflect, understand their own biases and assumptions to correct personal attitudes that may inhibit optimal care. Providing a safe space for this vulnerable population was magnified by addressing the needs of LGBTQ patients in a hospice setting.  Persons at end-of-life are vulnerable. LGBTQ patients at end-of-life are even more vulnerable and often do not seek hospice services because of fear of discrimination</w:t>
      </w:r>
      <w:r w:rsidR="002804C1">
        <w:rPr>
          <w:rFonts w:eastAsiaTheme="minorHAnsi"/>
          <w:sz w:val="24"/>
          <w:szCs w:val="24"/>
        </w:rPr>
        <w:t xml:space="preserve"> and scarcity of open, inclusive health care resources.</w:t>
      </w:r>
    </w:p>
    <w:p w14:paraId="2245C1F9" w14:textId="60D6CF6F" w:rsidR="00824FCA" w:rsidRDefault="00E21D68" w:rsidP="003A287D">
      <w:pPr>
        <w:spacing w:after="0"/>
        <w:rPr>
          <w:rFonts w:eastAsia="Calibri"/>
          <w:b/>
          <w:sz w:val="24"/>
          <w:szCs w:val="24"/>
        </w:rPr>
      </w:pPr>
      <w:r>
        <w:rPr>
          <w:rFonts w:eastAsiaTheme="minorHAnsi"/>
          <w:sz w:val="24"/>
          <w:szCs w:val="24"/>
        </w:rPr>
        <w:tab/>
      </w:r>
      <w:r w:rsidR="00D330C2">
        <w:rPr>
          <w:rFonts w:eastAsiaTheme="minorHAnsi"/>
          <w:sz w:val="24"/>
          <w:szCs w:val="24"/>
        </w:rPr>
        <w:t xml:space="preserve">After review of the literature, </w:t>
      </w:r>
      <w:r w:rsidR="007A3513">
        <w:rPr>
          <w:rFonts w:eastAsiaTheme="minorHAnsi"/>
          <w:sz w:val="24"/>
          <w:szCs w:val="24"/>
        </w:rPr>
        <w:t xml:space="preserve">it was decided that the intervention for this project was to </w:t>
      </w:r>
      <w:r w:rsidR="002804C1">
        <w:rPr>
          <w:rFonts w:eastAsiaTheme="minorHAnsi"/>
          <w:sz w:val="24"/>
          <w:szCs w:val="24"/>
        </w:rPr>
        <w:t xml:space="preserve">provide </w:t>
      </w:r>
      <w:r w:rsidR="007A3513">
        <w:rPr>
          <w:rFonts w:eastAsiaTheme="minorHAnsi"/>
          <w:sz w:val="24"/>
          <w:szCs w:val="24"/>
        </w:rPr>
        <w:t>an educational module to staff nurses in the hospice home setting</w:t>
      </w:r>
      <w:r w:rsidR="002804C1">
        <w:rPr>
          <w:rFonts w:eastAsiaTheme="minorHAnsi"/>
          <w:sz w:val="24"/>
          <w:szCs w:val="24"/>
        </w:rPr>
        <w:t xml:space="preserve">. This educational module provided information on LGBTQ health concerns and terminology, with a focus on the use of neutral and inclusive language and open-ended questions that does not assume heterosexuality.  </w:t>
      </w:r>
      <w:r w:rsidR="00277468">
        <w:rPr>
          <w:rFonts w:eastAsiaTheme="minorHAnsi"/>
          <w:sz w:val="24"/>
          <w:szCs w:val="24"/>
        </w:rPr>
        <w:t xml:space="preserve">The </w:t>
      </w:r>
      <w:r w:rsidR="00EC5308">
        <w:rPr>
          <w:rFonts w:eastAsiaTheme="minorHAnsi"/>
          <w:sz w:val="24"/>
          <w:szCs w:val="24"/>
        </w:rPr>
        <w:t xml:space="preserve">education module </w:t>
      </w:r>
      <w:r w:rsidR="00277468">
        <w:rPr>
          <w:rFonts w:eastAsiaTheme="minorHAnsi"/>
          <w:sz w:val="24"/>
          <w:szCs w:val="24"/>
        </w:rPr>
        <w:t xml:space="preserve">included a self-awareness exercise and different scenarios to stimulate discussion in use of inclusive questions. </w:t>
      </w:r>
      <w:r w:rsidR="002804C1">
        <w:rPr>
          <w:rFonts w:eastAsiaTheme="minorHAnsi"/>
          <w:sz w:val="24"/>
          <w:szCs w:val="24"/>
        </w:rPr>
        <w:t>The intervention was evaluated by changes in nurses’ behavior after delivery of the education module,</w:t>
      </w:r>
      <w:r w:rsidR="00065203">
        <w:rPr>
          <w:rFonts w:eastAsiaTheme="minorHAnsi"/>
          <w:sz w:val="24"/>
          <w:szCs w:val="24"/>
        </w:rPr>
        <w:t xml:space="preserve"> </w:t>
      </w:r>
      <w:r w:rsidR="00277468">
        <w:rPr>
          <w:rFonts w:eastAsiaTheme="minorHAnsi"/>
          <w:sz w:val="24"/>
          <w:szCs w:val="24"/>
        </w:rPr>
        <w:t xml:space="preserve">measured </w:t>
      </w:r>
      <w:r w:rsidR="00065203">
        <w:rPr>
          <w:rFonts w:eastAsiaTheme="minorHAnsi"/>
          <w:sz w:val="24"/>
          <w:szCs w:val="24"/>
        </w:rPr>
        <w:t xml:space="preserve">by </w:t>
      </w:r>
      <w:r w:rsidR="003470FD">
        <w:rPr>
          <w:rFonts w:eastAsiaTheme="minorHAnsi"/>
          <w:sz w:val="24"/>
          <w:szCs w:val="24"/>
        </w:rPr>
        <w:t>post-education</w:t>
      </w:r>
      <w:r w:rsidR="00065203">
        <w:rPr>
          <w:rFonts w:eastAsiaTheme="minorHAnsi"/>
          <w:sz w:val="24"/>
          <w:szCs w:val="24"/>
        </w:rPr>
        <w:t xml:space="preserve"> questionnaire and anecdotal </w:t>
      </w:r>
      <w:r w:rsidR="00277468">
        <w:rPr>
          <w:rFonts w:eastAsiaTheme="minorHAnsi"/>
          <w:sz w:val="24"/>
          <w:szCs w:val="24"/>
        </w:rPr>
        <w:t>conversations.</w:t>
      </w:r>
      <w:r w:rsidR="002804C1">
        <w:rPr>
          <w:rFonts w:eastAsiaTheme="minorHAnsi"/>
          <w:sz w:val="24"/>
          <w:szCs w:val="24"/>
        </w:rPr>
        <w:t xml:space="preserve"> </w:t>
      </w:r>
    </w:p>
    <w:p w14:paraId="5EB14313" w14:textId="2D02A2F4" w:rsidR="00824FCA" w:rsidRDefault="00824FCA" w:rsidP="003A287D">
      <w:pPr>
        <w:pStyle w:val="APA"/>
        <w:rPr>
          <w:rFonts w:eastAsiaTheme="minorHAnsi"/>
          <w:szCs w:val="24"/>
        </w:rPr>
      </w:pPr>
      <w:r>
        <w:rPr>
          <w:b/>
        </w:rPr>
        <w:t>Advantages and disadvantages of findings</w:t>
      </w:r>
      <w:r w:rsidR="00241808" w:rsidRPr="00241808">
        <w:rPr>
          <w:b/>
        </w:rPr>
        <w:t>.</w:t>
      </w:r>
      <w:r w:rsidR="00241808">
        <w:t xml:space="preserve"> </w:t>
      </w:r>
      <w:r w:rsidR="008D7641">
        <w:rPr>
          <w:rFonts w:eastAsiaTheme="minorHAnsi"/>
          <w:szCs w:val="24"/>
        </w:rPr>
        <w:t xml:space="preserve"> </w:t>
      </w:r>
      <w:r w:rsidR="002804C1">
        <w:rPr>
          <w:rFonts w:eastAsiaTheme="minorHAnsi"/>
          <w:szCs w:val="24"/>
        </w:rPr>
        <w:t xml:space="preserve">Advantages of the </w:t>
      </w:r>
      <w:r w:rsidR="00252386">
        <w:rPr>
          <w:rFonts w:eastAsiaTheme="minorHAnsi"/>
          <w:szCs w:val="24"/>
        </w:rPr>
        <w:t>literature review findings</w:t>
      </w:r>
      <w:r w:rsidR="002804C1">
        <w:rPr>
          <w:rFonts w:eastAsiaTheme="minorHAnsi"/>
          <w:szCs w:val="24"/>
        </w:rPr>
        <w:t xml:space="preserve"> included that many of the articles </w:t>
      </w:r>
      <w:r w:rsidR="00252386">
        <w:rPr>
          <w:rFonts w:eastAsiaTheme="minorHAnsi"/>
          <w:szCs w:val="24"/>
        </w:rPr>
        <w:t xml:space="preserve">were published within the past five years. Recent publications demonstrate that the topic of the project was relevant and timely.  Articles included qualitative and quantitative studies as well as integrative and systematic reviews of the literature.  Studies published focused on the need for health care providers to have education to increase their knowledge and understanding of the unique health needs of LGBTQ persons.  The literature </w:t>
      </w:r>
      <w:r w:rsidR="00252386">
        <w:rPr>
          <w:rFonts w:eastAsiaTheme="minorHAnsi"/>
          <w:szCs w:val="24"/>
        </w:rPr>
        <w:lastRenderedPageBreak/>
        <w:t>also presented the need for health care providers especially nurses to create safe environments for diverse populations and how the use of inclusive language creates this safe space. Additionally, journal articles included specifically the need for optimal care of LGBTQ patients at end-of-life.</w:t>
      </w:r>
    </w:p>
    <w:p w14:paraId="4769053A" w14:textId="2BE0BF46" w:rsidR="00252386" w:rsidRDefault="00252386" w:rsidP="00824FCA">
      <w:pPr>
        <w:pStyle w:val="APA"/>
      </w:pPr>
      <w:r>
        <w:t xml:space="preserve">Disadvantages of the literature findings included lack of </w:t>
      </w:r>
      <w:r w:rsidR="00014A27">
        <w:t xml:space="preserve">specific survey </w:t>
      </w:r>
      <w:r w:rsidR="00F20794">
        <w:t>tools to measure</w:t>
      </w:r>
      <w:r w:rsidR="00850CA5">
        <w:t xml:space="preserve"> nurses</w:t>
      </w:r>
      <w:r w:rsidR="00E1510E">
        <w:t>’</w:t>
      </w:r>
      <w:r w:rsidR="00850CA5">
        <w:t xml:space="preserve"> current perception, knowledge, and importance of use of inclusive language</w:t>
      </w:r>
      <w:r w:rsidR="00E1510E">
        <w:t xml:space="preserve">. There also was a lack of an </w:t>
      </w:r>
      <w:r w:rsidR="00014A27">
        <w:t>education module</w:t>
      </w:r>
      <w:r w:rsidR="00E1510E">
        <w:t xml:space="preserve"> or blueprint for presenting inclusive language to health care providers.</w:t>
      </w:r>
      <w:r w:rsidR="00F20794">
        <w:t xml:space="preserve"> </w:t>
      </w:r>
      <w:r w:rsidR="00014A27">
        <w:t xml:space="preserve">Many articles had suggestions for questionnaires, surveys and education content but none provided a complete process. Articles were synthesized to create the </w:t>
      </w:r>
      <w:r w:rsidR="003470FD">
        <w:t>post-education</w:t>
      </w:r>
      <w:r w:rsidR="00277468">
        <w:t xml:space="preserve"> questionnaire</w:t>
      </w:r>
      <w:r w:rsidR="00014A27">
        <w:t xml:space="preserve"> for the nursing staff and education </w:t>
      </w:r>
      <w:r w:rsidR="00EC5308">
        <w:t>module</w:t>
      </w:r>
      <w:r w:rsidR="00014A27">
        <w:t xml:space="preserve">. </w:t>
      </w:r>
    </w:p>
    <w:p w14:paraId="54B9DF3D" w14:textId="528BD775" w:rsidR="008B3F73" w:rsidRDefault="00824FCA" w:rsidP="00824FCA">
      <w:pPr>
        <w:pStyle w:val="APA"/>
        <w:rPr>
          <w:rFonts w:eastAsiaTheme="minorHAnsi"/>
          <w:szCs w:val="24"/>
        </w:rPr>
      </w:pPr>
      <w:r>
        <w:rPr>
          <w:b/>
        </w:rPr>
        <w:t xml:space="preserve">Utilization </w:t>
      </w:r>
      <w:r w:rsidR="00257B3A">
        <w:rPr>
          <w:b/>
        </w:rPr>
        <w:t xml:space="preserve">of findings </w:t>
      </w:r>
      <w:r>
        <w:rPr>
          <w:b/>
        </w:rPr>
        <w:t>in practic</w:t>
      </w:r>
      <w:r w:rsidRPr="00241808">
        <w:rPr>
          <w:b/>
        </w:rPr>
        <w:t xml:space="preserve">e. </w:t>
      </w:r>
      <w:r w:rsidR="00421CF2">
        <w:rPr>
          <w:b/>
        </w:rPr>
        <w:t xml:space="preserve"> </w:t>
      </w:r>
      <w:r w:rsidR="006C22AE">
        <w:rPr>
          <w:rFonts w:eastAsiaTheme="minorHAnsi"/>
          <w:szCs w:val="24"/>
        </w:rPr>
        <w:t>The literature review findings support the intervention of providing an education module focusing on the care of LGBTQ persons</w:t>
      </w:r>
      <w:r w:rsidR="006C21DA">
        <w:rPr>
          <w:rFonts w:eastAsiaTheme="minorHAnsi"/>
          <w:szCs w:val="24"/>
        </w:rPr>
        <w:t xml:space="preserve">.  </w:t>
      </w:r>
      <w:r w:rsidR="001C38AF">
        <w:rPr>
          <w:rFonts w:eastAsiaTheme="minorHAnsi"/>
          <w:szCs w:val="24"/>
        </w:rPr>
        <w:t xml:space="preserve">Many journal articles specifically spoke to care of LGBTQ patients in palliative care. </w:t>
      </w:r>
      <w:r w:rsidR="006C21DA">
        <w:rPr>
          <w:rFonts w:eastAsiaTheme="minorHAnsi"/>
          <w:szCs w:val="24"/>
        </w:rPr>
        <w:t xml:space="preserve">End-of-life can be difficult for many patients and families.  LGBTQ patients at end-of-life can create more challenges for hospice nurses. Creating a safe space by use of neutral inclusive language at time of admission to the inpatient hospice home allows the LGBTQ patient and family to feel welcomed. Creation of an accepting environment provides an immediate comfort at a difficult time. </w:t>
      </w:r>
    </w:p>
    <w:p w14:paraId="7A7FFD96" w14:textId="21D0259C" w:rsidR="00824FCA" w:rsidRDefault="006C21DA" w:rsidP="00824FCA">
      <w:pPr>
        <w:pStyle w:val="APA"/>
      </w:pPr>
      <w:r>
        <w:rPr>
          <w:rFonts w:eastAsiaTheme="minorHAnsi"/>
          <w:szCs w:val="24"/>
        </w:rPr>
        <w:t xml:space="preserve">An education module </w:t>
      </w:r>
      <w:r w:rsidR="001C38AF">
        <w:rPr>
          <w:rFonts w:eastAsiaTheme="minorHAnsi"/>
          <w:szCs w:val="24"/>
        </w:rPr>
        <w:t>a</w:t>
      </w:r>
      <w:r>
        <w:rPr>
          <w:rFonts w:eastAsiaTheme="minorHAnsi"/>
          <w:szCs w:val="24"/>
        </w:rPr>
        <w:t>lso allowed for nurses to self</w:t>
      </w:r>
      <w:r w:rsidR="001C38AF">
        <w:rPr>
          <w:rFonts w:eastAsiaTheme="minorHAnsi"/>
          <w:szCs w:val="24"/>
        </w:rPr>
        <w:t>-</w:t>
      </w:r>
      <w:r>
        <w:rPr>
          <w:rFonts w:eastAsiaTheme="minorHAnsi"/>
          <w:szCs w:val="24"/>
        </w:rPr>
        <w:t xml:space="preserve">reflect on their own biases and attitudes and to become knowledgeable about the terminology and specific health needs of this population.  </w:t>
      </w:r>
      <w:r w:rsidR="001C38AF">
        <w:rPr>
          <w:rFonts w:eastAsiaTheme="minorHAnsi"/>
          <w:szCs w:val="24"/>
        </w:rPr>
        <w:t xml:space="preserve">The education module was provided </w:t>
      </w:r>
      <w:r w:rsidR="005124AA">
        <w:rPr>
          <w:rFonts w:eastAsiaTheme="minorHAnsi"/>
          <w:szCs w:val="24"/>
        </w:rPr>
        <w:t>through support of the hospice home leadership team.</w:t>
      </w:r>
      <w:r w:rsidR="001C38AF">
        <w:rPr>
          <w:rFonts w:eastAsiaTheme="minorHAnsi"/>
          <w:szCs w:val="24"/>
        </w:rPr>
        <w:t xml:space="preserve"> The literature discussed organizational barriers to educating health care providers however,</w:t>
      </w:r>
      <w:r w:rsidR="001C38AF" w:rsidRPr="001C38AF">
        <w:rPr>
          <w:rFonts w:eastAsiaTheme="minorHAnsi"/>
          <w:szCs w:val="24"/>
        </w:rPr>
        <w:t xml:space="preserve"> </w:t>
      </w:r>
      <w:r w:rsidR="001C38AF">
        <w:rPr>
          <w:rFonts w:eastAsiaTheme="minorHAnsi"/>
          <w:szCs w:val="24"/>
        </w:rPr>
        <w:lastRenderedPageBreak/>
        <w:t>with support of the leadership team the intervention was easily translated into the inpatient hospice home setting.</w:t>
      </w:r>
    </w:p>
    <w:p w14:paraId="5A401B9E" w14:textId="77777777" w:rsidR="0067757A" w:rsidRDefault="00824FCA" w:rsidP="00824FCA">
      <w:pPr>
        <w:pStyle w:val="APA"/>
        <w:ind w:firstLine="0"/>
        <w:rPr>
          <w:b/>
        </w:rPr>
      </w:pPr>
      <w:r>
        <w:rPr>
          <w:b/>
        </w:rPr>
        <w:t>Summary</w:t>
      </w:r>
      <w:r w:rsidR="00421CF2">
        <w:rPr>
          <w:b/>
        </w:rPr>
        <w:t xml:space="preserve"> </w:t>
      </w:r>
    </w:p>
    <w:p w14:paraId="1B3061C0" w14:textId="742087D6" w:rsidR="009A5853" w:rsidRDefault="0067757A" w:rsidP="00824FCA">
      <w:pPr>
        <w:pStyle w:val="APA"/>
        <w:ind w:firstLine="0"/>
        <w:rPr>
          <w:rFonts w:eastAsiaTheme="minorHAnsi"/>
          <w:szCs w:val="24"/>
        </w:rPr>
      </w:pPr>
      <w:r>
        <w:rPr>
          <w:rFonts w:eastAsiaTheme="minorHAnsi"/>
          <w:szCs w:val="24"/>
        </w:rPr>
        <w:tab/>
      </w:r>
      <w:r w:rsidR="00896FCA">
        <w:rPr>
          <w:rFonts w:eastAsiaTheme="minorHAnsi"/>
          <w:szCs w:val="24"/>
        </w:rPr>
        <w:t xml:space="preserve">Based on review of the literature, LGBTQ individuals suffer from health disparities and discrimination in health care settings.  Fear of receiving inadequate care leads this population to not disclose or discuss their sexual orientation with their health care providers. Increasing awareness of specific health needs and the need to create an open and safe space is imperative for LGBTQ patients to receive optimal care. LGBTQ patients are vulnerable and at end-of-life are even more vulnerable. </w:t>
      </w:r>
      <w:r w:rsidR="006C22AE">
        <w:rPr>
          <w:rFonts w:eastAsiaTheme="minorHAnsi"/>
          <w:szCs w:val="24"/>
        </w:rPr>
        <w:t>Providing education to health care providers in the hospice setting about use of inclusive language and the unique health needs of LGBTQ patients will create a safe space allowing patients to receive quality care at end-of-life.</w:t>
      </w:r>
    </w:p>
    <w:p w14:paraId="30644354" w14:textId="77777777" w:rsidR="009A5853" w:rsidRDefault="009A5853">
      <w:pPr>
        <w:rPr>
          <w:rFonts w:eastAsiaTheme="minorHAnsi"/>
          <w:sz w:val="24"/>
          <w:szCs w:val="24"/>
        </w:rPr>
      </w:pPr>
      <w:r>
        <w:rPr>
          <w:rFonts w:eastAsiaTheme="minorHAnsi"/>
          <w:szCs w:val="24"/>
        </w:rPr>
        <w:br w:type="page"/>
      </w:r>
    </w:p>
    <w:p w14:paraId="534B044F" w14:textId="77777777" w:rsidR="007B080B" w:rsidRDefault="007B080B" w:rsidP="007B080B">
      <w:pPr>
        <w:pStyle w:val="APA"/>
        <w:ind w:firstLine="0"/>
        <w:jc w:val="center"/>
        <w:rPr>
          <w:b/>
        </w:rPr>
      </w:pPr>
      <w:r>
        <w:rPr>
          <w:b/>
        </w:rPr>
        <w:lastRenderedPageBreak/>
        <w:t xml:space="preserve">Chapter Three: Theory and Concept Model for Evidence-based Practice </w:t>
      </w:r>
    </w:p>
    <w:p w14:paraId="7FF11DF1" w14:textId="1401CF75" w:rsidR="007B080B" w:rsidRDefault="007B080B" w:rsidP="007B080B">
      <w:pPr>
        <w:pStyle w:val="APA"/>
        <w:rPr>
          <w:b/>
        </w:rPr>
      </w:pPr>
      <w:r>
        <w:t>Nursing theory provides the determinants that strengthens practice and aids generation of advancing nursing knowledge (Colley, 2003).</w:t>
      </w:r>
      <w:r>
        <w:rPr>
          <w:rFonts w:ascii="Helvetica" w:hAnsi="Helvetica" w:cs="Helvetica"/>
          <w:color w:val="555555"/>
          <w:sz w:val="21"/>
          <w:szCs w:val="21"/>
          <w:shd w:val="clear" w:color="auto" w:fill="FFFFFF"/>
        </w:rPr>
        <w:t> </w:t>
      </w:r>
      <w:r>
        <w:t xml:space="preserve"> Campinha-Bacote’s model of cultural competence was used to guide the development of this </w:t>
      </w:r>
      <w:r w:rsidR="009D1913">
        <w:t>Doctor in Nursing Practice (</w:t>
      </w:r>
      <w:r>
        <w:t>DNP</w:t>
      </w:r>
      <w:r w:rsidR="009D1913">
        <w:t>)</w:t>
      </w:r>
      <w:r>
        <w:t xml:space="preserve"> project. Lewin’s Change Theory supported the plan for implementation of the quality improvement project. The purpose of this chapter is to discuss both Campinha-Bacote’s conceptual model of cultural competency and Lewin’s Change Theory as they relate to cultural competency of lesbian, gay, bisexual, transgender, and queer/questioning (LGBTQ) patients at end-of-life.</w:t>
      </w:r>
    </w:p>
    <w:p w14:paraId="60169F2F" w14:textId="77777777" w:rsidR="007B080B" w:rsidRDefault="007B080B" w:rsidP="007B080B">
      <w:pPr>
        <w:pStyle w:val="APA"/>
        <w:ind w:firstLine="0"/>
        <w:rPr>
          <w:rFonts w:eastAsiaTheme="minorHAnsi"/>
          <w:szCs w:val="24"/>
        </w:rPr>
      </w:pPr>
      <w:r>
        <w:rPr>
          <w:b/>
        </w:rPr>
        <w:t xml:space="preserve">Concept Analysis </w:t>
      </w:r>
    </w:p>
    <w:p w14:paraId="5EE5B8FF" w14:textId="77777777" w:rsidR="007B080B" w:rsidRDefault="007B080B" w:rsidP="007B080B">
      <w:pPr>
        <w:pStyle w:val="APA"/>
        <w:ind w:firstLine="0"/>
        <w:rPr>
          <w:szCs w:val="24"/>
        </w:rPr>
      </w:pPr>
      <w:r>
        <w:rPr>
          <w:b/>
        </w:rPr>
        <w:tab/>
      </w:r>
      <w:r>
        <w:rPr>
          <w:b/>
          <w:szCs w:val="24"/>
        </w:rPr>
        <w:t xml:space="preserve">LGTBQ.  </w:t>
      </w:r>
      <w:r>
        <w:rPr>
          <w:szCs w:val="24"/>
        </w:rPr>
        <w:t>LGTBQ</w:t>
      </w:r>
      <w:r>
        <w:rPr>
          <w:b/>
          <w:szCs w:val="24"/>
        </w:rPr>
        <w:t xml:space="preserve"> </w:t>
      </w:r>
      <w:r>
        <w:rPr>
          <w:szCs w:val="24"/>
        </w:rPr>
        <w:t>is an acronym which stands for lesbian, gay, transgender/transsexual, bisexual, and queer or questioning (Quinn et al., 2015).  The LGBTQ community is also described as a sexual minority that suffers from health disparities (Quinn et al., 2015). The purpose of this project is to focus on LGBTQ individuals with chronic or life-limiting illnesses. These individuals need to have hospice and palliative care available in an inclusive and safe environment (Acquaviva, 2017).</w:t>
      </w:r>
    </w:p>
    <w:p w14:paraId="2DF6F032" w14:textId="77777777" w:rsidR="007B080B" w:rsidRDefault="007B080B" w:rsidP="007B080B">
      <w:pPr>
        <w:pStyle w:val="APA"/>
        <w:ind w:firstLine="0"/>
      </w:pPr>
      <w:r>
        <w:rPr>
          <w:b/>
        </w:rPr>
        <w:tab/>
        <w:t xml:space="preserve">Cultural competence.  </w:t>
      </w:r>
      <w:r>
        <w:t>Cultural competence is a continued process of awareness, understanding and knowledge in which health care providers adeptly work within the patients’ cultural framework (Campinha-Bacote, 1999). Cultural competence can be categorized into three dimensions: awareness, attitudes, and behaviors (Fredriksen-Goldsen et al., 2014a). Antecedents to this concept include cultural diversity, awareness of one’s own cultural heritage, and motivation to learn about another culture (Mann, 2017).</w:t>
      </w:r>
    </w:p>
    <w:p w14:paraId="3C58EFD3" w14:textId="493F8825" w:rsidR="0086473C" w:rsidRDefault="007B080B" w:rsidP="007B080B">
      <w:pPr>
        <w:pStyle w:val="APA"/>
        <w:ind w:firstLine="0"/>
      </w:pPr>
      <w:r>
        <w:tab/>
      </w:r>
      <w:r>
        <w:rPr>
          <w:b/>
        </w:rPr>
        <w:t xml:space="preserve">Hospice care.  </w:t>
      </w:r>
      <w:r>
        <w:t>Hospice care</w:t>
      </w:r>
      <w:r>
        <w:rPr>
          <w:b/>
        </w:rPr>
        <w:t xml:space="preserve"> </w:t>
      </w:r>
      <w:r>
        <w:t xml:space="preserve">is synonymous with end-of-life and is a specific type of palliative care provided to persons in the last 6 months of life (Martin &amp; Barkley, 2016). Hospice </w:t>
      </w:r>
      <w:r>
        <w:lastRenderedPageBreak/>
        <w:t>care is a philosophy that focuses on comfort measures versus curative therapy (</w:t>
      </w:r>
      <w:r w:rsidR="00222187">
        <w:t>NHPCO</w:t>
      </w:r>
      <w:r>
        <w:t>, 2017). Comfort measures include symptom management, psychosocial and spiritual needs and caregiver concerns. Common symptoms managed are pain, anxiety, agitation, nausea, vomiting and dyspnea.</w:t>
      </w:r>
      <w:r w:rsidR="0086473C">
        <w:t xml:space="preserve"> </w:t>
      </w:r>
    </w:p>
    <w:p w14:paraId="7A2A52B5" w14:textId="77777777" w:rsidR="0086473C" w:rsidRDefault="007B080B" w:rsidP="007B080B">
      <w:pPr>
        <w:pStyle w:val="APA"/>
        <w:ind w:firstLine="0"/>
        <w:rPr>
          <w:rFonts w:eastAsiaTheme="minorHAnsi"/>
          <w:szCs w:val="24"/>
        </w:rPr>
      </w:pPr>
      <w:r>
        <w:rPr>
          <w:b/>
          <w:szCs w:val="24"/>
        </w:rPr>
        <w:t>Theoretical Framework</w:t>
      </w:r>
      <w:r>
        <w:rPr>
          <w:rFonts w:eastAsiaTheme="minorHAnsi"/>
          <w:szCs w:val="24"/>
        </w:rPr>
        <w:t xml:space="preserve"> </w:t>
      </w:r>
      <w:r w:rsidR="008D7641">
        <w:rPr>
          <w:rFonts w:eastAsiaTheme="minorHAnsi"/>
          <w:szCs w:val="24"/>
        </w:rPr>
        <w:tab/>
      </w:r>
    </w:p>
    <w:p w14:paraId="69ADC166" w14:textId="44B3DDE5" w:rsidR="007B080B" w:rsidRDefault="0086473C" w:rsidP="007B080B">
      <w:pPr>
        <w:pStyle w:val="APA"/>
        <w:ind w:firstLine="0"/>
        <w:rPr>
          <w:szCs w:val="24"/>
        </w:rPr>
      </w:pPr>
      <w:r>
        <w:rPr>
          <w:szCs w:val="24"/>
        </w:rPr>
        <w:tab/>
      </w:r>
      <w:r w:rsidR="007B080B">
        <w:rPr>
          <w:szCs w:val="24"/>
        </w:rPr>
        <w:t xml:space="preserve">Campinha-Bacote’s Model of Cultural Competence in Healthcare Delivery will be used as the theoretical framework to guide this scholarly project. Campinha-Bacote first developed her model, known as cultural competency in the delivery of healthcare services, in 1998, revising it in 2002 (Campinha-Bacote, 2002). The model suggests that cultural competence is a process, not as an outcome brought about by certain factors. The concept of cultural competence can be defined as a process in which the nurse attempts to achieve greater efficiency and the ability to work in a culturally diverse environment while caring for the patient, whether an individual, a family, or a group (Campinha-Bacote, 2007).  The process requires that “health care providers see themselves as becoming culturally competent rather than being culturally competent” (Campinha-Bacote, 1999, p. 203). </w:t>
      </w:r>
    </w:p>
    <w:p w14:paraId="49E15ADE" w14:textId="77777777" w:rsidR="007B080B" w:rsidRDefault="007B080B" w:rsidP="007B080B">
      <w:pPr>
        <w:pStyle w:val="APA"/>
        <w:ind w:firstLine="0"/>
      </w:pPr>
      <w:r>
        <w:rPr>
          <w:szCs w:val="24"/>
        </w:rPr>
        <w:tab/>
        <w:t xml:space="preserve">Campinha-Bacote’s cultural competency model has been used as a framework in recent articles addressing end-of-life issues.  Rising (2015) described Campinha-Bacote’s model as </w:t>
      </w:r>
      <w:r>
        <w:t>necessary to promote cultural humility in intercultural interactions at end-of-life. Using Campinha-Bacote’s cultural competency model as a foundation, Rising (2015) further describes cultural humility as awareness of one’s personal cultural assumptions and biases while enriching cultural knowledge of others’ preferences. Rising (2015) concludes that cultural competence through self-awareness and knowledge provides a route for truth telling and non-disclosure to provide dignified patient care to all persons at end-of-life.</w:t>
      </w:r>
    </w:p>
    <w:p w14:paraId="6567D74E" w14:textId="77777777" w:rsidR="007B080B" w:rsidRDefault="007B080B" w:rsidP="007B080B">
      <w:pPr>
        <w:pStyle w:val="APA"/>
        <w:ind w:firstLine="0"/>
      </w:pPr>
      <w:r>
        <w:lastRenderedPageBreak/>
        <w:tab/>
        <w:t xml:space="preserve">O’Mara and </w:t>
      </w:r>
      <w:r>
        <w:rPr>
          <w:szCs w:val="24"/>
        </w:rPr>
        <w:t>Zborovskaya</w:t>
      </w:r>
      <w:r>
        <w:t xml:space="preserve"> (2016) used Campinha-Bacote’s framework to address the unique societal tenets, cultural background, and factors facilitating end-of-life-care decision-making process in the Hispanic community. The Hispanic community is viewed as a vulnerable population due to a decrease in access to health care and discrimination (O’Mara &amp; </w:t>
      </w:r>
      <w:r>
        <w:rPr>
          <w:szCs w:val="24"/>
        </w:rPr>
        <w:t>Zborovskaya, 2016).  This vulnerability is very similar to the LGBTQ community. In their article, O’Mara and Zborovskaya provide explanation on each of the five components of the cultural competency model and offer insight into how each component requires achievement of understanding by health care providers caring for the Hispanic community at end-of-life.</w:t>
      </w:r>
    </w:p>
    <w:p w14:paraId="4B3D787E" w14:textId="572D271E" w:rsidR="007B080B" w:rsidRDefault="007B080B" w:rsidP="00F5638B">
      <w:pPr>
        <w:pStyle w:val="APA"/>
        <w:ind w:firstLine="0"/>
        <w:rPr>
          <w:szCs w:val="24"/>
        </w:rPr>
      </w:pPr>
      <w:r>
        <w:rPr>
          <w:szCs w:val="24"/>
        </w:rPr>
        <w:tab/>
        <w:t xml:space="preserve">The five components to achieve cultural competence include cultural awareness, cultural skill, cultural knowledge, cultural encounter and cultural desire (Campinha-Bacote, 2011). </w:t>
      </w:r>
      <w:r w:rsidR="00F5638B">
        <w:rPr>
          <w:b/>
          <w:szCs w:val="24"/>
        </w:rPr>
        <w:tab/>
      </w:r>
      <w:r>
        <w:rPr>
          <w:b/>
          <w:szCs w:val="24"/>
        </w:rPr>
        <w:t xml:space="preserve">Cultural awareness. </w:t>
      </w:r>
      <w:r>
        <w:rPr>
          <w:szCs w:val="24"/>
        </w:rPr>
        <w:t xml:space="preserve"> Cultural awareness is an intentional, cognitive process where one explores, appreciates and is sensitive to the values, practices, and beliefs of a patient’s culture without interjecting one’s own beliefs and values (Campinha-Bacote, 1999).  It is imperative that the process includes one’s own reflection about bias and prejudice towards others cultural background and full exploration of one’s own cultural background (Campinha-Bacote, 1999).</w:t>
      </w:r>
      <w:r w:rsidR="00F5638B">
        <w:rPr>
          <w:b/>
          <w:szCs w:val="24"/>
        </w:rPr>
        <w:tab/>
      </w:r>
      <w:r>
        <w:rPr>
          <w:b/>
          <w:szCs w:val="24"/>
        </w:rPr>
        <w:t xml:space="preserve">Cultural skill. </w:t>
      </w:r>
      <w:r>
        <w:rPr>
          <w:szCs w:val="24"/>
        </w:rPr>
        <w:t>Cultural skill involves conducting not only a cultural assessment but a culturally based physical assessment. Health care providers use a culturally sensitive approach when conducting a cultural assessment. By using culturally sensitive assessment technique, a provider will elicit important cultural content from the patient (Campinha-Bacote, 1999). Health care providers also need to be proficient in conducting a culturally sensitive physical examination with knowledge on ethnically diverse patients’ physical, biological and physiological differences (Campinha-Bacote, 1999).</w:t>
      </w:r>
    </w:p>
    <w:p w14:paraId="11216EB7" w14:textId="77777777" w:rsidR="008702A9" w:rsidRDefault="007B080B" w:rsidP="003A287D">
      <w:pPr>
        <w:spacing w:after="0"/>
        <w:ind w:firstLine="720"/>
        <w:rPr>
          <w:sz w:val="24"/>
          <w:szCs w:val="24"/>
        </w:rPr>
      </w:pPr>
      <w:r>
        <w:rPr>
          <w:b/>
          <w:sz w:val="24"/>
          <w:szCs w:val="24"/>
        </w:rPr>
        <w:lastRenderedPageBreak/>
        <w:t xml:space="preserve">Cultural knowledge. </w:t>
      </w:r>
      <w:r>
        <w:rPr>
          <w:sz w:val="24"/>
          <w:szCs w:val="24"/>
        </w:rPr>
        <w:t>Cultural knowledge is the seeking and obtaining of a reliable educational base that focuses on the various world views of diverse cultures (Campinha-Bacote, 1999). The goal is for the health care provider to understand the world view from the client’s perspective. Obtaining knowledge about differences in physical, biological and physiological attributes is also crucial in the process of cultural knowledge (Campinha-Bacote, 1999).</w:t>
      </w:r>
    </w:p>
    <w:p w14:paraId="1FFF1EC6" w14:textId="77777777" w:rsidR="008702A9" w:rsidRDefault="007B080B" w:rsidP="008702A9">
      <w:pPr>
        <w:spacing w:after="0"/>
        <w:ind w:firstLine="720"/>
        <w:rPr>
          <w:sz w:val="24"/>
          <w:szCs w:val="24"/>
        </w:rPr>
      </w:pPr>
      <w:r>
        <w:rPr>
          <w:b/>
          <w:sz w:val="24"/>
          <w:szCs w:val="24"/>
        </w:rPr>
        <w:t xml:space="preserve">Cultural encounter. </w:t>
      </w:r>
      <w:r>
        <w:rPr>
          <w:sz w:val="24"/>
          <w:szCs w:val="24"/>
        </w:rPr>
        <w:t>Cultural encounter promotes health care providers to interact directly with clients from diverse cultural backgrounds.  It is important to remember that there is variation within a cultural group and not to assume all persons from the same cultural background have the same value and belief system. The process of cultural encounters can be difficult and uncomfortable and that good intentions are not always viewed in that manner (Campinha-Bacote, 1999).</w:t>
      </w:r>
    </w:p>
    <w:p w14:paraId="19AD4283" w14:textId="62883FA9" w:rsidR="007B080B" w:rsidRDefault="007B080B" w:rsidP="008702A9">
      <w:pPr>
        <w:spacing w:after="0"/>
        <w:ind w:firstLine="720"/>
        <w:rPr>
          <w:sz w:val="24"/>
          <w:szCs w:val="24"/>
        </w:rPr>
      </w:pPr>
      <w:r>
        <w:rPr>
          <w:b/>
          <w:sz w:val="24"/>
          <w:szCs w:val="24"/>
        </w:rPr>
        <w:t xml:space="preserve">Cultural desire. </w:t>
      </w:r>
      <w:r>
        <w:rPr>
          <w:sz w:val="24"/>
          <w:szCs w:val="24"/>
        </w:rPr>
        <w:t>Cultural desire requires enthusiasm and drive for health care providers to want to engage in the process of cultural competence (Campinha-Bacote, 1999).  Health care providers may possess all the other concepts but unless they desire to work with culturally diverse clients, they will not attain cultural competence (Campinha-Bacote, 1999).  Caring is a very important concept in achieving this construct. Intrinsic caring present in health care providers allows the clients from diverse backgrounds to feel valued (Campinha-Bacote, 1999).</w:t>
      </w:r>
    </w:p>
    <w:p w14:paraId="26DD52AA" w14:textId="24B125EC" w:rsidR="007B080B" w:rsidRDefault="007B080B" w:rsidP="003A287D">
      <w:pPr>
        <w:pStyle w:val="APA"/>
        <w:rPr>
          <w:szCs w:val="24"/>
        </w:rPr>
      </w:pPr>
      <w:r>
        <w:rPr>
          <w:b/>
        </w:rPr>
        <w:t>Application to practice change</w:t>
      </w:r>
      <w:r>
        <w:t xml:space="preserve">.  </w:t>
      </w:r>
      <w:r>
        <w:rPr>
          <w:rFonts w:eastAsiaTheme="minorHAnsi"/>
          <w:szCs w:val="24"/>
        </w:rPr>
        <w:t xml:space="preserve"> </w:t>
      </w:r>
      <w:r>
        <w:rPr>
          <w:szCs w:val="24"/>
        </w:rPr>
        <w:t xml:space="preserve">Campinha-Bacote’s Model of Cultural Competence in Healthcare Delivery guided this practice change project in the following manner. The project entailed an </w:t>
      </w:r>
      <w:r w:rsidR="00EA073E">
        <w:rPr>
          <w:szCs w:val="24"/>
        </w:rPr>
        <w:t>education module</w:t>
      </w:r>
      <w:r>
        <w:rPr>
          <w:szCs w:val="24"/>
        </w:rPr>
        <w:t xml:space="preserve"> </w:t>
      </w:r>
      <w:r w:rsidR="007867AD">
        <w:rPr>
          <w:szCs w:val="24"/>
        </w:rPr>
        <w:t>discussing</w:t>
      </w:r>
      <w:r>
        <w:rPr>
          <w:szCs w:val="24"/>
        </w:rPr>
        <w:t xml:space="preserve"> the use of inclusive language at time of admission to a hospice home setting.  Use of the five constructs direct</w:t>
      </w:r>
      <w:r w:rsidR="007E7C84">
        <w:rPr>
          <w:szCs w:val="24"/>
        </w:rPr>
        <w:t>ed</w:t>
      </w:r>
      <w:r>
        <w:rPr>
          <w:szCs w:val="24"/>
        </w:rPr>
        <w:t xml:space="preserve"> the </w:t>
      </w:r>
      <w:r w:rsidR="007E7C84">
        <w:rPr>
          <w:szCs w:val="24"/>
        </w:rPr>
        <w:t xml:space="preserve">post questionnaire </w:t>
      </w:r>
      <w:r>
        <w:rPr>
          <w:szCs w:val="24"/>
        </w:rPr>
        <w:t xml:space="preserve">and </w:t>
      </w:r>
      <w:r w:rsidR="00EA073E">
        <w:rPr>
          <w:szCs w:val="24"/>
        </w:rPr>
        <w:t>education module</w:t>
      </w:r>
      <w:r>
        <w:rPr>
          <w:szCs w:val="24"/>
        </w:rPr>
        <w:t xml:space="preserve">.  </w:t>
      </w:r>
      <w:r w:rsidR="007E7C84">
        <w:rPr>
          <w:szCs w:val="24"/>
        </w:rPr>
        <w:t>The self-awareness activity during the education module gave</w:t>
      </w:r>
      <w:r>
        <w:rPr>
          <w:szCs w:val="24"/>
        </w:rPr>
        <w:t xml:space="preserve"> the hospice home nurses an opportunity to process through the cultural awareness construct by self-examining their own </w:t>
      </w:r>
      <w:r>
        <w:rPr>
          <w:szCs w:val="24"/>
        </w:rPr>
        <w:lastRenderedPageBreak/>
        <w:t>feelings and biases towards their own cultural beliefs and values. The cultural skill construct provide</w:t>
      </w:r>
      <w:r w:rsidR="007E7C84">
        <w:rPr>
          <w:szCs w:val="24"/>
        </w:rPr>
        <w:t>d</w:t>
      </w:r>
      <w:r>
        <w:rPr>
          <w:szCs w:val="24"/>
        </w:rPr>
        <w:t xml:space="preserve"> a foundation for the </w:t>
      </w:r>
      <w:r w:rsidR="00EA073E">
        <w:rPr>
          <w:szCs w:val="24"/>
        </w:rPr>
        <w:t>education module</w:t>
      </w:r>
      <w:r>
        <w:rPr>
          <w:szCs w:val="24"/>
        </w:rPr>
        <w:t xml:space="preserve"> to teach the use of inclusive language at time of admission, so all patients and their families feel inclusive.  Cultural knowledge allow</w:t>
      </w:r>
      <w:r w:rsidR="009A5DFD">
        <w:rPr>
          <w:szCs w:val="24"/>
        </w:rPr>
        <w:t>ed</w:t>
      </w:r>
      <w:r>
        <w:rPr>
          <w:szCs w:val="24"/>
        </w:rPr>
        <w:t xml:space="preserve"> for discussion </w:t>
      </w:r>
      <w:r w:rsidR="009A5DFD">
        <w:rPr>
          <w:szCs w:val="24"/>
        </w:rPr>
        <w:t xml:space="preserve">on terminology and </w:t>
      </w:r>
      <w:r>
        <w:rPr>
          <w:szCs w:val="24"/>
        </w:rPr>
        <w:t>the need for inclusive language</w:t>
      </w:r>
      <w:r w:rsidR="009A5DFD">
        <w:rPr>
          <w:szCs w:val="24"/>
        </w:rPr>
        <w:t xml:space="preserve"> and questions</w:t>
      </w:r>
      <w:r>
        <w:rPr>
          <w:szCs w:val="24"/>
        </w:rPr>
        <w:t xml:space="preserve"> especially to LGBTQ persons. </w:t>
      </w:r>
      <w:r w:rsidR="009A5DFD">
        <w:rPr>
          <w:szCs w:val="24"/>
        </w:rPr>
        <w:t xml:space="preserve">The importance of </w:t>
      </w:r>
      <w:r>
        <w:rPr>
          <w:szCs w:val="24"/>
        </w:rPr>
        <w:t>inclusive language to LGBTQ</w:t>
      </w:r>
      <w:r w:rsidR="009A5DFD">
        <w:rPr>
          <w:szCs w:val="24"/>
        </w:rPr>
        <w:t xml:space="preserve"> individuals</w:t>
      </w:r>
      <w:r>
        <w:rPr>
          <w:szCs w:val="24"/>
        </w:rPr>
        <w:t xml:space="preserve">, </w:t>
      </w:r>
      <w:r w:rsidR="009A5DFD">
        <w:rPr>
          <w:szCs w:val="24"/>
        </w:rPr>
        <w:t xml:space="preserve">was also </w:t>
      </w:r>
      <w:r>
        <w:rPr>
          <w:szCs w:val="24"/>
        </w:rPr>
        <w:t xml:space="preserve">presented in the </w:t>
      </w:r>
      <w:r w:rsidR="00EA073E">
        <w:rPr>
          <w:szCs w:val="24"/>
        </w:rPr>
        <w:t>education module</w:t>
      </w:r>
      <w:r>
        <w:rPr>
          <w:szCs w:val="24"/>
        </w:rPr>
        <w:t>.</w:t>
      </w:r>
    </w:p>
    <w:p w14:paraId="13B90AA5" w14:textId="3B089B76" w:rsidR="007B080B" w:rsidRDefault="007B080B" w:rsidP="007B080B">
      <w:pPr>
        <w:pStyle w:val="APA"/>
        <w:rPr>
          <w:rFonts w:eastAsiaTheme="minorHAnsi"/>
        </w:rPr>
      </w:pPr>
      <w:r>
        <w:rPr>
          <w:rFonts w:eastAsiaTheme="minorHAnsi"/>
        </w:rPr>
        <w:t xml:space="preserve">Although the </w:t>
      </w:r>
      <w:r w:rsidR="00EA073E">
        <w:rPr>
          <w:rFonts w:eastAsiaTheme="minorHAnsi"/>
        </w:rPr>
        <w:t>education module</w:t>
      </w:r>
      <w:r>
        <w:rPr>
          <w:rFonts w:eastAsiaTheme="minorHAnsi"/>
        </w:rPr>
        <w:t xml:space="preserve"> will focus on LGBTQ persons, it will provide an avenue for nurses to seek out engagement of culturally diverse patients in a different manner regardless of sexual orientation or gender identity. These cultural encounters will enhance cultural awareness and cultural knowledge (</w:t>
      </w:r>
      <w:r>
        <w:rPr>
          <w:szCs w:val="24"/>
        </w:rPr>
        <w:t>Campinha-Bacote, 2011). By using Campinha-Bacote’s model for cultural competence in health care delivery, it is hoped that staff nurses will aspire to be culturally competent by embracing the cultural desire to gain knowledge and insight not only into LGBTQ persons but to any culturally diverse population where they recognize a lack of knowledge.</w:t>
      </w:r>
    </w:p>
    <w:p w14:paraId="42A647E6" w14:textId="73C39AD0" w:rsidR="00847AB1" w:rsidRDefault="007B080B" w:rsidP="003A287D">
      <w:pPr>
        <w:spacing w:after="0"/>
        <w:rPr>
          <w:b/>
          <w:sz w:val="24"/>
          <w:szCs w:val="24"/>
        </w:rPr>
      </w:pPr>
      <w:r>
        <w:rPr>
          <w:b/>
          <w:sz w:val="24"/>
          <w:szCs w:val="24"/>
        </w:rPr>
        <w:t>E</w:t>
      </w:r>
      <w:r w:rsidR="00D7552B">
        <w:rPr>
          <w:b/>
          <w:sz w:val="24"/>
          <w:szCs w:val="24"/>
        </w:rPr>
        <w:t>viden</w:t>
      </w:r>
      <w:r w:rsidR="00B64B40">
        <w:rPr>
          <w:b/>
          <w:sz w:val="24"/>
          <w:szCs w:val="24"/>
        </w:rPr>
        <w:t>ce-Based Practice</w:t>
      </w:r>
      <w:r>
        <w:rPr>
          <w:b/>
          <w:sz w:val="24"/>
          <w:szCs w:val="24"/>
        </w:rPr>
        <w:t xml:space="preserve"> Change Theory </w:t>
      </w:r>
    </w:p>
    <w:p w14:paraId="3CDA08F9" w14:textId="357773E7" w:rsidR="007B080B" w:rsidRDefault="007B080B" w:rsidP="003A287D">
      <w:pPr>
        <w:spacing w:after="0"/>
        <w:ind w:firstLine="720"/>
        <w:rPr>
          <w:sz w:val="24"/>
          <w:szCs w:val="24"/>
        </w:rPr>
      </w:pPr>
      <w:r>
        <w:rPr>
          <w:sz w:val="24"/>
          <w:szCs w:val="24"/>
        </w:rPr>
        <w:t xml:space="preserve">In review of the literature, Shirey (2013) found that Lewin’s Change Theory is used extensively in a variety of nursing settings, including administration, education, research and clinical practice. Orr and Davenport (2015) suggests that for change to be successful in healthcare systems, nurses at all levels need to become knowledgeable in change theory, embrace change and to be leaders in innovative ideas that will impact and improve delivery of care to patients. Nurses who use Lewin’s Change Theory will find it practical, linear and simple. These strengths are also its limitations.  Some would argue that it is too simplistic and that organizations are much more dynamic than the linear construct (Shirey, 2013). Successful </w:t>
      </w:r>
      <w:r>
        <w:rPr>
          <w:sz w:val="24"/>
          <w:szCs w:val="24"/>
        </w:rPr>
        <w:lastRenderedPageBreak/>
        <w:t>movement of change in an organization using Lewin’s framework requires leadership support of a planned improvement process in a stable environment (Shirey, 2013). Time for the change to occur and acceptance that change needs to occur are also imperative to sustainability of the innovation. Nurses, as change agents, can develop quality improvement projects and use this theory to create sustainability of the practice change.</w:t>
      </w:r>
    </w:p>
    <w:p w14:paraId="139718AB" w14:textId="77777777" w:rsidR="007B080B" w:rsidRDefault="007B080B" w:rsidP="007B080B">
      <w:pPr>
        <w:pStyle w:val="APA"/>
        <w:rPr>
          <w:szCs w:val="24"/>
        </w:rPr>
      </w:pPr>
      <w:r>
        <w:rPr>
          <w:szCs w:val="24"/>
        </w:rPr>
        <w:t xml:space="preserve">Lewin’s Change Theory has three phases: unfreezing, moving and refreezing. Unfreezing is destabilizing old behaviors and is necessary for old behaviors to be discarded and unlearned (Bishop, 2015). Shirey (2013) states that in this first phase there needs to be a change readiness.  Active leadership and employee involvement are essential for success of the change process (Hussain et al., 2016).  Leadership needs to be transparent and share knowledge of the needed change with employees. The change agent or nurse leader identifies a problem, recognizes a need for change and then involves others to see the need for change (Shirey, 2013) To begin the unfreezing stage, Shirey (2013) notes that a gap analysis is conducted to show the distance between the current practice and the desired goal. A sense of urgency is also induced into this phase. A solution to the problem is planned and the destabilization of the current trend is begun (Shirey, 2013). For unfreezing to be successful, the change agent must use Lewin’s field theory to understand the factors that may help or hinder the change (Shirey, 2013). One major resistance to change is lack of employee motivation. Employee involvement is the oldest and most effective way to overcome resistance to change (Hussain et al., 2016). By understanding this basic principle leaders can strengthen positive driving forces and/or the weakening of negative forces (Shirey, 2013). </w:t>
      </w:r>
    </w:p>
    <w:p w14:paraId="269A144A" w14:textId="77777777" w:rsidR="007B080B" w:rsidRDefault="007B080B" w:rsidP="003A287D">
      <w:pPr>
        <w:spacing w:after="0"/>
        <w:ind w:firstLine="720"/>
        <w:rPr>
          <w:sz w:val="24"/>
          <w:szCs w:val="24"/>
        </w:rPr>
      </w:pPr>
      <w:r>
        <w:rPr>
          <w:sz w:val="24"/>
          <w:szCs w:val="24"/>
        </w:rPr>
        <w:t xml:space="preserve">The second phase in Lewin’s Change Theory is moving, which allows individuals and groups to change to more acceptable behaviors (Bishop, 2015). Moving or transitioning is a </w:t>
      </w:r>
      <w:r>
        <w:rPr>
          <w:sz w:val="24"/>
          <w:szCs w:val="24"/>
        </w:rPr>
        <w:lastRenderedPageBreak/>
        <w:t>process, not an event, and is often the most difficult due to uncertainty and fear that surrounds the change (Shirey, 2013). Shirey (2013) defines transitioning as the inner movement an individual undertakes to make the change to a new way of being. Effective employee participation will lead to high quality change and prevail over the resistance in the moving stage (Hussain et al., 2016). Leaders need to support the employees, be transparent, and have effective communication throughout the transitioning phase (Hussain, et al., 2016). Trust is essential to promote change as well as having the employees be an active part of the change by listening to suggestions and input (Hussain et al., 2016).</w:t>
      </w:r>
    </w:p>
    <w:p w14:paraId="00092F42" w14:textId="77777777" w:rsidR="007B080B" w:rsidRDefault="007B080B" w:rsidP="003A287D">
      <w:pPr>
        <w:spacing w:after="0"/>
        <w:ind w:firstLine="720"/>
        <w:rPr>
          <w:sz w:val="24"/>
          <w:szCs w:val="24"/>
        </w:rPr>
      </w:pPr>
      <w:r>
        <w:rPr>
          <w:sz w:val="24"/>
          <w:szCs w:val="24"/>
        </w:rPr>
        <w:t xml:space="preserve">The last step of the three-step change theory model is freezing, also referred to as refreezing. Refreezing is the return to a state of equilibrium and dynamic force field (Bishop, 2015). This new state of equilibrium is now considered the new norm or standard (Shirey, 2013). The change becomes embedded in culture, practice and procedures. This third stage is vital to the sustainability of the change (Shirey, 2013). Hussain et al. (2016) notes that at every phase including the third phase that leaders and employees must act as one unit for the change to be adopted. Hussain et al. (2016) associates the success and sustainability of change using Lewin’s Change Theory is dependent upon positive leadership styles. </w:t>
      </w:r>
    </w:p>
    <w:p w14:paraId="7B669851" w14:textId="4D4E3069" w:rsidR="007B080B" w:rsidRDefault="007B080B" w:rsidP="003A287D">
      <w:pPr>
        <w:spacing w:after="0"/>
        <w:ind w:firstLine="720"/>
        <w:rPr>
          <w:rFonts w:eastAsiaTheme="minorHAnsi"/>
          <w:sz w:val="24"/>
          <w:szCs w:val="24"/>
        </w:rPr>
      </w:pPr>
      <w:r>
        <w:rPr>
          <w:b/>
          <w:sz w:val="24"/>
          <w:szCs w:val="24"/>
        </w:rPr>
        <w:t>Application to practice change</w:t>
      </w:r>
      <w:r>
        <w:rPr>
          <w:b/>
        </w:rPr>
        <w:t xml:space="preserve">.  </w:t>
      </w:r>
      <w:r>
        <w:rPr>
          <w:rFonts w:eastAsiaTheme="minorHAnsi"/>
          <w:sz w:val="24"/>
          <w:szCs w:val="24"/>
        </w:rPr>
        <w:t xml:space="preserve">Lewin’s Change Theory was applied to the practice change project in the following manner.  Members of the leadership team identified a need to improve culturally competent care delivery to LGBTQ patients and families at time of admission to the inpatient hospice home.  Hospice home team leaders and members of the education department wanted to unfreeze the current practice of not </w:t>
      </w:r>
      <w:r w:rsidR="00F820C4">
        <w:rPr>
          <w:rFonts w:eastAsiaTheme="minorHAnsi"/>
          <w:sz w:val="24"/>
          <w:szCs w:val="24"/>
        </w:rPr>
        <w:t xml:space="preserve">using inclusive language or </w:t>
      </w:r>
      <w:r>
        <w:rPr>
          <w:rFonts w:eastAsiaTheme="minorHAnsi"/>
          <w:sz w:val="24"/>
          <w:szCs w:val="24"/>
        </w:rPr>
        <w:t xml:space="preserve">asking inclusive questions at time of admission. </w:t>
      </w:r>
      <w:r w:rsidR="00F820C4">
        <w:rPr>
          <w:rFonts w:eastAsiaTheme="minorHAnsi"/>
          <w:sz w:val="24"/>
          <w:szCs w:val="24"/>
        </w:rPr>
        <w:t xml:space="preserve">Hospice home staff were asked to sign up to attend an educational offering entitled </w:t>
      </w:r>
      <w:r w:rsidR="00F820C4" w:rsidRPr="00F820C4">
        <w:rPr>
          <w:rFonts w:eastAsiaTheme="minorHAnsi"/>
          <w:i/>
          <w:sz w:val="24"/>
          <w:szCs w:val="24"/>
        </w:rPr>
        <w:t xml:space="preserve">Creating a Welcoming Space for LGBTQ clients and Families at </w:t>
      </w:r>
      <w:r w:rsidR="00F820C4" w:rsidRPr="00F820C4">
        <w:rPr>
          <w:rFonts w:eastAsiaTheme="minorHAnsi"/>
          <w:i/>
          <w:sz w:val="24"/>
          <w:szCs w:val="24"/>
        </w:rPr>
        <w:lastRenderedPageBreak/>
        <w:t>End of Life in the Hospice Setting</w:t>
      </w:r>
      <w:r w:rsidR="00F820C4">
        <w:rPr>
          <w:rFonts w:eastAsiaTheme="minorHAnsi"/>
          <w:sz w:val="24"/>
          <w:szCs w:val="24"/>
        </w:rPr>
        <w:t xml:space="preserve">. </w:t>
      </w:r>
      <w:r>
        <w:rPr>
          <w:rFonts w:eastAsiaTheme="minorHAnsi"/>
          <w:sz w:val="24"/>
          <w:szCs w:val="24"/>
        </w:rPr>
        <w:t xml:space="preserve"> </w:t>
      </w:r>
      <w:r w:rsidR="00F820C4">
        <w:rPr>
          <w:rFonts w:eastAsiaTheme="minorHAnsi"/>
          <w:sz w:val="24"/>
          <w:szCs w:val="24"/>
        </w:rPr>
        <w:t xml:space="preserve">Eighteen staff members signed up to attend one of the two offerings. </w:t>
      </w:r>
      <w:r>
        <w:rPr>
          <w:rFonts w:eastAsiaTheme="minorHAnsi"/>
          <w:sz w:val="24"/>
          <w:szCs w:val="24"/>
        </w:rPr>
        <w:t xml:space="preserve">Solution to the problem was to develop and provide an educational program on culturally competent care with a focus on inclusive language. </w:t>
      </w:r>
    </w:p>
    <w:p w14:paraId="29EE551D" w14:textId="4B2DA0DE" w:rsidR="007B080B" w:rsidRDefault="007B080B" w:rsidP="003A287D">
      <w:pPr>
        <w:spacing w:after="0"/>
        <w:ind w:firstLine="720"/>
        <w:rPr>
          <w:sz w:val="24"/>
          <w:szCs w:val="24"/>
        </w:rPr>
      </w:pPr>
      <w:r>
        <w:rPr>
          <w:sz w:val="24"/>
          <w:szCs w:val="24"/>
        </w:rPr>
        <w:t xml:space="preserve">The second phase or the moving phase was implemented </w:t>
      </w:r>
      <w:r>
        <w:rPr>
          <w:rFonts w:eastAsiaTheme="minorHAnsi"/>
          <w:sz w:val="24"/>
          <w:szCs w:val="24"/>
        </w:rPr>
        <w:t xml:space="preserve">through an </w:t>
      </w:r>
      <w:r w:rsidR="00EA073E">
        <w:rPr>
          <w:rFonts w:eastAsiaTheme="minorHAnsi"/>
          <w:sz w:val="24"/>
          <w:szCs w:val="24"/>
        </w:rPr>
        <w:t>education module</w:t>
      </w:r>
      <w:r>
        <w:rPr>
          <w:rFonts w:eastAsiaTheme="minorHAnsi"/>
          <w:sz w:val="24"/>
          <w:szCs w:val="24"/>
        </w:rPr>
        <w:t xml:space="preserve"> that focused on the use of inclusive language at time of admission to the hospice home setting.</w:t>
      </w:r>
      <w:r>
        <w:rPr>
          <w:sz w:val="24"/>
          <w:szCs w:val="24"/>
        </w:rPr>
        <w:t xml:space="preserve"> The one-hour </w:t>
      </w:r>
      <w:r w:rsidR="00EC5308">
        <w:rPr>
          <w:sz w:val="24"/>
          <w:szCs w:val="24"/>
        </w:rPr>
        <w:t>education module</w:t>
      </w:r>
      <w:r>
        <w:rPr>
          <w:sz w:val="24"/>
          <w:szCs w:val="24"/>
        </w:rPr>
        <w:t>, with continuing nurse education credit, was provided to</w:t>
      </w:r>
      <w:r w:rsidR="00F820C4">
        <w:rPr>
          <w:sz w:val="24"/>
          <w:szCs w:val="24"/>
        </w:rPr>
        <w:t xml:space="preserve"> </w:t>
      </w:r>
      <w:r>
        <w:rPr>
          <w:sz w:val="24"/>
          <w:szCs w:val="24"/>
        </w:rPr>
        <w:t xml:space="preserve">staff nurses.  </w:t>
      </w:r>
      <w:r w:rsidR="00F820C4">
        <w:rPr>
          <w:sz w:val="24"/>
          <w:szCs w:val="24"/>
        </w:rPr>
        <w:t xml:space="preserve">The education module was available to all hospice home staff including licensed practical nurses and certified nursing assistants. </w:t>
      </w:r>
      <w:r>
        <w:rPr>
          <w:sz w:val="24"/>
          <w:szCs w:val="24"/>
        </w:rPr>
        <w:t xml:space="preserve">A post </w:t>
      </w:r>
      <w:r w:rsidR="00F820C4">
        <w:rPr>
          <w:sz w:val="24"/>
          <w:szCs w:val="24"/>
        </w:rPr>
        <w:t xml:space="preserve">questionnaire </w:t>
      </w:r>
      <w:r>
        <w:rPr>
          <w:sz w:val="24"/>
          <w:szCs w:val="24"/>
        </w:rPr>
        <w:t xml:space="preserve">was conducted to assess for nurses’ self-report of </w:t>
      </w:r>
      <w:r w:rsidR="003F7596">
        <w:rPr>
          <w:sz w:val="24"/>
          <w:szCs w:val="24"/>
        </w:rPr>
        <w:t xml:space="preserve">intended </w:t>
      </w:r>
      <w:r>
        <w:rPr>
          <w:sz w:val="24"/>
          <w:szCs w:val="24"/>
        </w:rPr>
        <w:t xml:space="preserve">practice change in use of inclusive language.  </w:t>
      </w:r>
      <w:r w:rsidR="003F7596">
        <w:rPr>
          <w:sz w:val="24"/>
          <w:szCs w:val="24"/>
        </w:rPr>
        <w:t>Anecdotal conversations</w:t>
      </w:r>
      <w:r w:rsidR="00C82718">
        <w:rPr>
          <w:sz w:val="24"/>
          <w:szCs w:val="24"/>
        </w:rPr>
        <w:t xml:space="preserve"> four weeks after the education module</w:t>
      </w:r>
      <w:r w:rsidR="003F7596">
        <w:rPr>
          <w:sz w:val="24"/>
          <w:szCs w:val="24"/>
        </w:rPr>
        <w:t xml:space="preserve"> also occurred to evaluate if nurses changed practice behaviors or were impacted by the education module in any way. </w:t>
      </w:r>
      <w:r>
        <w:rPr>
          <w:sz w:val="24"/>
          <w:szCs w:val="24"/>
        </w:rPr>
        <w:t xml:space="preserve">Recommendations and input were also solicited from staff to evaluate the </w:t>
      </w:r>
      <w:r w:rsidR="00EC5308">
        <w:rPr>
          <w:sz w:val="24"/>
          <w:szCs w:val="24"/>
        </w:rPr>
        <w:t>education module</w:t>
      </w:r>
      <w:r>
        <w:rPr>
          <w:sz w:val="24"/>
          <w:szCs w:val="24"/>
        </w:rPr>
        <w:t xml:space="preserve"> as well as any future programs they would like conducted.</w:t>
      </w:r>
    </w:p>
    <w:p w14:paraId="2A41AE60" w14:textId="0DD4DBF2" w:rsidR="008D7641" w:rsidRDefault="008702A9" w:rsidP="007B080B">
      <w:pPr>
        <w:pStyle w:val="APA"/>
        <w:ind w:firstLine="0"/>
        <w:rPr>
          <w:b/>
        </w:rPr>
      </w:pPr>
      <w:r>
        <w:rPr>
          <w:szCs w:val="24"/>
        </w:rPr>
        <w:tab/>
      </w:r>
      <w:r w:rsidR="007B080B">
        <w:rPr>
          <w:szCs w:val="24"/>
        </w:rPr>
        <w:t xml:space="preserve">The freezing stage was finalized by </w:t>
      </w:r>
      <w:r w:rsidR="00D04AB5">
        <w:rPr>
          <w:szCs w:val="24"/>
        </w:rPr>
        <w:t xml:space="preserve">including </w:t>
      </w:r>
      <w:r w:rsidR="00783C94">
        <w:rPr>
          <w:szCs w:val="24"/>
        </w:rPr>
        <w:t>a component of the</w:t>
      </w:r>
      <w:r w:rsidR="00D04AB5">
        <w:rPr>
          <w:szCs w:val="24"/>
        </w:rPr>
        <w:t xml:space="preserve"> education module on use of inclusive language during new hire orientation.  </w:t>
      </w:r>
      <w:r w:rsidR="00D370EB">
        <w:rPr>
          <w:szCs w:val="24"/>
        </w:rPr>
        <w:t xml:space="preserve">Plans were also made to offer the education module to all staff in the organization. </w:t>
      </w:r>
      <w:r w:rsidR="00D04AB5">
        <w:rPr>
          <w:szCs w:val="24"/>
        </w:rPr>
        <w:t xml:space="preserve">Nurses also commented on individual practice change which now routinely includes use of inclusive language and questions for all patients. </w:t>
      </w:r>
      <w:r w:rsidR="007B080B">
        <w:rPr>
          <w:szCs w:val="24"/>
        </w:rPr>
        <w:t>Th</w:t>
      </w:r>
      <w:r w:rsidR="00D04AB5">
        <w:rPr>
          <w:szCs w:val="24"/>
        </w:rPr>
        <w:t>e</w:t>
      </w:r>
      <w:r w:rsidR="007B080B">
        <w:rPr>
          <w:szCs w:val="24"/>
        </w:rPr>
        <w:t xml:space="preserve"> initial use of inclusive language can carry over to all patient and family encounters throughout the length of stay.  Both the leadership team and staff nurses were active </w:t>
      </w:r>
      <w:r w:rsidR="00C83588">
        <w:rPr>
          <w:szCs w:val="24"/>
        </w:rPr>
        <w:t>attendees</w:t>
      </w:r>
      <w:r w:rsidR="007B080B">
        <w:rPr>
          <w:szCs w:val="24"/>
        </w:rPr>
        <w:t xml:space="preserve"> in the quality improvement project. It is anticipated that the quality improvement initiative is sustainable.</w:t>
      </w:r>
      <w:r w:rsidR="007B080B">
        <w:rPr>
          <w:rFonts w:eastAsiaTheme="minorHAnsi"/>
          <w:szCs w:val="24"/>
        </w:rPr>
        <w:t xml:space="preserve"> </w:t>
      </w:r>
      <w:r w:rsidR="007B080B">
        <w:rPr>
          <w:b/>
        </w:rPr>
        <w:t xml:space="preserve">Summary </w:t>
      </w:r>
    </w:p>
    <w:p w14:paraId="45538365" w14:textId="5A89A030" w:rsidR="009A5853" w:rsidRDefault="008D7641" w:rsidP="007B080B">
      <w:pPr>
        <w:pStyle w:val="APA"/>
        <w:ind w:firstLine="0"/>
        <w:rPr>
          <w:rFonts w:eastAsiaTheme="minorHAnsi"/>
          <w:szCs w:val="24"/>
        </w:rPr>
      </w:pPr>
      <w:r>
        <w:rPr>
          <w:b/>
        </w:rPr>
        <w:tab/>
      </w:r>
      <w:r w:rsidR="007B080B">
        <w:rPr>
          <w:rFonts w:eastAsiaTheme="minorHAnsi"/>
          <w:szCs w:val="24"/>
        </w:rPr>
        <w:t xml:space="preserve">Use of Campinha-Bacote’s cultural competency model and Lewin’s Change Theory provided structure and guidance for effective implementation of this quality improvement </w:t>
      </w:r>
      <w:r w:rsidR="007B080B">
        <w:rPr>
          <w:rFonts w:eastAsiaTheme="minorHAnsi"/>
          <w:szCs w:val="24"/>
        </w:rPr>
        <w:lastRenderedPageBreak/>
        <w:t xml:space="preserve">project.  Campinha-Bacote’s model served as a fundamental guide for the quality improvement project through its process of cultural competency. The process of the five constructs, cultural awareness, cultural skill, cultural knowledge, cultural encounter and cultural desire, gave direction into the project by way of the </w:t>
      </w:r>
      <w:r w:rsidR="00CD20F1">
        <w:rPr>
          <w:rFonts w:eastAsiaTheme="minorHAnsi"/>
          <w:szCs w:val="24"/>
        </w:rPr>
        <w:t>questionnaire</w:t>
      </w:r>
      <w:r w:rsidR="007B080B">
        <w:rPr>
          <w:rFonts w:eastAsiaTheme="minorHAnsi"/>
          <w:szCs w:val="24"/>
        </w:rPr>
        <w:t xml:space="preserve">, as well as foundation to the </w:t>
      </w:r>
      <w:r w:rsidR="00EC5308">
        <w:rPr>
          <w:szCs w:val="24"/>
        </w:rPr>
        <w:t>education module</w:t>
      </w:r>
      <w:r w:rsidR="007B080B">
        <w:rPr>
          <w:rFonts w:eastAsiaTheme="minorHAnsi"/>
          <w:szCs w:val="24"/>
        </w:rPr>
        <w:t xml:space="preserve">. Lewin’s Change Theory was modeled through its emphasis on leadership and employees’ involvement that is required for a change process to occur. Leadership support of this project along with employee involvement was key for effective implementation and sustainability. </w:t>
      </w:r>
    </w:p>
    <w:p w14:paraId="274759AE" w14:textId="77777777" w:rsidR="009A5853" w:rsidRDefault="009A5853">
      <w:pPr>
        <w:rPr>
          <w:rFonts w:eastAsiaTheme="minorHAnsi"/>
          <w:sz w:val="24"/>
          <w:szCs w:val="24"/>
        </w:rPr>
      </w:pPr>
      <w:r>
        <w:rPr>
          <w:rFonts w:eastAsiaTheme="minorHAnsi"/>
          <w:szCs w:val="24"/>
        </w:rPr>
        <w:br w:type="page"/>
      </w:r>
    </w:p>
    <w:p w14:paraId="6C043237" w14:textId="77777777" w:rsidR="00EB6A11" w:rsidRDefault="00EB6A11" w:rsidP="00EB6A11">
      <w:pPr>
        <w:pStyle w:val="APA"/>
        <w:ind w:firstLine="0"/>
        <w:jc w:val="center"/>
        <w:rPr>
          <w:b/>
        </w:rPr>
      </w:pPr>
      <w:r w:rsidRPr="004B243A">
        <w:rPr>
          <w:b/>
        </w:rPr>
        <w:lastRenderedPageBreak/>
        <w:t xml:space="preserve">Chapter Four: </w:t>
      </w:r>
      <w:r>
        <w:rPr>
          <w:b/>
        </w:rPr>
        <w:t xml:space="preserve"> Pre-i</w:t>
      </w:r>
      <w:r w:rsidRPr="004B243A">
        <w:rPr>
          <w:b/>
        </w:rPr>
        <w:t>mplementation Planning</w:t>
      </w:r>
    </w:p>
    <w:p w14:paraId="78075872" w14:textId="10E12818" w:rsidR="00EB6A11" w:rsidRPr="00D024D2" w:rsidRDefault="00EB6A11" w:rsidP="00EB6A11">
      <w:pPr>
        <w:pStyle w:val="APA"/>
      </w:pPr>
      <w:r>
        <w:t xml:space="preserve">Pre-implementation planning began four months prior to implementation of the </w:t>
      </w:r>
      <w:r w:rsidR="009D1913">
        <w:t xml:space="preserve">Doctor in Nursing Practice (DNP) </w:t>
      </w:r>
      <w:r>
        <w:t xml:space="preserve"> project. The planning process involved the site champion, leadership team from the hospice home and the organization’s department of education.  Planning meetings were held to discuss the </w:t>
      </w:r>
      <w:r w:rsidR="00EC5308">
        <w:rPr>
          <w:szCs w:val="24"/>
        </w:rPr>
        <w:t>education module</w:t>
      </w:r>
      <w:r>
        <w:t xml:space="preserve">, </w:t>
      </w:r>
      <w:r w:rsidR="002738BF">
        <w:t xml:space="preserve">and current education offerings related to use of inclusive language, terminology and care of </w:t>
      </w:r>
      <w:r w:rsidR="00F659E6">
        <w:t xml:space="preserve">lesbian, gay, bisexual, transgender, and queer/questioning  (LGBTQ) </w:t>
      </w:r>
      <w:r w:rsidR="002738BF">
        <w:t>clients and families</w:t>
      </w:r>
      <w:r>
        <w:t xml:space="preserve">. Also discussed was the education </w:t>
      </w:r>
      <w:r w:rsidR="00EC5308">
        <w:t xml:space="preserve">module </w:t>
      </w:r>
      <w:r>
        <w:t>delivery and application for continuing nurse education credits (CNE). The purpose of this chapter is to discuss the management of the project in detail.</w:t>
      </w:r>
    </w:p>
    <w:p w14:paraId="4CD8FFFB" w14:textId="77777777" w:rsidR="00EB6A11" w:rsidRDefault="00EB6A11" w:rsidP="00EB6A11">
      <w:pPr>
        <w:pStyle w:val="APA"/>
        <w:ind w:firstLine="0"/>
        <w:rPr>
          <w:b/>
        </w:rPr>
      </w:pPr>
      <w:r>
        <w:rPr>
          <w:b/>
        </w:rPr>
        <w:t xml:space="preserve">Project </w:t>
      </w:r>
      <w:r w:rsidRPr="00C33052">
        <w:rPr>
          <w:b/>
        </w:rPr>
        <w:t xml:space="preserve">Purpose </w:t>
      </w:r>
    </w:p>
    <w:p w14:paraId="3BE10FAF" w14:textId="32F9F294" w:rsidR="00EB6A11" w:rsidRPr="00331A33" w:rsidRDefault="00EB6A11" w:rsidP="00EB6A11">
      <w:pPr>
        <w:pStyle w:val="APA"/>
        <w:ind w:firstLine="0"/>
      </w:pPr>
      <w:r>
        <w:rPr>
          <w:b/>
        </w:rPr>
        <w:tab/>
      </w:r>
      <w:r>
        <w:t xml:space="preserve">The purpose of this project was to </w:t>
      </w:r>
      <w:r w:rsidR="00192C48">
        <w:t xml:space="preserve">implement </w:t>
      </w:r>
      <w:r w:rsidR="00F659E6">
        <w:t xml:space="preserve">best practice </w:t>
      </w:r>
      <w:r w:rsidR="00192C48">
        <w:t xml:space="preserve">on </w:t>
      </w:r>
      <w:r w:rsidR="00F659E6">
        <w:t xml:space="preserve">how to </w:t>
      </w:r>
      <w:r w:rsidR="00192C48">
        <w:t>creat</w:t>
      </w:r>
      <w:r w:rsidR="009E04CE">
        <w:t>e</w:t>
      </w:r>
      <w:r w:rsidR="00192C48">
        <w:t xml:space="preserve"> a safe space for patients and families by use of inclusive language and terminology</w:t>
      </w:r>
      <w:r w:rsidR="009E04CE">
        <w:t xml:space="preserve"> at time of admission to an inpatient hospice setting</w:t>
      </w:r>
      <w:r w:rsidR="00192C48">
        <w:t xml:space="preserve">.  </w:t>
      </w:r>
      <w:r>
        <w:t>Th</w:t>
      </w:r>
      <w:r w:rsidR="009E04CE">
        <w:t xml:space="preserve">rough an </w:t>
      </w:r>
      <w:r>
        <w:t xml:space="preserve"> educational offering</w:t>
      </w:r>
      <w:r w:rsidR="009E04CE">
        <w:t>, information on best practices</w:t>
      </w:r>
      <w:r>
        <w:t xml:space="preserve"> </w:t>
      </w:r>
      <w:r w:rsidR="00192C48">
        <w:t xml:space="preserve">was </w:t>
      </w:r>
      <w:r>
        <w:t xml:space="preserve">provided </w:t>
      </w:r>
      <w:r w:rsidR="00192C48">
        <w:t>to current nursing staff of the inpatient hospice home</w:t>
      </w:r>
      <w:r w:rsidR="00581EDE">
        <w:t xml:space="preserve"> to </w:t>
      </w:r>
      <w:r w:rsidR="007218F6">
        <w:t xml:space="preserve">raise awareness of inclusive language for </w:t>
      </w:r>
      <w:r w:rsidR="009E04CE">
        <w:t>LGBTQ persons.</w:t>
      </w:r>
      <w:r w:rsidR="007218F6">
        <w:t xml:space="preserve">    </w:t>
      </w:r>
      <w:r>
        <w:t xml:space="preserve"> </w:t>
      </w:r>
    </w:p>
    <w:p w14:paraId="44237BB3" w14:textId="77777777" w:rsidR="00EB6A11" w:rsidRPr="009A1865" w:rsidRDefault="00EB6A11" w:rsidP="00EB6A11">
      <w:pPr>
        <w:pStyle w:val="APA"/>
        <w:ind w:firstLine="0"/>
        <w:rPr>
          <w:b/>
        </w:rPr>
      </w:pPr>
      <w:r w:rsidRPr="009A1865">
        <w:rPr>
          <w:b/>
        </w:rPr>
        <w:t>Project Management</w:t>
      </w:r>
    </w:p>
    <w:p w14:paraId="204D54AD" w14:textId="4F488AC9" w:rsidR="00EB6A11" w:rsidRDefault="00EB6A11" w:rsidP="00EB6A11">
      <w:pPr>
        <w:pStyle w:val="APA"/>
      </w:pPr>
      <w:r w:rsidRPr="009A1865">
        <w:rPr>
          <w:b/>
        </w:rPr>
        <w:t>Organizational readiness for change</w:t>
      </w:r>
      <w:r>
        <w:t>.  The organization was in full support of the project as it was concerned about the current state of inclusiveness and diversity within the</w:t>
      </w:r>
      <w:r w:rsidR="00940367">
        <w:t xml:space="preserve"> </w:t>
      </w:r>
      <w:r w:rsidR="003428E5">
        <w:t>agency</w:t>
      </w:r>
      <w:r>
        <w:t xml:space="preserve">. The concerns were both with staff as well as patients and families. To assess the issue within the entire organization an inclusivity workgroup was established in January 2018. Leaders from human resources, social work, education, and quality improvement comprised the initial </w:t>
      </w:r>
      <w:r w:rsidR="00E4158E">
        <w:t>workgroup</w:t>
      </w:r>
      <w:r>
        <w:t xml:space="preserve">. </w:t>
      </w:r>
      <w:r w:rsidR="00E80247">
        <w:t xml:space="preserve">The student project director was asked to join the </w:t>
      </w:r>
      <w:r w:rsidR="00E4158E">
        <w:t>workgroup</w:t>
      </w:r>
      <w:r w:rsidR="00E80247">
        <w:t xml:space="preserve"> as</w:t>
      </w:r>
      <w:r w:rsidR="00E4158E">
        <w:t xml:space="preserve"> </w:t>
      </w:r>
      <w:r>
        <w:t xml:space="preserve">this DNP project centered around inclusive language to help create a safe space for LGBTQ patients and </w:t>
      </w:r>
      <w:r w:rsidR="005370DC">
        <w:t>families.</w:t>
      </w:r>
      <w:r>
        <w:t xml:space="preserve"> </w:t>
      </w:r>
      <w:r>
        <w:lastRenderedPageBreak/>
        <w:t xml:space="preserve">The inclusivity workgroup was initially charged with assessing the organization on current practices of inclusivity, diversity and cultural competence, and conducting a survey of the employees about inclusivity and diversity in the workplace. These activities were completed within the first six months of establishing the workgroup. Updates on the workgroups progress were provided to the organization’s administrative team who continued to support this endeavor. In addition to this quality improvement initiative, </w:t>
      </w:r>
      <w:r w:rsidR="00D05DE1">
        <w:t>an extension of the workgroup was developed. The initial inclusion workgroup became the steering committee and an additional inclusion workgroup was initiated which included staff from across the agency on a volunteer basis.</w:t>
      </w:r>
    </w:p>
    <w:p w14:paraId="51B631BC" w14:textId="168BECD5" w:rsidR="00EB6A11" w:rsidRDefault="00EB6A11" w:rsidP="003A287D">
      <w:pPr>
        <w:spacing w:after="0"/>
        <w:rPr>
          <w:sz w:val="24"/>
          <w:szCs w:val="24"/>
        </w:rPr>
      </w:pPr>
      <w:r>
        <w:rPr>
          <w:b/>
          <w:sz w:val="24"/>
          <w:szCs w:val="24"/>
        </w:rPr>
        <w:tab/>
      </w:r>
      <w:r w:rsidR="009E04CE">
        <w:rPr>
          <w:b/>
          <w:sz w:val="24"/>
          <w:szCs w:val="24"/>
        </w:rPr>
        <w:t>Interprofessional</w:t>
      </w:r>
      <w:r w:rsidRPr="00D024D2">
        <w:rPr>
          <w:b/>
          <w:sz w:val="24"/>
          <w:szCs w:val="24"/>
        </w:rPr>
        <w:t xml:space="preserve"> collaboration</w:t>
      </w:r>
      <w:r w:rsidRPr="00D024D2">
        <w:rPr>
          <w:sz w:val="24"/>
          <w:szCs w:val="24"/>
        </w:rPr>
        <w:t xml:space="preserve">.  </w:t>
      </w:r>
      <w:r w:rsidR="00E80247">
        <w:rPr>
          <w:sz w:val="24"/>
          <w:szCs w:val="24"/>
        </w:rPr>
        <w:t>Prior to the implementation of the project, consideration was given to interprofessional collaboration</w:t>
      </w:r>
      <w:r w:rsidRPr="00D024D2">
        <w:rPr>
          <w:sz w:val="24"/>
          <w:szCs w:val="24"/>
        </w:rPr>
        <w:t xml:space="preserve">. The site champion was a member of the organization’s education department and holds a Master of Public Health, </w:t>
      </w:r>
      <w:r>
        <w:rPr>
          <w:sz w:val="24"/>
          <w:szCs w:val="24"/>
        </w:rPr>
        <w:t>with a focus on h</w:t>
      </w:r>
      <w:r w:rsidRPr="00D024D2">
        <w:rPr>
          <w:sz w:val="24"/>
          <w:szCs w:val="24"/>
        </w:rPr>
        <w:t xml:space="preserve">ealth </w:t>
      </w:r>
      <w:r>
        <w:rPr>
          <w:sz w:val="24"/>
          <w:szCs w:val="24"/>
        </w:rPr>
        <w:t>b</w:t>
      </w:r>
      <w:r w:rsidRPr="00D024D2">
        <w:rPr>
          <w:sz w:val="24"/>
          <w:szCs w:val="24"/>
        </w:rPr>
        <w:t xml:space="preserve">ehavior and </w:t>
      </w:r>
      <w:r>
        <w:rPr>
          <w:sz w:val="24"/>
          <w:szCs w:val="24"/>
        </w:rPr>
        <w:t>h</w:t>
      </w:r>
      <w:r w:rsidRPr="00D024D2">
        <w:rPr>
          <w:sz w:val="24"/>
          <w:szCs w:val="24"/>
        </w:rPr>
        <w:t xml:space="preserve">ealth </w:t>
      </w:r>
      <w:r>
        <w:rPr>
          <w:sz w:val="24"/>
          <w:szCs w:val="24"/>
        </w:rPr>
        <w:t>e</w:t>
      </w:r>
      <w:r w:rsidRPr="00D024D2">
        <w:rPr>
          <w:sz w:val="24"/>
          <w:szCs w:val="24"/>
        </w:rPr>
        <w:t>ducation</w:t>
      </w:r>
      <w:r>
        <w:rPr>
          <w:sz w:val="24"/>
          <w:szCs w:val="24"/>
        </w:rPr>
        <w:t xml:space="preserve">.  The site champion provided guidance and support of development of the </w:t>
      </w:r>
      <w:r w:rsidR="00EC5308">
        <w:rPr>
          <w:sz w:val="24"/>
          <w:szCs w:val="24"/>
        </w:rPr>
        <w:t>education module</w:t>
      </w:r>
      <w:r>
        <w:rPr>
          <w:sz w:val="24"/>
          <w:szCs w:val="24"/>
        </w:rPr>
        <w:t xml:space="preserve"> and </w:t>
      </w:r>
      <w:r w:rsidR="00FC2479">
        <w:rPr>
          <w:sz w:val="24"/>
          <w:szCs w:val="24"/>
        </w:rPr>
        <w:t>need for education at time of orientation.</w:t>
      </w:r>
      <w:r>
        <w:rPr>
          <w:sz w:val="24"/>
          <w:szCs w:val="24"/>
        </w:rPr>
        <w:t xml:space="preserve"> She was dedicated throughout the process providing feedback on the project as it developed. </w:t>
      </w:r>
    </w:p>
    <w:p w14:paraId="559EDEAD" w14:textId="08EE2A39" w:rsidR="00EB6A11" w:rsidRDefault="00EB6A11" w:rsidP="003A287D">
      <w:pPr>
        <w:spacing w:after="0"/>
      </w:pPr>
      <w:r>
        <w:rPr>
          <w:sz w:val="24"/>
          <w:szCs w:val="24"/>
        </w:rPr>
        <w:tab/>
        <w:t xml:space="preserve">The inclusive workgroup included the vice president of human resources, who holds a Master of Business Administration, the clinical manager of counseling services who holds a Master of Social Work and is a licensed clinical social worker, and the performance improvement coordinator who has a Bachelor of Science in Nursing. Collectively these team members provided suggestions and support as the project idea progressed. They inquired about the project and the implications it could have on patients and staff, ensuring that staff and patients were protected.  Support for the project was also provided by the hospice home leadership team. Although all were nurses, the support came from the director of the hospice home, the clinical manager of the hospice home and the team shift leaders. The hospice home </w:t>
      </w:r>
      <w:r>
        <w:rPr>
          <w:sz w:val="24"/>
          <w:szCs w:val="24"/>
        </w:rPr>
        <w:lastRenderedPageBreak/>
        <w:t>leadership team provided the opportunity for the education module</w:t>
      </w:r>
      <w:r w:rsidR="00002E39">
        <w:rPr>
          <w:sz w:val="24"/>
          <w:szCs w:val="24"/>
        </w:rPr>
        <w:t xml:space="preserve"> and reviewed and supplied feedback to the </w:t>
      </w:r>
      <w:r w:rsidR="00EC5308">
        <w:rPr>
          <w:sz w:val="24"/>
          <w:szCs w:val="24"/>
        </w:rPr>
        <w:t>education module</w:t>
      </w:r>
      <w:r w:rsidR="00002E39">
        <w:rPr>
          <w:sz w:val="24"/>
          <w:szCs w:val="24"/>
        </w:rPr>
        <w:t>.</w:t>
      </w:r>
      <w:r>
        <w:rPr>
          <w:sz w:val="24"/>
          <w:szCs w:val="24"/>
        </w:rPr>
        <w:t xml:space="preserve"> </w:t>
      </w:r>
    </w:p>
    <w:p w14:paraId="4AD16378" w14:textId="751C47D0" w:rsidR="00EB6A11" w:rsidRDefault="00EB6A11" w:rsidP="00EB6A11">
      <w:pPr>
        <w:pStyle w:val="APA"/>
      </w:pPr>
      <w:r w:rsidRPr="009B5197">
        <w:rPr>
          <w:b/>
        </w:rPr>
        <w:t>Risk management assessment</w:t>
      </w:r>
      <w:r>
        <w:t>.  A risk assessment was completed using a strength, weaknesses, opportunities, and threats (SWOT) analysis. Strengths for the project were several and included full support of the organizations’ administrative team to address inclusivity and diversity in the workplace for staff, patients and families. There was also development of an</w:t>
      </w:r>
      <w:r w:rsidR="005F1684">
        <w:t xml:space="preserve"> </w:t>
      </w:r>
      <w:r w:rsidR="005F1684" w:rsidRPr="005F1684">
        <w:t>i</w:t>
      </w:r>
      <w:r w:rsidR="009E04CE" w:rsidRPr="005F1684">
        <w:t>nterprofessional</w:t>
      </w:r>
      <w:r w:rsidR="005F1684">
        <w:t xml:space="preserve"> </w:t>
      </w:r>
      <w:r w:rsidRPr="005F1684">
        <w:t>inclusive</w:t>
      </w:r>
      <w:r>
        <w:t xml:space="preserve"> workgroup dedicated to assessing the status of diversity and inclusivity within the organization.  In June 2018, over 250 staff members responded to the inclusion survey conducted by the inclusion workgroup which showed an interest in inclusivity and diversity by the workforce.  The hospice home leadership team was in support of increasing the use of inclusive language at time of admission to the inpatient unit and providing an opportunity for the education </w:t>
      </w:r>
      <w:r w:rsidR="00DC5425">
        <w:t>module</w:t>
      </w:r>
      <w:r>
        <w:t>. The organization was also named a 2018 Hospice Honors Elite recipient from Healthcare</w:t>
      </w:r>
      <w:r w:rsidRPr="00D024D2">
        <w:rPr>
          <w:i/>
        </w:rPr>
        <w:t>first</w:t>
      </w:r>
      <w:r>
        <w:rPr>
          <w:rFonts w:eastAsiaTheme="minorHAnsi"/>
          <w:szCs w:val="24"/>
        </w:rPr>
        <w:t xml:space="preserve"> annual review. This award recognizes hospices that continuously provide the highest level of quality measured from the caregivers’ point of view.</w:t>
      </w:r>
    </w:p>
    <w:p w14:paraId="5DE1DD84" w14:textId="6C4BDF63" w:rsidR="00EB6A11" w:rsidRDefault="00EB6A11" w:rsidP="00EB6A11">
      <w:pPr>
        <w:pStyle w:val="APA"/>
      </w:pPr>
      <w:r>
        <w:t>Weaknesses identified include</w:t>
      </w:r>
      <w:r w:rsidR="00D05DE1">
        <w:t>d</w:t>
      </w:r>
      <w:r>
        <w:t xml:space="preserve"> no funding available for the quality improvement project. There was </w:t>
      </w:r>
      <w:r w:rsidR="00F422EF">
        <w:t>limited</w:t>
      </w:r>
      <w:r>
        <w:t xml:space="preserve"> education on care of diverse groups currently in place, therefore staff were not familiar to receiving training of this type. Individual staff members’ potential reluctance to incorporate the use of inclusive language or open-ended questions about gender could </w:t>
      </w:r>
      <w:r w:rsidR="00D05DE1">
        <w:t xml:space="preserve">have </w:t>
      </w:r>
      <w:r>
        <w:t>present</w:t>
      </w:r>
      <w:r w:rsidR="00D05DE1">
        <w:t>ed</w:t>
      </w:r>
      <w:r>
        <w:t xml:space="preserve"> as a</w:t>
      </w:r>
      <w:r w:rsidR="00D05DE1">
        <w:t>n unseen</w:t>
      </w:r>
      <w:r>
        <w:t xml:space="preserve"> problem. Also, since the education module was not mandatory, </w:t>
      </w:r>
      <w:r w:rsidR="007218F6">
        <w:t xml:space="preserve">lack of attendance by the staff </w:t>
      </w:r>
      <w:r w:rsidR="00F422EF">
        <w:t>was</w:t>
      </w:r>
      <w:r w:rsidR="007218F6">
        <w:t xml:space="preserve"> a concern.  </w:t>
      </w:r>
    </w:p>
    <w:p w14:paraId="3CFBF283" w14:textId="31430FBA" w:rsidR="00EB6A11" w:rsidRDefault="00EB6A11" w:rsidP="00EB6A11">
      <w:pPr>
        <w:pStyle w:val="APA"/>
      </w:pPr>
      <w:r>
        <w:t xml:space="preserve">Opportunities included </w:t>
      </w:r>
      <w:r w:rsidR="00E4158E">
        <w:t>the student project director being a member of the inclusive workgroup</w:t>
      </w:r>
      <w:r w:rsidR="00F422EF">
        <w:t xml:space="preserve"> steering committee</w:t>
      </w:r>
      <w:r w:rsidR="00E4158E">
        <w:t>. Being a member provided direct involvement with the organization for project implementation and support. T</w:t>
      </w:r>
      <w:r>
        <w:t xml:space="preserve">he organization </w:t>
      </w:r>
      <w:r w:rsidR="00E4158E">
        <w:t>also was</w:t>
      </w:r>
      <w:r>
        <w:t xml:space="preserve"> a major sponsor </w:t>
      </w:r>
      <w:r>
        <w:lastRenderedPageBreak/>
        <w:t>and participant in the first Triangle Expo for LGBTQ aging adults in May 2018. This demonstrates commitment to the LGBTQ community</w:t>
      </w:r>
    </w:p>
    <w:p w14:paraId="28935219" w14:textId="63D2575E" w:rsidR="00EB6A11" w:rsidRDefault="00EB6A11" w:rsidP="00EB6A11">
      <w:pPr>
        <w:pStyle w:val="APA"/>
      </w:pPr>
      <w:r>
        <w:t xml:space="preserve">Threats included the LGBTQ community was not made aware of the education module presented. This lack of awareness does not help break the barriers experienced by LGBTQ individuals.  </w:t>
      </w:r>
      <w:r w:rsidR="00FC2A05">
        <w:t>An additional threat were individual staff biases and ideas about lesbian, gay, bisexual and/or transgender individuals.  These biases could be based on personal or religious beliefs.</w:t>
      </w:r>
    </w:p>
    <w:p w14:paraId="36C16000" w14:textId="2A168B53" w:rsidR="00EB6A11" w:rsidRDefault="00EB6A11" w:rsidP="00EB6A11">
      <w:pPr>
        <w:pStyle w:val="APA"/>
        <w:rPr>
          <w:rFonts w:eastAsiaTheme="minorHAnsi"/>
          <w:szCs w:val="24"/>
        </w:rPr>
      </w:pPr>
      <w:r w:rsidRPr="00BA7455">
        <w:rPr>
          <w:b/>
        </w:rPr>
        <w:t>Organizational approval process</w:t>
      </w:r>
      <w:r>
        <w:t>.</w:t>
      </w:r>
      <w:r>
        <w:rPr>
          <w:rFonts w:eastAsiaTheme="minorHAnsi"/>
          <w:szCs w:val="24"/>
        </w:rPr>
        <w:t xml:space="preserve"> When initially thinking about a project idea in fall 2017, </w:t>
      </w:r>
      <w:r w:rsidR="006F130C">
        <w:rPr>
          <w:rFonts w:eastAsiaTheme="minorHAnsi"/>
          <w:szCs w:val="24"/>
        </w:rPr>
        <w:t xml:space="preserve">the </w:t>
      </w:r>
      <w:r>
        <w:rPr>
          <w:rFonts w:eastAsiaTheme="minorHAnsi"/>
          <w:szCs w:val="24"/>
        </w:rPr>
        <w:t xml:space="preserve">student project director realized a need to focus on LGBTQ persons receiving end of life care.  </w:t>
      </w:r>
      <w:r w:rsidR="007218F6">
        <w:rPr>
          <w:rFonts w:eastAsiaTheme="minorHAnsi"/>
          <w:szCs w:val="24"/>
        </w:rPr>
        <w:t xml:space="preserve"> Based on </w:t>
      </w:r>
      <w:r w:rsidR="00C569E6">
        <w:rPr>
          <w:rFonts w:eastAsiaTheme="minorHAnsi"/>
          <w:szCs w:val="24"/>
        </w:rPr>
        <w:t xml:space="preserve">conversations </w:t>
      </w:r>
      <w:r w:rsidR="007218F6">
        <w:rPr>
          <w:rFonts w:eastAsiaTheme="minorHAnsi"/>
          <w:szCs w:val="24"/>
        </w:rPr>
        <w:t xml:space="preserve">from the </w:t>
      </w:r>
      <w:r w:rsidR="004E35AF">
        <w:rPr>
          <w:rFonts w:eastAsiaTheme="minorHAnsi"/>
          <w:szCs w:val="24"/>
        </w:rPr>
        <w:t>d</w:t>
      </w:r>
      <w:r w:rsidR="007218F6">
        <w:rPr>
          <w:rFonts w:eastAsiaTheme="minorHAnsi"/>
          <w:szCs w:val="24"/>
        </w:rPr>
        <w:t xml:space="preserve">irector of </w:t>
      </w:r>
      <w:r w:rsidR="004E35AF">
        <w:rPr>
          <w:rFonts w:eastAsiaTheme="minorHAnsi"/>
          <w:szCs w:val="24"/>
        </w:rPr>
        <w:t>e</w:t>
      </w:r>
      <w:r w:rsidR="007218F6">
        <w:rPr>
          <w:rFonts w:eastAsiaTheme="minorHAnsi"/>
          <w:szCs w:val="24"/>
        </w:rPr>
        <w:t xml:space="preserve">ducation, </w:t>
      </w:r>
      <w:r w:rsidR="00C569E6">
        <w:rPr>
          <w:rFonts w:eastAsiaTheme="minorHAnsi"/>
          <w:szCs w:val="24"/>
        </w:rPr>
        <w:t xml:space="preserve">inclusivity and diversity was a topic of interest for the organization and subsequently an inclusive workgroup had been established.  </w:t>
      </w:r>
      <w:r>
        <w:rPr>
          <w:rFonts w:eastAsiaTheme="minorHAnsi"/>
          <w:szCs w:val="24"/>
        </w:rPr>
        <w:t xml:space="preserve"> He suggested the student project director meet with one of the educators who was passionate about developing an education module about care of LGBTQ patients at end of life. The student project director met with the educator who became </w:t>
      </w:r>
      <w:r w:rsidR="006F130C">
        <w:rPr>
          <w:rFonts w:eastAsiaTheme="minorHAnsi"/>
          <w:szCs w:val="24"/>
        </w:rPr>
        <w:t xml:space="preserve">the </w:t>
      </w:r>
      <w:r>
        <w:rPr>
          <w:rFonts w:eastAsiaTheme="minorHAnsi"/>
          <w:szCs w:val="24"/>
        </w:rPr>
        <w:t xml:space="preserve">site champion. The student project director also reached out to the performance improvement coordinator for the organization to get her advice. She also was very interested in </w:t>
      </w:r>
      <w:r w:rsidR="006F130C">
        <w:rPr>
          <w:rFonts w:eastAsiaTheme="minorHAnsi"/>
          <w:szCs w:val="24"/>
        </w:rPr>
        <w:t xml:space="preserve">the </w:t>
      </w:r>
      <w:r>
        <w:rPr>
          <w:rFonts w:eastAsiaTheme="minorHAnsi"/>
          <w:szCs w:val="24"/>
        </w:rPr>
        <w:t xml:space="preserve">project idea and asked for </w:t>
      </w:r>
      <w:r w:rsidR="006F130C">
        <w:rPr>
          <w:rFonts w:eastAsiaTheme="minorHAnsi"/>
          <w:szCs w:val="24"/>
        </w:rPr>
        <w:t xml:space="preserve">the student project director </w:t>
      </w:r>
      <w:r>
        <w:rPr>
          <w:rFonts w:eastAsiaTheme="minorHAnsi"/>
          <w:szCs w:val="24"/>
        </w:rPr>
        <w:t xml:space="preserve">to join the inclusivity workgroup to present </w:t>
      </w:r>
      <w:r w:rsidR="006F130C">
        <w:rPr>
          <w:rFonts w:eastAsiaTheme="minorHAnsi"/>
          <w:szCs w:val="24"/>
        </w:rPr>
        <w:t xml:space="preserve">the </w:t>
      </w:r>
      <w:r>
        <w:rPr>
          <w:rFonts w:eastAsiaTheme="minorHAnsi"/>
          <w:szCs w:val="24"/>
        </w:rPr>
        <w:t xml:space="preserve">project idea and see how it would fit with the </w:t>
      </w:r>
      <w:r w:rsidR="00D563E7">
        <w:rPr>
          <w:rFonts w:eastAsiaTheme="minorHAnsi"/>
          <w:szCs w:val="24"/>
        </w:rPr>
        <w:t>workgroup’s</w:t>
      </w:r>
      <w:r>
        <w:rPr>
          <w:rFonts w:eastAsiaTheme="minorHAnsi"/>
          <w:szCs w:val="24"/>
        </w:rPr>
        <w:t xml:space="preserve"> responsibilities. </w:t>
      </w:r>
    </w:p>
    <w:p w14:paraId="338CAE73" w14:textId="15D5F4A0" w:rsidR="00EB6A11" w:rsidRDefault="00EB6A11" w:rsidP="00EB6A11">
      <w:pPr>
        <w:pStyle w:val="APA"/>
      </w:pPr>
      <w:r>
        <w:t>The student project director also met with the hospice home leadership team since implementation of the project was to occur at the hospice home.  The student project director explained the project of increasing inclusive language at time of admission to the hospice home to create a safe space for patients and families.  The student project director explained that the project was to do an education mod</w:t>
      </w:r>
      <w:r w:rsidR="00F422EF">
        <w:t>ule</w:t>
      </w:r>
      <w:r>
        <w:t xml:space="preserve"> </w:t>
      </w:r>
      <w:r w:rsidR="00002E39">
        <w:t xml:space="preserve">on creating a safe space for all patients and families by </w:t>
      </w:r>
      <w:r w:rsidR="00002E39">
        <w:lastRenderedPageBreak/>
        <w:t>use of inclusive language and terminology</w:t>
      </w:r>
      <w:r>
        <w:t xml:space="preserve">. The director of the hospice home offered to </w:t>
      </w:r>
      <w:r w:rsidR="00FC2A05">
        <w:t xml:space="preserve">support the </w:t>
      </w:r>
      <w:r w:rsidR="00DC5425">
        <w:rPr>
          <w:szCs w:val="24"/>
        </w:rPr>
        <w:t>education module</w:t>
      </w:r>
      <w:r>
        <w:t xml:space="preserve"> and suggested a </w:t>
      </w:r>
      <w:r w:rsidR="00924965">
        <w:t>continuing nursing education (</w:t>
      </w:r>
      <w:r>
        <w:t>CNE</w:t>
      </w:r>
      <w:r w:rsidR="00924965">
        <w:t>) credit</w:t>
      </w:r>
      <w:r>
        <w:t xml:space="preserve"> be offered. She also placed the student project director on a rapid improvement event that looked at the admission process to the hospice home. Once the support was obtained by all involved, the student project director went back to the </w:t>
      </w:r>
      <w:r w:rsidR="006F03AB">
        <w:t>d</w:t>
      </w:r>
      <w:r>
        <w:t xml:space="preserve">irector of </w:t>
      </w:r>
      <w:r w:rsidR="006F03AB">
        <w:t>e</w:t>
      </w:r>
      <w:r>
        <w:t xml:space="preserve">ducation for the organizational approval letter. Since the organization was already looking at inclusion and diversity </w:t>
      </w:r>
      <w:r w:rsidR="006F130C">
        <w:t xml:space="preserve">the </w:t>
      </w:r>
      <w:r>
        <w:t>project was timely and well supported.</w:t>
      </w:r>
    </w:p>
    <w:p w14:paraId="370D5270" w14:textId="236A6240" w:rsidR="00EB6A11" w:rsidRDefault="00EB6A11" w:rsidP="00EB6A11">
      <w:pPr>
        <w:pStyle w:val="APA"/>
      </w:pPr>
      <w:r w:rsidRPr="00BA7455">
        <w:rPr>
          <w:b/>
        </w:rPr>
        <w:t>Information technology</w:t>
      </w:r>
      <w:r>
        <w:t xml:space="preserve">. </w:t>
      </w:r>
      <w:r>
        <w:rPr>
          <w:rFonts w:eastAsiaTheme="minorHAnsi"/>
          <w:szCs w:val="24"/>
        </w:rPr>
        <w:t xml:space="preserve">Information technology </w:t>
      </w:r>
      <w:r w:rsidR="00E80247">
        <w:rPr>
          <w:rFonts w:eastAsiaTheme="minorHAnsi"/>
          <w:szCs w:val="24"/>
        </w:rPr>
        <w:t xml:space="preserve"> </w:t>
      </w:r>
      <w:r>
        <w:rPr>
          <w:rFonts w:eastAsiaTheme="minorHAnsi"/>
          <w:szCs w:val="24"/>
        </w:rPr>
        <w:t xml:space="preserve">for the project </w:t>
      </w:r>
      <w:r w:rsidR="00E80247">
        <w:rPr>
          <w:rFonts w:eastAsiaTheme="minorHAnsi"/>
          <w:szCs w:val="24"/>
        </w:rPr>
        <w:t>was assessed to include</w:t>
      </w:r>
      <w:r>
        <w:rPr>
          <w:rFonts w:eastAsiaTheme="minorHAnsi"/>
          <w:szCs w:val="24"/>
        </w:rPr>
        <w:t xml:space="preserve"> computer for networking, accessing the Internet,</w:t>
      </w:r>
      <w:r w:rsidR="00002E39">
        <w:rPr>
          <w:rFonts w:eastAsiaTheme="minorHAnsi"/>
          <w:szCs w:val="24"/>
        </w:rPr>
        <w:t xml:space="preserve"> and development of the </w:t>
      </w:r>
      <w:r w:rsidR="00DC5425">
        <w:rPr>
          <w:szCs w:val="24"/>
        </w:rPr>
        <w:t>education module</w:t>
      </w:r>
      <w:r w:rsidR="00002E39">
        <w:rPr>
          <w:rFonts w:eastAsiaTheme="minorHAnsi"/>
          <w:szCs w:val="24"/>
        </w:rPr>
        <w:t>.</w:t>
      </w:r>
      <w:r>
        <w:rPr>
          <w:rFonts w:eastAsiaTheme="minorHAnsi"/>
          <w:szCs w:val="24"/>
        </w:rPr>
        <w:t xml:space="preserve">  </w:t>
      </w:r>
      <w:r>
        <w:t xml:space="preserve">Microsoft® PowerPoint </w:t>
      </w:r>
      <w:r>
        <w:rPr>
          <w:rFonts w:eastAsiaTheme="minorHAnsi"/>
          <w:szCs w:val="24"/>
        </w:rPr>
        <w:t xml:space="preserve">was used for the education </w:t>
      </w:r>
      <w:r w:rsidR="00DC5425">
        <w:rPr>
          <w:rFonts w:eastAsiaTheme="minorHAnsi"/>
          <w:szCs w:val="24"/>
        </w:rPr>
        <w:t>module</w:t>
      </w:r>
      <w:r>
        <w:rPr>
          <w:rFonts w:eastAsiaTheme="minorHAnsi"/>
          <w:szCs w:val="24"/>
        </w:rPr>
        <w:t>. No collaboration with Information Technology at the organization was required as the meeting rooms are already equipped with technology for the presentation.</w:t>
      </w:r>
    </w:p>
    <w:p w14:paraId="1520524E" w14:textId="77777777" w:rsidR="00EB6A11" w:rsidRDefault="00EB6A11" w:rsidP="00EB6A11">
      <w:pPr>
        <w:pStyle w:val="APA"/>
        <w:ind w:firstLine="0"/>
        <w:rPr>
          <w:b/>
        </w:rPr>
      </w:pPr>
      <w:r>
        <w:rPr>
          <w:b/>
        </w:rPr>
        <w:t xml:space="preserve">Cost Analysis of </w:t>
      </w:r>
      <w:r w:rsidRPr="00C97A3B">
        <w:rPr>
          <w:b/>
        </w:rPr>
        <w:t>Materials Needed for Project</w:t>
      </w:r>
      <w:r>
        <w:rPr>
          <w:b/>
        </w:rPr>
        <w:t xml:space="preserve"> </w:t>
      </w:r>
    </w:p>
    <w:p w14:paraId="52C0B70F" w14:textId="24E69661" w:rsidR="00F253AE" w:rsidRDefault="00EB6A11" w:rsidP="00EB6A11">
      <w:pPr>
        <w:pStyle w:val="APA"/>
        <w:ind w:firstLine="0"/>
        <w:rPr>
          <w:b/>
        </w:rPr>
      </w:pPr>
      <w:r>
        <w:rPr>
          <w:b/>
        </w:rPr>
        <w:tab/>
      </w:r>
      <w:r>
        <w:t>Materials needed for the project w</w:t>
      </w:r>
      <w:r w:rsidR="00485177">
        <w:t>as</w:t>
      </w:r>
      <w:r>
        <w:t xml:space="preserve"> </w:t>
      </w:r>
      <w:r w:rsidR="00485177">
        <w:t>p</w:t>
      </w:r>
      <w:r>
        <w:t xml:space="preserve">rinting of education materials </w:t>
      </w:r>
      <w:r w:rsidR="00485177">
        <w:t xml:space="preserve">which </w:t>
      </w:r>
      <w:r>
        <w:t>was done at the organization with a</w:t>
      </w:r>
      <w:r w:rsidR="00485177">
        <w:t>n approximate</w:t>
      </w:r>
      <w:r>
        <w:t xml:space="preserve"> cost of $25.00. The</w:t>
      </w:r>
      <w:r w:rsidR="00485177">
        <w:t>re were no out</w:t>
      </w:r>
      <w:r w:rsidR="00C569E6">
        <w:t>-</w:t>
      </w:r>
      <w:r w:rsidR="00485177">
        <w:t>of</w:t>
      </w:r>
      <w:r w:rsidR="00C569E6">
        <w:t>-</w:t>
      </w:r>
      <w:r w:rsidR="00485177">
        <w:t>pocket costs related to the project.</w:t>
      </w:r>
      <w:r>
        <w:t xml:space="preserve"> </w:t>
      </w:r>
    </w:p>
    <w:p w14:paraId="33DDA824" w14:textId="362C0B77" w:rsidR="00EB6A11" w:rsidRDefault="00EB6A11" w:rsidP="00EB6A11">
      <w:pPr>
        <w:pStyle w:val="APA"/>
        <w:ind w:firstLine="0"/>
        <w:rPr>
          <w:b/>
        </w:rPr>
      </w:pPr>
      <w:r w:rsidRPr="00E42E16">
        <w:rPr>
          <w:b/>
        </w:rPr>
        <w:t>Plans for Institutional Review Board Approval</w:t>
      </w:r>
    </w:p>
    <w:p w14:paraId="59882B44" w14:textId="3D23C8F3" w:rsidR="00EB6A11" w:rsidRPr="00AD275F" w:rsidRDefault="00EB6A11" w:rsidP="00EB6A11">
      <w:pPr>
        <w:pStyle w:val="APA"/>
        <w:ind w:firstLine="0"/>
      </w:pPr>
      <w:r>
        <w:rPr>
          <w:b/>
        </w:rPr>
        <w:tab/>
      </w:r>
      <w:r w:rsidRPr="006C7F81">
        <w:t xml:space="preserve"> </w:t>
      </w:r>
      <w:r w:rsidRPr="00D024D2">
        <w:t xml:space="preserve">The organization </w:t>
      </w:r>
      <w:r>
        <w:t xml:space="preserve">where the project took place did not have an Institutional Review Board (IRB); however, the DNP project </w:t>
      </w:r>
      <w:r w:rsidR="00C569E6">
        <w:t xml:space="preserve">proposal </w:t>
      </w:r>
      <w:r>
        <w:t xml:space="preserve">was submitted though East Carolina University’s IRB for review. The student project director completed the Collaborative Institutional Training Initiative (CITI) courses and submitted an IRB review packet.  The IRB review packet included documents containing the purpose and objectives for the DNP quality </w:t>
      </w:r>
      <w:r>
        <w:lastRenderedPageBreak/>
        <w:t>improvement project in addition to project materials to be used.  Upon review, the DNP project was waived from IRB review and approval</w:t>
      </w:r>
      <w:r w:rsidR="00C569E6">
        <w:t>.</w:t>
      </w:r>
    </w:p>
    <w:p w14:paraId="57F0C6C3" w14:textId="7811CCDB" w:rsidR="00EB6A11" w:rsidRPr="000554A7" w:rsidRDefault="0067757A" w:rsidP="00EB6A11">
      <w:pPr>
        <w:pStyle w:val="APA"/>
        <w:ind w:firstLine="0"/>
        <w:rPr>
          <w:b/>
        </w:rPr>
      </w:pPr>
      <w:r>
        <w:rPr>
          <w:b/>
        </w:rPr>
        <w:t xml:space="preserve">  </w:t>
      </w:r>
      <w:r w:rsidR="00EB6A11" w:rsidRPr="000554A7">
        <w:rPr>
          <w:b/>
        </w:rPr>
        <w:t>Plan for Project Evaluation</w:t>
      </w:r>
    </w:p>
    <w:p w14:paraId="4B0618BB" w14:textId="7F5484D4" w:rsidR="00EB6A11" w:rsidRDefault="00EB6A11" w:rsidP="00EB6A11">
      <w:pPr>
        <w:pStyle w:val="APA"/>
        <w:rPr>
          <w:szCs w:val="24"/>
        </w:rPr>
      </w:pPr>
      <w:r w:rsidRPr="00374B49">
        <w:rPr>
          <w:b/>
        </w:rPr>
        <w:t>Demographics</w:t>
      </w:r>
      <w:r w:rsidRPr="00374B49">
        <w:t xml:space="preserve">. </w:t>
      </w:r>
      <w:r w:rsidR="006E673F">
        <w:t xml:space="preserve">Potential </w:t>
      </w:r>
      <w:r w:rsidR="00C83588">
        <w:t>attendees</w:t>
      </w:r>
      <w:r w:rsidR="006E673F">
        <w:t xml:space="preserve"> included registered nurses, licensed practical nurses and certified nursing assistants employed in the hospice home. At the time of pre-implementation, the hospice home staff consisted of 41 registered nurses, 2 licensed practical nurses, and 23 certified nursing assistants, for a total of 66 staff members.</w:t>
      </w:r>
    </w:p>
    <w:p w14:paraId="43EF9B5F" w14:textId="55919ACE" w:rsidR="00EB6A11" w:rsidRPr="00BD5E12" w:rsidRDefault="00EB6A11" w:rsidP="003A287D">
      <w:pPr>
        <w:spacing w:after="0"/>
        <w:rPr>
          <w:sz w:val="24"/>
          <w:szCs w:val="24"/>
        </w:rPr>
      </w:pPr>
      <w:r>
        <w:rPr>
          <w:sz w:val="24"/>
          <w:szCs w:val="24"/>
        </w:rPr>
        <w:tab/>
      </w:r>
      <w:r w:rsidRPr="00D024D2">
        <w:rPr>
          <w:b/>
          <w:sz w:val="24"/>
          <w:szCs w:val="24"/>
        </w:rPr>
        <w:t>Outcome measurement</w:t>
      </w:r>
      <w:r w:rsidRPr="00D024D2">
        <w:t>.</w:t>
      </w:r>
      <w:r w:rsidRPr="00374B49">
        <w:t xml:space="preserve"> </w:t>
      </w:r>
      <w:r w:rsidR="0077200D" w:rsidRPr="00534D5E">
        <w:rPr>
          <w:sz w:val="24"/>
          <w:szCs w:val="24"/>
        </w:rPr>
        <w:t xml:space="preserve">1. Attendance of 30% of Hospice Home staff to </w:t>
      </w:r>
      <w:r w:rsidR="004F191E">
        <w:rPr>
          <w:sz w:val="24"/>
          <w:szCs w:val="24"/>
        </w:rPr>
        <w:t xml:space="preserve">the </w:t>
      </w:r>
      <w:r w:rsidR="0077200D" w:rsidRPr="00534D5E">
        <w:rPr>
          <w:sz w:val="24"/>
          <w:szCs w:val="24"/>
        </w:rPr>
        <w:t>education module “Creating a Welcoming Space for LGBTQ Clients and Families at End of Life in the Hospice Setting”, with 1.0 CNE credit.</w:t>
      </w:r>
      <w:r w:rsidR="0077200D">
        <w:rPr>
          <w:sz w:val="24"/>
          <w:szCs w:val="24"/>
        </w:rPr>
        <w:t xml:space="preserve"> Attendance to t</w:t>
      </w:r>
      <w:r>
        <w:rPr>
          <w:sz w:val="24"/>
          <w:szCs w:val="24"/>
        </w:rPr>
        <w:t xml:space="preserve">he </w:t>
      </w:r>
      <w:r w:rsidR="00EA073E">
        <w:rPr>
          <w:sz w:val="24"/>
          <w:szCs w:val="24"/>
        </w:rPr>
        <w:t>education module</w:t>
      </w:r>
      <w:r>
        <w:rPr>
          <w:sz w:val="24"/>
          <w:szCs w:val="24"/>
        </w:rPr>
        <w:t xml:space="preserve"> provided w</w:t>
      </w:r>
      <w:r w:rsidR="00797779">
        <w:rPr>
          <w:sz w:val="24"/>
          <w:szCs w:val="24"/>
        </w:rPr>
        <w:t xml:space="preserve">ill be </w:t>
      </w:r>
      <w:r>
        <w:rPr>
          <w:sz w:val="24"/>
          <w:szCs w:val="24"/>
        </w:rPr>
        <w:t xml:space="preserve"> imperative to the success of the project.  Providing education on use of inclusive language and open-ended questions </w:t>
      </w:r>
      <w:r w:rsidR="00797779">
        <w:rPr>
          <w:sz w:val="24"/>
          <w:szCs w:val="24"/>
        </w:rPr>
        <w:t xml:space="preserve">will </w:t>
      </w:r>
      <w:r>
        <w:rPr>
          <w:sz w:val="24"/>
          <w:szCs w:val="24"/>
        </w:rPr>
        <w:t xml:space="preserve">allow </w:t>
      </w:r>
      <w:r w:rsidR="005561B3">
        <w:rPr>
          <w:sz w:val="24"/>
          <w:szCs w:val="24"/>
        </w:rPr>
        <w:t xml:space="preserve">attendees </w:t>
      </w:r>
      <w:r>
        <w:rPr>
          <w:sz w:val="24"/>
          <w:szCs w:val="24"/>
        </w:rPr>
        <w:t xml:space="preserve">to gain knowledge on how to create a safe environment for all patients and families. The education </w:t>
      </w:r>
      <w:r w:rsidR="00797779">
        <w:rPr>
          <w:sz w:val="24"/>
          <w:szCs w:val="24"/>
        </w:rPr>
        <w:t xml:space="preserve">will </w:t>
      </w:r>
      <w:r>
        <w:rPr>
          <w:sz w:val="24"/>
          <w:szCs w:val="24"/>
        </w:rPr>
        <w:t>provide best practice information for nurses to incorporate into their admission assessment.</w:t>
      </w:r>
    </w:p>
    <w:p w14:paraId="305BD11F" w14:textId="4A090558" w:rsidR="00FD7AC3" w:rsidRPr="00120DE0" w:rsidRDefault="00EB6A11" w:rsidP="003A287D">
      <w:pPr>
        <w:pStyle w:val="APA"/>
        <w:rPr>
          <w:szCs w:val="24"/>
        </w:rPr>
      </w:pPr>
      <w:r w:rsidRPr="00D024D2">
        <w:rPr>
          <w:b/>
          <w:i/>
        </w:rPr>
        <w:t>Evaluation tool</w:t>
      </w:r>
      <w:r w:rsidRPr="00D024D2">
        <w:rPr>
          <w:b/>
        </w:rPr>
        <w:t xml:space="preserve"> </w:t>
      </w:r>
      <w:r w:rsidR="00AB026D">
        <w:rPr>
          <w:b/>
        </w:rPr>
        <w:t xml:space="preserve"> </w:t>
      </w:r>
      <w:r w:rsidR="00AB026D" w:rsidRPr="00AB026D">
        <w:t xml:space="preserve">The </w:t>
      </w:r>
      <w:r w:rsidR="005561B3">
        <w:t xml:space="preserve">attendees </w:t>
      </w:r>
      <w:r w:rsidR="00AB026D" w:rsidRPr="00AB026D">
        <w:t xml:space="preserve">will </w:t>
      </w:r>
      <w:r w:rsidR="00E80247">
        <w:t xml:space="preserve">be instructed to </w:t>
      </w:r>
      <w:r w:rsidR="00AB026D" w:rsidRPr="00AB026D">
        <w:t>sign in upon entering the meeting room. The sign in sheet will be used to count the number of attendees for the two different times that the education will be offered.</w:t>
      </w:r>
      <w:r w:rsidR="00AB026D">
        <w:rPr>
          <w:b/>
        </w:rPr>
        <w:t xml:space="preserve"> </w:t>
      </w:r>
      <w:r w:rsidR="00FD7AC3">
        <w:t xml:space="preserve">A </w:t>
      </w:r>
      <w:r w:rsidR="003470FD">
        <w:t>post-education</w:t>
      </w:r>
      <w:r w:rsidR="00FD7AC3">
        <w:t xml:space="preserve"> evaluation tool will be provided to attendees upon completion of the education module including a question regarding likely implementation of use of inclusive language and terminology by attendees. Anecdotal conversations with attendees 4 weeks </w:t>
      </w:r>
      <w:r w:rsidR="003470FD">
        <w:t>post-education</w:t>
      </w:r>
      <w:r w:rsidR="00FD7AC3">
        <w:t xml:space="preserve"> module will be conducted for additional comments by the student project director. Notes on the conversations will be recorded in written format by the student project director after completion of the conversation.</w:t>
      </w:r>
    </w:p>
    <w:p w14:paraId="5A285265" w14:textId="517B1433" w:rsidR="00EB6A11" w:rsidRPr="00374B49" w:rsidRDefault="00EB6A11" w:rsidP="00EB6A11">
      <w:pPr>
        <w:pStyle w:val="APA"/>
      </w:pPr>
    </w:p>
    <w:p w14:paraId="57EDC016" w14:textId="54921652" w:rsidR="00EB6A11" w:rsidRDefault="00EB6A11" w:rsidP="00EB6A11">
      <w:pPr>
        <w:pStyle w:val="APA"/>
        <w:rPr>
          <w:rFonts w:eastAsiaTheme="minorHAnsi"/>
          <w:szCs w:val="24"/>
        </w:rPr>
      </w:pPr>
      <w:r w:rsidRPr="00D024D2">
        <w:rPr>
          <w:b/>
          <w:i/>
        </w:rPr>
        <w:lastRenderedPageBreak/>
        <w:t>Data analysis.</w:t>
      </w:r>
      <w:r>
        <w:rPr>
          <w:rFonts w:eastAsiaTheme="minorHAnsi"/>
          <w:szCs w:val="24"/>
        </w:rPr>
        <w:t xml:space="preserve">  </w:t>
      </w:r>
      <w:r w:rsidR="002A1907">
        <w:rPr>
          <w:rFonts w:eastAsiaTheme="minorHAnsi"/>
          <w:szCs w:val="24"/>
        </w:rPr>
        <w:t xml:space="preserve">Data analysis </w:t>
      </w:r>
      <w:r w:rsidR="002A1907" w:rsidRPr="00D024D2">
        <w:t>w</w:t>
      </w:r>
      <w:r w:rsidR="00AB026D">
        <w:t>ill be</w:t>
      </w:r>
      <w:r w:rsidR="002A1907">
        <w:rPr>
          <w:b/>
          <w:i/>
        </w:rPr>
        <w:t xml:space="preserve"> </w:t>
      </w:r>
      <w:r w:rsidR="002A1907">
        <w:rPr>
          <w:rFonts w:eastAsiaTheme="minorHAnsi"/>
          <w:szCs w:val="24"/>
        </w:rPr>
        <w:t>evaluated by dividing the combined number of attendees</w:t>
      </w:r>
      <w:r w:rsidR="000950B5">
        <w:rPr>
          <w:rFonts w:eastAsiaTheme="minorHAnsi"/>
          <w:szCs w:val="24"/>
        </w:rPr>
        <w:t>, who were hospice home staff,</w:t>
      </w:r>
      <w:r w:rsidR="002A1907">
        <w:rPr>
          <w:rFonts w:eastAsiaTheme="minorHAnsi"/>
          <w:szCs w:val="24"/>
        </w:rPr>
        <w:t xml:space="preserve"> between the two educational offerings by the total number of potential attendees from the hospice home staff. The result w</w:t>
      </w:r>
      <w:r w:rsidR="00AB026D">
        <w:rPr>
          <w:rFonts w:eastAsiaTheme="minorHAnsi"/>
          <w:szCs w:val="24"/>
        </w:rPr>
        <w:t>ill be</w:t>
      </w:r>
      <w:r w:rsidR="002A1907">
        <w:rPr>
          <w:rFonts w:eastAsiaTheme="minorHAnsi"/>
          <w:szCs w:val="24"/>
        </w:rPr>
        <w:t xml:space="preserve"> reported as a percentage. </w:t>
      </w:r>
      <w:r w:rsidR="000F05EB">
        <w:rPr>
          <w:rFonts w:eastAsiaTheme="minorHAnsi"/>
          <w:szCs w:val="24"/>
        </w:rPr>
        <w:t xml:space="preserve">Analysis of data from the </w:t>
      </w:r>
      <w:r w:rsidR="003470FD">
        <w:rPr>
          <w:rFonts w:eastAsiaTheme="minorHAnsi"/>
          <w:szCs w:val="24"/>
        </w:rPr>
        <w:t>post-education</w:t>
      </w:r>
      <w:r w:rsidR="000F05EB">
        <w:rPr>
          <w:rFonts w:eastAsiaTheme="minorHAnsi"/>
          <w:szCs w:val="24"/>
        </w:rPr>
        <w:t xml:space="preserve"> module survey will be conducted to evaluate for </w:t>
      </w:r>
      <w:r w:rsidR="002B7895">
        <w:rPr>
          <w:rFonts w:eastAsiaTheme="minorHAnsi"/>
          <w:szCs w:val="24"/>
        </w:rPr>
        <w:t xml:space="preserve">implementation of </w:t>
      </w:r>
      <w:r w:rsidR="006C3CD4">
        <w:rPr>
          <w:rFonts w:eastAsiaTheme="minorHAnsi"/>
          <w:szCs w:val="24"/>
        </w:rPr>
        <w:t xml:space="preserve">use of </w:t>
      </w:r>
      <w:r w:rsidR="002B7895">
        <w:rPr>
          <w:rFonts w:eastAsiaTheme="minorHAnsi"/>
          <w:szCs w:val="24"/>
        </w:rPr>
        <w:t>inclusive language</w:t>
      </w:r>
      <w:r w:rsidR="006C3CD4">
        <w:rPr>
          <w:rFonts w:eastAsiaTheme="minorHAnsi"/>
          <w:szCs w:val="24"/>
        </w:rPr>
        <w:t xml:space="preserve"> and terminology by attendees</w:t>
      </w:r>
      <w:r w:rsidR="002B7895">
        <w:rPr>
          <w:rFonts w:eastAsiaTheme="minorHAnsi"/>
          <w:szCs w:val="24"/>
        </w:rPr>
        <w:t xml:space="preserve"> as a </w:t>
      </w:r>
      <w:r w:rsidR="000F05EB">
        <w:rPr>
          <w:rFonts w:eastAsiaTheme="minorHAnsi"/>
          <w:szCs w:val="24"/>
        </w:rPr>
        <w:t>practice change</w:t>
      </w:r>
      <w:r w:rsidR="00FD7AC3">
        <w:rPr>
          <w:rFonts w:eastAsiaTheme="minorHAnsi"/>
          <w:szCs w:val="24"/>
        </w:rPr>
        <w:t xml:space="preserve"> and reported as a percentage</w:t>
      </w:r>
      <w:r w:rsidR="000F05EB">
        <w:rPr>
          <w:rFonts w:eastAsiaTheme="minorHAnsi"/>
          <w:szCs w:val="24"/>
        </w:rPr>
        <w:t xml:space="preserve">. </w:t>
      </w:r>
      <w:r w:rsidR="006C3CD4">
        <w:t xml:space="preserve">Anecdotal comments will be reviewed by the student project director to assess for commonalities between statements provided by attendees. </w:t>
      </w:r>
    </w:p>
    <w:p w14:paraId="56EEEC33" w14:textId="6A25DA22" w:rsidR="00EB6A11" w:rsidRPr="00D024D2" w:rsidRDefault="00EB6A11" w:rsidP="003A287D">
      <w:pPr>
        <w:spacing w:after="0"/>
        <w:rPr>
          <w:color w:val="000000"/>
          <w:sz w:val="24"/>
          <w:szCs w:val="24"/>
          <w:shd w:val="clear" w:color="auto" w:fill="FFFFFF"/>
        </w:rPr>
      </w:pPr>
      <w:r>
        <w:rPr>
          <w:b/>
          <w:sz w:val="24"/>
          <w:szCs w:val="24"/>
        </w:rPr>
        <w:tab/>
      </w:r>
      <w:r w:rsidRPr="00D024D2">
        <w:rPr>
          <w:b/>
          <w:sz w:val="24"/>
          <w:szCs w:val="24"/>
        </w:rPr>
        <w:t>Outcome measurement</w:t>
      </w:r>
      <w:r w:rsidRPr="00D024D2">
        <w:rPr>
          <w:sz w:val="24"/>
          <w:szCs w:val="24"/>
        </w:rPr>
        <w:t>.</w:t>
      </w:r>
      <w:r>
        <w:rPr>
          <w:sz w:val="24"/>
          <w:szCs w:val="24"/>
        </w:rPr>
        <w:t xml:space="preserve"> </w:t>
      </w:r>
      <w:r w:rsidRPr="00D024D2">
        <w:rPr>
          <w:rFonts w:eastAsiaTheme="minorHAnsi"/>
          <w:sz w:val="24"/>
          <w:szCs w:val="24"/>
        </w:rPr>
        <w:t xml:space="preserve"> </w:t>
      </w:r>
      <w:r w:rsidR="002A1907" w:rsidRPr="00534D5E">
        <w:rPr>
          <w:sz w:val="24"/>
          <w:szCs w:val="24"/>
        </w:rPr>
        <w:t xml:space="preserve">2. Effective implementation of “Creating a Welcoming Space for LGBTQ Clients and Families at End of Life in the Hospice Setting”, a LGBTQ specific culturally sensitive care </w:t>
      </w:r>
      <w:r w:rsidR="00EA073E">
        <w:rPr>
          <w:sz w:val="24"/>
          <w:szCs w:val="24"/>
        </w:rPr>
        <w:t>education module</w:t>
      </w:r>
      <w:r w:rsidR="002A1907" w:rsidRPr="00534D5E">
        <w:rPr>
          <w:sz w:val="24"/>
          <w:szCs w:val="24"/>
        </w:rPr>
        <w:t xml:space="preserve"> to new staff at time of orientation</w:t>
      </w:r>
      <w:r w:rsidR="000950B5">
        <w:rPr>
          <w:sz w:val="24"/>
          <w:szCs w:val="24"/>
        </w:rPr>
        <w:t>.</w:t>
      </w:r>
      <w:r w:rsidR="002A1907" w:rsidRPr="00534D5E">
        <w:rPr>
          <w:sz w:val="24"/>
          <w:szCs w:val="24"/>
        </w:rPr>
        <w:t xml:space="preserve"> </w:t>
      </w:r>
      <w:r>
        <w:rPr>
          <w:sz w:val="24"/>
          <w:szCs w:val="24"/>
        </w:rPr>
        <w:t xml:space="preserve">The main purpose of this DNP project is to increase </w:t>
      </w:r>
      <w:r w:rsidR="002A1907">
        <w:rPr>
          <w:sz w:val="24"/>
          <w:szCs w:val="24"/>
        </w:rPr>
        <w:t xml:space="preserve">education related to </w:t>
      </w:r>
      <w:r>
        <w:rPr>
          <w:sz w:val="24"/>
          <w:szCs w:val="24"/>
        </w:rPr>
        <w:t>use of inclusive language in the hospice setting so that all persons feel welcomed. Having</w:t>
      </w:r>
      <w:r w:rsidR="002A1907">
        <w:rPr>
          <w:sz w:val="24"/>
          <w:szCs w:val="24"/>
        </w:rPr>
        <w:t xml:space="preserve"> staff</w:t>
      </w:r>
      <w:r>
        <w:rPr>
          <w:sz w:val="24"/>
          <w:szCs w:val="24"/>
        </w:rPr>
        <w:t xml:space="preserve"> be aware of </w:t>
      </w:r>
      <w:r w:rsidR="000950B5">
        <w:rPr>
          <w:sz w:val="24"/>
          <w:szCs w:val="24"/>
        </w:rPr>
        <w:t xml:space="preserve">terminology, </w:t>
      </w:r>
      <w:r>
        <w:rPr>
          <w:sz w:val="24"/>
          <w:szCs w:val="24"/>
        </w:rPr>
        <w:t>open ended questions and develop a new way of asking questions help to provide a safe space for patients and families.  Best practice involves the use of inclusive language and becoming competent in delivery of culturally sensitive care.</w:t>
      </w:r>
      <w:r w:rsidR="002A1907">
        <w:rPr>
          <w:sz w:val="24"/>
          <w:szCs w:val="24"/>
        </w:rPr>
        <w:t xml:space="preserve"> Providing this education at time of hire during orientation provides a foundation for new employees to begin incorporating inclusive questions and terminology.</w:t>
      </w:r>
    </w:p>
    <w:p w14:paraId="479C31A3" w14:textId="77777777" w:rsidR="00F5638B" w:rsidRDefault="00EB6A11" w:rsidP="00F5638B">
      <w:pPr>
        <w:pStyle w:val="APA"/>
      </w:pPr>
      <w:r w:rsidRPr="00D024D2">
        <w:rPr>
          <w:b/>
          <w:i/>
        </w:rPr>
        <w:t>Evaluation tool.</w:t>
      </w:r>
      <w:r w:rsidRPr="00F7699E">
        <w:t xml:space="preserve">  </w:t>
      </w:r>
      <w:r w:rsidR="00BA3A0F">
        <w:t>After completion of the education module, attendees will be asked via questionnaire when they thought the education module should be provided to hospice employees. Choices for this question will include never, new hire orientation, annually only, and both new hire and annually.</w:t>
      </w:r>
      <w:r w:rsidR="007B0F5C">
        <w:t xml:space="preserve"> </w:t>
      </w:r>
      <w:r>
        <w:t>Evaluation of this outcome w</w:t>
      </w:r>
      <w:r w:rsidR="00AB026D">
        <w:t xml:space="preserve">ill </w:t>
      </w:r>
      <w:r w:rsidR="007B0F5C">
        <w:t xml:space="preserve">also </w:t>
      </w:r>
      <w:r w:rsidR="00AB026D">
        <w:t>be</w:t>
      </w:r>
      <w:r>
        <w:t xml:space="preserve"> conducted by </w:t>
      </w:r>
      <w:r w:rsidR="002A1907">
        <w:t xml:space="preserve">comparing the current orientation </w:t>
      </w:r>
      <w:r w:rsidR="00785127">
        <w:t xml:space="preserve">education on care of LGBTQ clients and the </w:t>
      </w:r>
      <w:r w:rsidR="00DC5425">
        <w:rPr>
          <w:szCs w:val="24"/>
        </w:rPr>
        <w:t>education module</w:t>
      </w:r>
      <w:r w:rsidR="00785127">
        <w:t xml:space="preserve"> delivered for this project. Discussion of the comparisons w</w:t>
      </w:r>
      <w:r w:rsidR="00AB026D">
        <w:t xml:space="preserve">ill be </w:t>
      </w:r>
      <w:r w:rsidR="00785127">
        <w:t xml:space="preserve">completed by the site champion and the student </w:t>
      </w:r>
      <w:r w:rsidR="00785127">
        <w:lastRenderedPageBreak/>
        <w:t xml:space="preserve">project director. </w:t>
      </w:r>
      <w:r w:rsidR="00896383">
        <w:t>Evidence of a</w:t>
      </w:r>
      <w:r w:rsidR="00896383" w:rsidRPr="00DB5DBB">
        <w:t xml:space="preserve">pproved training modules by </w:t>
      </w:r>
      <w:r w:rsidR="00896383">
        <w:t xml:space="preserve">the </w:t>
      </w:r>
      <w:r w:rsidR="006F03AB">
        <w:t>e</w:t>
      </w:r>
      <w:r w:rsidR="00896383">
        <w:t xml:space="preserve">ducation </w:t>
      </w:r>
      <w:r w:rsidR="006F03AB">
        <w:t>d</w:t>
      </w:r>
      <w:r w:rsidR="00896383">
        <w:t>epartment and delivery of module at time of orientation will also be used to evaluate this outcome</w:t>
      </w:r>
      <w:r w:rsidR="007B0F5C">
        <w:t>.</w:t>
      </w:r>
    </w:p>
    <w:p w14:paraId="37616AD2" w14:textId="3E9079C4" w:rsidR="00EB6A11" w:rsidRDefault="00EB6A11" w:rsidP="00F5638B">
      <w:pPr>
        <w:pStyle w:val="APA"/>
      </w:pPr>
      <w:r w:rsidRPr="00D024D2">
        <w:rPr>
          <w:b/>
          <w:i/>
        </w:rPr>
        <w:t>Data analysis</w:t>
      </w:r>
      <w:r w:rsidRPr="00D024D2">
        <w:rPr>
          <w:b/>
        </w:rPr>
        <w:t>.</w:t>
      </w:r>
      <w:r w:rsidRPr="00374B49">
        <w:rPr>
          <w:b/>
        </w:rPr>
        <w:t xml:space="preserve"> </w:t>
      </w:r>
      <w:r>
        <w:rPr>
          <w:b/>
        </w:rPr>
        <w:t xml:space="preserve"> </w:t>
      </w:r>
      <w:r w:rsidR="007B0F5C">
        <w:t xml:space="preserve">Responses to the question of when attendees thought the </w:t>
      </w:r>
      <w:r w:rsidR="004F191E">
        <w:t xml:space="preserve">education module </w:t>
      </w:r>
      <w:r w:rsidR="007B0F5C">
        <w:t xml:space="preserve">should be presented to employees will be evaluated and reported as percentages in each of the four categories. </w:t>
      </w:r>
      <w:r w:rsidR="000C08C3">
        <w:t xml:space="preserve">After discussion between the site champion and the student project director </w:t>
      </w:r>
      <w:r w:rsidR="00AB026D">
        <w:t xml:space="preserve">a conclusion will be made as to the </w:t>
      </w:r>
      <w:r w:rsidR="000C08C3">
        <w:t>current education modules available to staff at the agency</w:t>
      </w:r>
      <w:r w:rsidR="00797779">
        <w:t xml:space="preserve"> and reported in statement form</w:t>
      </w:r>
      <w:r w:rsidR="000C08C3">
        <w:t>.</w:t>
      </w:r>
      <w:r w:rsidR="00785127">
        <w:t xml:space="preserve"> </w:t>
      </w:r>
      <w:r w:rsidR="00261C1A">
        <w:t>Specifics on the implementation of an education module at time of orientation will be reported in statement form.</w:t>
      </w:r>
      <w:r w:rsidR="00A07747">
        <w:t xml:space="preserve"> </w:t>
      </w:r>
    </w:p>
    <w:p w14:paraId="18708622" w14:textId="0BD0844F" w:rsidR="00DB5DBB" w:rsidRDefault="0027605D" w:rsidP="00EB6A11">
      <w:pPr>
        <w:pStyle w:val="APA"/>
        <w:rPr>
          <w:szCs w:val="24"/>
        </w:rPr>
      </w:pPr>
      <w:r>
        <w:rPr>
          <w:b/>
        </w:rPr>
        <w:t xml:space="preserve">Outcome measurement.  </w:t>
      </w:r>
      <w:r w:rsidRPr="00534D5E">
        <w:rPr>
          <w:szCs w:val="24"/>
        </w:rPr>
        <w:t xml:space="preserve">3. </w:t>
      </w:r>
      <w:r w:rsidR="00DB5DBB">
        <w:rPr>
          <w:szCs w:val="24"/>
        </w:rPr>
        <w:t>Initiate an organizational approach to increas</w:t>
      </w:r>
      <w:r w:rsidR="0071007A">
        <w:rPr>
          <w:szCs w:val="24"/>
        </w:rPr>
        <w:t>e</w:t>
      </w:r>
      <w:r w:rsidR="00DB5DBB">
        <w:rPr>
          <w:szCs w:val="24"/>
        </w:rPr>
        <w:t xml:space="preserve"> use of inclusive language</w:t>
      </w:r>
      <w:r w:rsidR="0071007A">
        <w:rPr>
          <w:szCs w:val="24"/>
        </w:rPr>
        <w:t xml:space="preserve"> and terminology</w:t>
      </w:r>
      <w:r w:rsidR="00D118CB">
        <w:rPr>
          <w:szCs w:val="24"/>
        </w:rPr>
        <w:t xml:space="preserve"> </w:t>
      </w:r>
      <w:r w:rsidR="00F574F3">
        <w:rPr>
          <w:szCs w:val="24"/>
        </w:rPr>
        <w:t>within the hospice agency</w:t>
      </w:r>
      <w:r w:rsidR="002E67ED">
        <w:rPr>
          <w:szCs w:val="24"/>
        </w:rPr>
        <w:t xml:space="preserve">. </w:t>
      </w:r>
      <w:r w:rsidR="00F574F3">
        <w:rPr>
          <w:szCs w:val="24"/>
        </w:rPr>
        <w:t xml:space="preserve"> </w:t>
      </w:r>
      <w:r w:rsidR="00380AF2">
        <w:rPr>
          <w:szCs w:val="24"/>
        </w:rPr>
        <w:t xml:space="preserve"> </w:t>
      </w:r>
      <w:r w:rsidR="00261C1A">
        <w:rPr>
          <w:szCs w:val="24"/>
        </w:rPr>
        <w:t xml:space="preserve">This will require </w:t>
      </w:r>
      <w:r w:rsidR="0014273B">
        <w:rPr>
          <w:szCs w:val="24"/>
        </w:rPr>
        <w:t>assessing</w:t>
      </w:r>
      <w:r w:rsidR="0014273B" w:rsidRPr="0014273B">
        <w:rPr>
          <w:szCs w:val="24"/>
        </w:rPr>
        <w:t xml:space="preserve"> </w:t>
      </w:r>
      <w:r w:rsidR="0014273B">
        <w:rPr>
          <w:szCs w:val="24"/>
        </w:rPr>
        <w:t xml:space="preserve">the need for educational offerings to all staff regarding providing culturally sensitive care to LGBTQ persons. </w:t>
      </w:r>
      <w:r w:rsidR="00380AF2">
        <w:rPr>
          <w:szCs w:val="24"/>
        </w:rPr>
        <w:t>T</w:t>
      </w:r>
      <w:r w:rsidR="00613F47">
        <w:rPr>
          <w:szCs w:val="24"/>
        </w:rPr>
        <w:t>here</w:t>
      </w:r>
      <w:r w:rsidR="00380AF2">
        <w:rPr>
          <w:szCs w:val="24"/>
        </w:rPr>
        <w:t xml:space="preserve"> is</w:t>
      </w:r>
      <w:r w:rsidR="00613F47">
        <w:rPr>
          <w:szCs w:val="24"/>
        </w:rPr>
        <w:t xml:space="preserve"> limited discussion about </w:t>
      </w:r>
      <w:r w:rsidR="00380AF2">
        <w:rPr>
          <w:szCs w:val="24"/>
        </w:rPr>
        <w:t>u</w:t>
      </w:r>
      <w:r w:rsidR="00613F47">
        <w:rPr>
          <w:szCs w:val="24"/>
        </w:rPr>
        <w:t>se of inclusive language, terminology and open-ended questions at initial intake</w:t>
      </w:r>
      <w:r w:rsidR="002B7895">
        <w:rPr>
          <w:szCs w:val="24"/>
        </w:rPr>
        <w:t>,</w:t>
      </w:r>
      <w:r w:rsidR="00613F47">
        <w:rPr>
          <w:szCs w:val="24"/>
        </w:rPr>
        <w:t xml:space="preserve"> during the admission process</w:t>
      </w:r>
      <w:r w:rsidR="002B7895">
        <w:rPr>
          <w:szCs w:val="24"/>
        </w:rPr>
        <w:t>, or throughout care</w:t>
      </w:r>
      <w:r w:rsidR="00613F47">
        <w:rPr>
          <w:szCs w:val="24"/>
        </w:rPr>
        <w:t>. The organ</w:t>
      </w:r>
      <w:r w:rsidR="00380AF2">
        <w:rPr>
          <w:szCs w:val="24"/>
        </w:rPr>
        <w:t>i</w:t>
      </w:r>
      <w:r w:rsidR="00613F47">
        <w:rPr>
          <w:szCs w:val="24"/>
        </w:rPr>
        <w:t>zation</w:t>
      </w:r>
      <w:r w:rsidR="00380AF2">
        <w:rPr>
          <w:szCs w:val="24"/>
        </w:rPr>
        <w:t xml:space="preserve"> </w:t>
      </w:r>
      <w:r w:rsidR="00613F47">
        <w:rPr>
          <w:szCs w:val="24"/>
        </w:rPr>
        <w:t>recognize</w:t>
      </w:r>
      <w:r w:rsidR="00380AF2">
        <w:rPr>
          <w:szCs w:val="24"/>
        </w:rPr>
        <w:t>s</w:t>
      </w:r>
      <w:r w:rsidR="00613F47">
        <w:rPr>
          <w:szCs w:val="24"/>
        </w:rPr>
        <w:t xml:space="preserve"> the need to address </w:t>
      </w:r>
      <w:r w:rsidR="00380AF2">
        <w:rPr>
          <w:szCs w:val="24"/>
        </w:rPr>
        <w:t xml:space="preserve">specific care as it relates to </w:t>
      </w:r>
      <w:r w:rsidR="00613F47">
        <w:rPr>
          <w:szCs w:val="24"/>
        </w:rPr>
        <w:t xml:space="preserve">LGBTQ </w:t>
      </w:r>
      <w:r w:rsidR="00380AF2">
        <w:rPr>
          <w:szCs w:val="24"/>
        </w:rPr>
        <w:t>communit</w:t>
      </w:r>
      <w:r w:rsidR="00773717">
        <w:rPr>
          <w:szCs w:val="24"/>
        </w:rPr>
        <w:t>ies</w:t>
      </w:r>
      <w:r w:rsidR="00380AF2">
        <w:rPr>
          <w:szCs w:val="24"/>
        </w:rPr>
        <w:t xml:space="preserve">. The organization </w:t>
      </w:r>
      <w:r w:rsidR="00261C1A">
        <w:rPr>
          <w:szCs w:val="24"/>
        </w:rPr>
        <w:t xml:space="preserve">also </w:t>
      </w:r>
      <w:r w:rsidR="00380AF2">
        <w:rPr>
          <w:szCs w:val="24"/>
        </w:rPr>
        <w:t>realizes that concerns surrounding inclusion and diversity need to be addressed, thus an inclusion committee w</w:t>
      </w:r>
      <w:r w:rsidR="00896383">
        <w:rPr>
          <w:szCs w:val="24"/>
        </w:rPr>
        <w:t>ill be</w:t>
      </w:r>
      <w:r w:rsidR="00380AF2">
        <w:rPr>
          <w:szCs w:val="24"/>
        </w:rPr>
        <w:t xml:space="preserve"> </w:t>
      </w:r>
      <w:r w:rsidR="00896383">
        <w:rPr>
          <w:szCs w:val="24"/>
        </w:rPr>
        <w:t>formed</w:t>
      </w:r>
      <w:r w:rsidR="00380AF2">
        <w:rPr>
          <w:szCs w:val="24"/>
        </w:rPr>
        <w:t xml:space="preserve">. </w:t>
      </w:r>
      <w:r w:rsidR="00261C1A">
        <w:rPr>
          <w:szCs w:val="24"/>
        </w:rPr>
        <w:t xml:space="preserve">The student project director will become a member of this committee. </w:t>
      </w:r>
      <w:r w:rsidR="00896383">
        <w:rPr>
          <w:szCs w:val="24"/>
        </w:rPr>
        <w:t xml:space="preserve">The </w:t>
      </w:r>
      <w:r w:rsidR="00261C1A">
        <w:rPr>
          <w:szCs w:val="24"/>
        </w:rPr>
        <w:t>goal</w:t>
      </w:r>
      <w:r w:rsidR="00896383">
        <w:rPr>
          <w:szCs w:val="24"/>
        </w:rPr>
        <w:t xml:space="preserve"> is that LGBTQ persons and families, as well as employees</w:t>
      </w:r>
      <w:r w:rsidR="00786FA0">
        <w:rPr>
          <w:szCs w:val="24"/>
        </w:rPr>
        <w:t>,</w:t>
      </w:r>
      <w:r w:rsidR="00896383">
        <w:rPr>
          <w:szCs w:val="24"/>
        </w:rPr>
        <w:t xml:space="preserve"> will feel safe and welcomed within the organization. </w:t>
      </w:r>
    </w:p>
    <w:p w14:paraId="075F0FB7" w14:textId="036F27C7" w:rsidR="00261C1A" w:rsidRPr="00120DE0" w:rsidRDefault="0027605D" w:rsidP="00261C1A">
      <w:pPr>
        <w:pStyle w:val="APA"/>
        <w:rPr>
          <w:szCs w:val="24"/>
        </w:rPr>
      </w:pPr>
      <w:r>
        <w:rPr>
          <w:b/>
          <w:i/>
        </w:rPr>
        <w:t xml:space="preserve">Evaluation tool. </w:t>
      </w:r>
      <w:r w:rsidR="006C3CD4">
        <w:t xml:space="preserve">A </w:t>
      </w:r>
      <w:r w:rsidR="003470FD">
        <w:t>post-education</w:t>
      </w:r>
      <w:r w:rsidR="006C3CD4">
        <w:t xml:space="preserve"> evaluation tool will be provided to attendees upon completion of the education module including a question regarding </w:t>
      </w:r>
      <w:r w:rsidR="006C3CD4" w:rsidRPr="00312D6D">
        <w:t>which employees would benefit from the education module</w:t>
      </w:r>
      <w:r w:rsidR="006C3CD4">
        <w:t xml:space="preserve">.  </w:t>
      </w:r>
      <w:r w:rsidR="00261C1A">
        <w:t xml:space="preserve">A report of </w:t>
      </w:r>
      <w:r w:rsidR="00FC6B77">
        <w:t>initiatives developed</w:t>
      </w:r>
      <w:r w:rsidR="00261C1A">
        <w:t xml:space="preserve"> by the inclusion committee </w:t>
      </w:r>
      <w:r w:rsidR="00FC6B77">
        <w:t>regarding the increase in providing culturally sensitive care to the LGBTQ patient</w:t>
      </w:r>
      <w:r w:rsidR="00773717">
        <w:t xml:space="preserve"> will be reported</w:t>
      </w:r>
      <w:r w:rsidR="00A07747">
        <w:t>.</w:t>
      </w:r>
      <w:r w:rsidR="00FC6B77">
        <w:t xml:space="preserve">  </w:t>
      </w:r>
    </w:p>
    <w:p w14:paraId="753C3084" w14:textId="5A55A48E" w:rsidR="0027605D" w:rsidRDefault="0027605D" w:rsidP="00EB6A11">
      <w:pPr>
        <w:pStyle w:val="APA"/>
        <w:rPr>
          <w:b/>
          <w:i/>
        </w:rPr>
      </w:pPr>
      <w:r>
        <w:rPr>
          <w:b/>
          <w:i/>
        </w:rPr>
        <w:lastRenderedPageBreak/>
        <w:t>Data analysis.</w:t>
      </w:r>
      <w:r w:rsidR="00A07747" w:rsidRPr="0014273B">
        <w:t xml:space="preserve"> </w:t>
      </w:r>
      <w:r w:rsidR="00A07747">
        <w:t xml:space="preserve"> </w:t>
      </w:r>
      <w:r w:rsidR="00927971">
        <w:rPr>
          <w:rFonts w:eastAsiaTheme="minorHAnsi"/>
          <w:szCs w:val="24"/>
        </w:rPr>
        <w:t xml:space="preserve">Analysis of data from the </w:t>
      </w:r>
      <w:r w:rsidR="003470FD">
        <w:rPr>
          <w:rFonts w:eastAsiaTheme="minorHAnsi"/>
          <w:szCs w:val="24"/>
        </w:rPr>
        <w:t>post-education</w:t>
      </w:r>
      <w:r w:rsidR="00927971">
        <w:rPr>
          <w:rFonts w:eastAsiaTheme="minorHAnsi"/>
          <w:szCs w:val="24"/>
        </w:rPr>
        <w:t xml:space="preserve"> module survey will be conducted to evaluate for </w:t>
      </w:r>
      <w:r w:rsidR="00927971">
        <w:t>which employees would benefit from the education module</w:t>
      </w:r>
      <w:r w:rsidR="00927971">
        <w:rPr>
          <w:rFonts w:eastAsiaTheme="minorHAnsi"/>
          <w:szCs w:val="24"/>
        </w:rPr>
        <w:t xml:space="preserve"> and reported as a percentage. </w:t>
      </w:r>
      <w:r w:rsidR="00927971">
        <w:t>A</w:t>
      </w:r>
      <w:r w:rsidR="002D0E48">
        <w:t xml:space="preserve">necdotal comments </w:t>
      </w:r>
      <w:r w:rsidR="00927971">
        <w:t>will</w:t>
      </w:r>
      <w:r w:rsidR="002D0E48">
        <w:t xml:space="preserve"> be discussed with site champion and director of the education department to determine approach for sustainability of the </w:t>
      </w:r>
      <w:r w:rsidR="00786FA0">
        <w:t xml:space="preserve">education module </w:t>
      </w:r>
      <w:r w:rsidR="002D0E48">
        <w:t xml:space="preserve">within the organization. </w:t>
      </w:r>
      <w:r w:rsidR="00A07747">
        <w:t xml:space="preserve">Initiatives and progress of the inclusion committee will be reported in statement form. </w:t>
      </w:r>
    </w:p>
    <w:p w14:paraId="2F4BC1FF" w14:textId="460B6B59" w:rsidR="00EB6A11" w:rsidRPr="005B29DE" w:rsidRDefault="00EB6A11" w:rsidP="00EB6A11">
      <w:pPr>
        <w:pStyle w:val="APA"/>
      </w:pPr>
      <w:r w:rsidRPr="00374B49">
        <w:rPr>
          <w:b/>
        </w:rPr>
        <w:t>Data management</w:t>
      </w:r>
      <w:r w:rsidRPr="00374B49">
        <w:t>.</w:t>
      </w:r>
      <w:r w:rsidRPr="005B29DE">
        <w:t xml:space="preserve">  </w:t>
      </w:r>
      <w:r w:rsidR="004F5579">
        <w:rPr>
          <w:rFonts w:eastAsiaTheme="minorHAnsi"/>
          <w:szCs w:val="24"/>
        </w:rPr>
        <w:t>The sign in sheets</w:t>
      </w:r>
      <w:r w:rsidR="00254CAD">
        <w:rPr>
          <w:rFonts w:eastAsiaTheme="minorHAnsi"/>
          <w:szCs w:val="24"/>
        </w:rPr>
        <w:t xml:space="preserve"> and </w:t>
      </w:r>
      <w:r w:rsidR="00C45D6A">
        <w:rPr>
          <w:rFonts w:eastAsiaTheme="minorHAnsi"/>
          <w:szCs w:val="24"/>
        </w:rPr>
        <w:t xml:space="preserve">CNE </w:t>
      </w:r>
      <w:r w:rsidR="00254CAD">
        <w:rPr>
          <w:rFonts w:eastAsiaTheme="minorHAnsi"/>
          <w:szCs w:val="24"/>
        </w:rPr>
        <w:t>evaluation forms</w:t>
      </w:r>
      <w:r w:rsidR="004F5579">
        <w:rPr>
          <w:rFonts w:eastAsiaTheme="minorHAnsi"/>
          <w:szCs w:val="24"/>
        </w:rPr>
        <w:t xml:space="preserve"> for the </w:t>
      </w:r>
      <w:r w:rsidR="0027605D">
        <w:rPr>
          <w:rFonts w:eastAsiaTheme="minorHAnsi"/>
          <w:szCs w:val="24"/>
        </w:rPr>
        <w:t>education module w</w:t>
      </w:r>
      <w:r w:rsidR="00A16AF3">
        <w:rPr>
          <w:rFonts w:eastAsiaTheme="minorHAnsi"/>
          <w:szCs w:val="24"/>
        </w:rPr>
        <w:t>ill be</w:t>
      </w:r>
      <w:r w:rsidR="0027605D">
        <w:rPr>
          <w:rFonts w:eastAsiaTheme="minorHAnsi"/>
          <w:szCs w:val="24"/>
        </w:rPr>
        <w:t xml:space="preserve"> </w:t>
      </w:r>
      <w:r w:rsidR="00C45D6A">
        <w:rPr>
          <w:rFonts w:eastAsiaTheme="minorHAnsi"/>
          <w:szCs w:val="24"/>
        </w:rPr>
        <w:t>kept</w:t>
      </w:r>
      <w:r w:rsidR="0027605D">
        <w:rPr>
          <w:rFonts w:eastAsiaTheme="minorHAnsi"/>
          <w:szCs w:val="24"/>
        </w:rPr>
        <w:t xml:space="preserve"> in the possession of the education department per CNE requirements</w:t>
      </w:r>
      <w:r w:rsidR="00C45D6A">
        <w:rPr>
          <w:rFonts w:eastAsiaTheme="minorHAnsi"/>
          <w:szCs w:val="24"/>
        </w:rPr>
        <w:t>.</w:t>
      </w:r>
      <w:r w:rsidR="00254CAD">
        <w:rPr>
          <w:rFonts w:eastAsiaTheme="minorHAnsi"/>
          <w:szCs w:val="24"/>
        </w:rPr>
        <w:t xml:space="preserve"> </w:t>
      </w:r>
      <w:r w:rsidR="00C45D6A">
        <w:rPr>
          <w:rFonts w:eastAsiaTheme="minorHAnsi"/>
          <w:szCs w:val="24"/>
        </w:rPr>
        <w:t>A summary of the CNE evaluation w</w:t>
      </w:r>
      <w:r w:rsidR="00A16AF3">
        <w:rPr>
          <w:rFonts w:eastAsiaTheme="minorHAnsi"/>
          <w:szCs w:val="24"/>
        </w:rPr>
        <w:t>ill be</w:t>
      </w:r>
      <w:r w:rsidR="00C45D6A">
        <w:rPr>
          <w:rFonts w:eastAsiaTheme="minorHAnsi"/>
          <w:szCs w:val="24"/>
        </w:rPr>
        <w:t xml:space="preserve"> provided to the student project director by the education department. The student project director questionnaire</w:t>
      </w:r>
      <w:r w:rsidR="00773717">
        <w:rPr>
          <w:rFonts w:eastAsiaTheme="minorHAnsi"/>
          <w:szCs w:val="24"/>
        </w:rPr>
        <w:t xml:space="preserve"> and anecdotal notes</w:t>
      </w:r>
      <w:r w:rsidR="00C45D6A">
        <w:rPr>
          <w:rFonts w:eastAsiaTheme="minorHAnsi"/>
          <w:szCs w:val="24"/>
        </w:rPr>
        <w:t xml:space="preserve"> w</w:t>
      </w:r>
      <w:r w:rsidR="00A16AF3">
        <w:rPr>
          <w:rFonts w:eastAsiaTheme="minorHAnsi"/>
          <w:szCs w:val="24"/>
        </w:rPr>
        <w:t xml:space="preserve">ill be </w:t>
      </w:r>
      <w:r w:rsidR="00C45D6A">
        <w:rPr>
          <w:rFonts w:eastAsiaTheme="minorHAnsi"/>
          <w:szCs w:val="24"/>
        </w:rPr>
        <w:t xml:space="preserve"> managed by the student project director.</w:t>
      </w:r>
    </w:p>
    <w:p w14:paraId="085E26F6" w14:textId="77777777" w:rsidR="00EB6A11" w:rsidRDefault="00EB6A11" w:rsidP="00EB6A11">
      <w:pPr>
        <w:pStyle w:val="APA"/>
        <w:ind w:firstLine="0"/>
        <w:rPr>
          <w:b/>
        </w:rPr>
      </w:pPr>
      <w:r w:rsidRPr="000554A7">
        <w:rPr>
          <w:b/>
        </w:rPr>
        <w:t>Summary</w:t>
      </w:r>
      <w:r>
        <w:rPr>
          <w:b/>
        </w:rPr>
        <w:t xml:space="preserve"> </w:t>
      </w:r>
    </w:p>
    <w:p w14:paraId="1F095E3F" w14:textId="1E3AB695" w:rsidR="009A5853" w:rsidRDefault="00EB6A11" w:rsidP="00EB6A11">
      <w:pPr>
        <w:pStyle w:val="APA"/>
      </w:pPr>
      <w:r w:rsidRPr="00D024D2">
        <w:t>The pre-im</w:t>
      </w:r>
      <w:r>
        <w:t>p</w:t>
      </w:r>
      <w:r w:rsidRPr="00D024D2">
        <w:t>lementation</w:t>
      </w:r>
      <w:r>
        <w:t xml:space="preserve"> plan </w:t>
      </w:r>
      <w:r w:rsidR="00A16AF3">
        <w:t xml:space="preserve">will </w:t>
      </w:r>
      <w:r>
        <w:t xml:space="preserve">provide a mechanism to organize and develop the actual implementation of the project described.  Leadership at the organization recognized the need to increase inclusivity and diversity and thus encouraged this project from the beginning. This DNP project provides an initial step in this change process. </w:t>
      </w:r>
      <w:r w:rsidR="009E04CE">
        <w:t>Interprofessional</w:t>
      </w:r>
      <w:r>
        <w:t xml:space="preserve"> collaboration ensures that various departments were represented in these initial discussions. Risk assessment showed many strengths and opportunities for success of this quality improvement initiative. Costs of implementation was low. The IRB process was followed and subsequently the project was approved for implementation.</w:t>
      </w:r>
      <w:r w:rsidDel="006C7F81">
        <w:t xml:space="preserve"> </w:t>
      </w:r>
    </w:p>
    <w:p w14:paraId="3EBE0F17" w14:textId="77777777" w:rsidR="00A07747" w:rsidRDefault="00A07747"/>
    <w:p w14:paraId="210C3ED4" w14:textId="0AC19000" w:rsidR="009A5853" w:rsidRDefault="009A5853">
      <w:pPr>
        <w:rPr>
          <w:sz w:val="24"/>
        </w:rPr>
      </w:pPr>
      <w:r>
        <w:br w:type="page"/>
      </w:r>
    </w:p>
    <w:p w14:paraId="4571572D" w14:textId="77777777" w:rsidR="00EB6A11" w:rsidRPr="00602127" w:rsidRDefault="00EB6A11" w:rsidP="00EB6A11">
      <w:pPr>
        <w:pStyle w:val="APA"/>
        <w:ind w:firstLine="0"/>
        <w:jc w:val="center"/>
        <w:rPr>
          <w:b/>
        </w:rPr>
      </w:pPr>
      <w:r w:rsidRPr="00602127">
        <w:rPr>
          <w:b/>
        </w:rPr>
        <w:lastRenderedPageBreak/>
        <w:t>Chapter Five: Implementation Process</w:t>
      </w:r>
    </w:p>
    <w:p w14:paraId="282A2D58" w14:textId="42ED6B03" w:rsidR="00EB6A11" w:rsidRDefault="00EB6A11" w:rsidP="00EB6A11">
      <w:pPr>
        <w:pStyle w:val="APA"/>
        <w:rPr>
          <w:b/>
        </w:rPr>
      </w:pPr>
      <w:r>
        <w:t xml:space="preserve">With IRB </w:t>
      </w:r>
      <w:r w:rsidR="00C569E6">
        <w:t>waiver and approval of project documents</w:t>
      </w:r>
      <w:r>
        <w:t xml:space="preserve">, implementation of the </w:t>
      </w:r>
      <w:r w:rsidR="00E21D68">
        <w:t xml:space="preserve">Doctor in Nursing Practice (DNP) </w:t>
      </w:r>
      <w:r>
        <w:t xml:space="preserve">project began in August 2018. </w:t>
      </w:r>
      <w:r w:rsidR="00F33A54">
        <w:t>D</w:t>
      </w:r>
      <w:r>
        <w:t>ates for the education module were set for the end of September. The purpose of this chapter is to explain the implementation process in detail.</w:t>
      </w:r>
    </w:p>
    <w:p w14:paraId="751A5432" w14:textId="5E3348E5" w:rsidR="00EB6A11" w:rsidRDefault="00EB6A11" w:rsidP="00EB6A11">
      <w:pPr>
        <w:pStyle w:val="APA"/>
        <w:ind w:firstLine="0"/>
        <w:rPr>
          <w:b/>
        </w:rPr>
      </w:pPr>
      <w:r w:rsidRPr="00475032">
        <w:rPr>
          <w:b/>
        </w:rPr>
        <w:t>Setting</w:t>
      </w:r>
    </w:p>
    <w:p w14:paraId="0E1CEA18" w14:textId="32C1ABAD" w:rsidR="00EB6A11" w:rsidRDefault="00EB6A11" w:rsidP="00EB6A11">
      <w:pPr>
        <w:pStyle w:val="APA"/>
        <w:ind w:firstLine="0"/>
      </w:pPr>
      <w:r>
        <w:rPr>
          <w:b/>
        </w:rPr>
        <w:tab/>
      </w:r>
      <w:r w:rsidR="000C0A80" w:rsidRPr="00E13354">
        <w:t xml:space="preserve">The agency is  in a large metropolitan area in </w:t>
      </w:r>
      <w:r w:rsidR="00E13354" w:rsidRPr="00E13354">
        <w:t xml:space="preserve">the southeast portion of the United States. </w:t>
      </w:r>
      <w:r w:rsidR="00E13354">
        <w:t>The organization</w:t>
      </w:r>
      <w:r w:rsidR="000C0A80" w:rsidRPr="00E13354">
        <w:t xml:space="preserve"> services seven counties</w:t>
      </w:r>
      <w:r w:rsidR="00E13354" w:rsidRPr="00E13354">
        <w:t xml:space="preserve"> and approximately 1500 patients per day</w:t>
      </w:r>
      <w:r w:rsidR="000C0A80" w:rsidRPr="00E13354">
        <w:t xml:space="preserve">. </w:t>
      </w:r>
      <w:r w:rsidR="00F05741">
        <w:t>The agency</w:t>
      </w:r>
      <w:r>
        <w:t xml:space="preserve"> has several patient care service lines</w:t>
      </w:r>
      <w:r w:rsidR="000C0A80">
        <w:t xml:space="preserve"> which</w:t>
      </w:r>
      <w:r>
        <w:t xml:space="preserve"> include home health, pediatrics, palliative care and hospice care. Hospice care can be provided in the patients’ private home, residential facility, hospital, or the inpatient hospice home.  </w:t>
      </w:r>
      <w:r w:rsidR="004C425C">
        <w:t xml:space="preserve">A </w:t>
      </w:r>
      <w:r>
        <w:t xml:space="preserve">thirty-bed inpatient </w:t>
      </w:r>
      <w:r w:rsidR="004C425C">
        <w:t xml:space="preserve">hospice home </w:t>
      </w:r>
      <w:r>
        <w:t xml:space="preserve">unit was the chosen setting for the quality improvement project.  </w:t>
      </w:r>
    </w:p>
    <w:p w14:paraId="4EF26E2B" w14:textId="77777777" w:rsidR="005561B3" w:rsidRDefault="005561B3" w:rsidP="00E13354">
      <w:pPr>
        <w:pStyle w:val="APA"/>
        <w:ind w:firstLine="0"/>
      </w:pPr>
      <w:r>
        <w:rPr>
          <w:b/>
        </w:rPr>
        <w:t>Attendees</w:t>
      </w:r>
      <w:r w:rsidR="00EB6A11">
        <w:tab/>
      </w:r>
    </w:p>
    <w:p w14:paraId="343C9C61" w14:textId="45794BBA" w:rsidR="00E13354" w:rsidRDefault="005561B3" w:rsidP="00E13354">
      <w:pPr>
        <w:pStyle w:val="APA"/>
        <w:ind w:firstLine="0"/>
      </w:pPr>
      <w:r>
        <w:tab/>
        <w:t xml:space="preserve">Attendees </w:t>
      </w:r>
      <w:r w:rsidR="00E13354">
        <w:t xml:space="preserve">included registered nurses, licensed practical nurses and certified nursing assistants employed in the hospice home. At the time of implementation, the hospice home staff consisted of 41 registered nurses, 2 licensed practical nurses, and 23 certified nursing assistants for a total of 66 potential attendees. </w:t>
      </w:r>
    </w:p>
    <w:p w14:paraId="63C29FA1" w14:textId="77777777" w:rsidR="00EB6A11" w:rsidRDefault="00EB6A11" w:rsidP="00EB6A11">
      <w:pPr>
        <w:pStyle w:val="APA"/>
        <w:ind w:firstLine="0"/>
        <w:rPr>
          <w:b/>
        </w:rPr>
      </w:pPr>
      <w:r w:rsidRPr="00475032">
        <w:rPr>
          <w:b/>
        </w:rPr>
        <w:t>Recruitment</w:t>
      </w:r>
    </w:p>
    <w:p w14:paraId="2ABE4F6F" w14:textId="77777777" w:rsidR="002367DE" w:rsidRDefault="00122966" w:rsidP="00EB6A11">
      <w:pPr>
        <w:pStyle w:val="APA"/>
        <w:ind w:firstLine="0"/>
      </w:pPr>
      <w:r>
        <w:tab/>
        <w:t xml:space="preserve">Hospice home leadership team’s willingness to advertise the education module in a weekly update and post sign-up sheets in the break room allowed staff to be aware of the educational offering. </w:t>
      </w:r>
      <w:r w:rsidR="003C61DC" w:rsidRPr="003C61DC">
        <w:t xml:space="preserve">Hospice home staff were informed of the education module by the nurse manager via her weekly email communication.  </w:t>
      </w:r>
      <w:r w:rsidR="00C569E6">
        <w:t xml:space="preserve"> </w:t>
      </w:r>
      <w:r w:rsidR="00E60911">
        <w:t xml:space="preserve">In the two consecutive weeks prior to </w:t>
      </w:r>
      <w:r w:rsidR="00B56272">
        <w:t xml:space="preserve">project implementation, an </w:t>
      </w:r>
      <w:r w:rsidR="003C61DC" w:rsidRPr="003C61DC">
        <w:t xml:space="preserve">announcement </w:t>
      </w:r>
      <w:r w:rsidR="00B56272" w:rsidRPr="003C61DC">
        <w:t>w</w:t>
      </w:r>
      <w:r w:rsidR="00B56272">
        <w:t>ith</w:t>
      </w:r>
      <w:r w:rsidR="00B56272" w:rsidRPr="003C61DC">
        <w:t xml:space="preserve"> </w:t>
      </w:r>
      <w:r w:rsidR="003C61DC" w:rsidRPr="003C61DC">
        <w:t>information on the education module</w:t>
      </w:r>
      <w:r w:rsidR="00B56272">
        <w:t xml:space="preserve"> was included</w:t>
      </w:r>
      <w:r w:rsidR="003C61DC" w:rsidRPr="003C61DC">
        <w:t>.</w:t>
      </w:r>
      <w:r w:rsidR="003C61DC">
        <w:rPr>
          <w:b/>
        </w:rPr>
        <w:t xml:space="preserve"> </w:t>
      </w:r>
      <w:r w:rsidR="00EB6A11">
        <w:lastRenderedPageBreak/>
        <w:t>Attendance to the education module was encouraged by the leadership team</w:t>
      </w:r>
      <w:r w:rsidR="003C61DC">
        <w:t>, but not mandatory</w:t>
      </w:r>
      <w:r w:rsidR="00EB6A11">
        <w:t xml:space="preserve">. </w:t>
      </w:r>
      <w:r w:rsidR="00FF1A32">
        <w:t xml:space="preserve">A flyer and sign-up sheet providing information about the </w:t>
      </w:r>
      <w:r w:rsidR="00DC5425">
        <w:rPr>
          <w:szCs w:val="24"/>
        </w:rPr>
        <w:t>education module</w:t>
      </w:r>
      <w:r w:rsidR="00DC5425">
        <w:t xml:space="preserve"> </w:t>
      </w:r>
      <w:r w:rsidR="00FF1A32">
        <w:t xml:space="preserve">was developed by the clinical nurse manager and placed on the bulletin board in the staff break room. </w:t>
      </w:r>
      <w:r w:rsidR="00B56272">
        <w:t xml:space="preserve">A total of 18 staff members signed up prior to the presentation. The education department also made the </w:t>
      </w:r>
      <w:r w:rsidR="00DC5425">
        <w:rPr>
          <w:szCs w:val="24"/>
        </w:rPr>
        <w:t>education module</w:t>
      </w:r>
      <w:r w:rsidR="00B56272">
        <w:t xml:space="preserve"> available for sign up in the Relias Learning System</w:t>
      </w:r>
      <w:r w:rsidR="004C425C">
        <w:t>. No</w:t>
      </w:r>
      <w:r w:rsidR="00B56272">
        <w:t xml:space="preserve"> staff elected to sign up by this method. The </w:t>
      </w:r>
      <w:r w:rsidR="00EB6A11">
        <w:t xml:space="preserve">education module did provide for 1.0 </w:t>
      </w:r>
      <w:r w:rsidR="00DE0E2E">
        <w:rPr>
          <w:szCs w:val="24"/>
        </w:rPr>
        <w:t>Continuing Nurse Education (</w:t>
      </w:r>
      <w:r w:rsidR="00DE0E2E" w:rsidRPr="00534D5E">
        <w:rPr>
          <w:szCs w:val="24"/>
        </w:rPr>
        <w:t>CNE</w:t>
      </w:r>
      <w:r w:rsidR="00DE0E2E">
        <w:rPr>
          <w:szCs w:val="24"/>
        </w:rPr>
        <w:t>)</w:t>
      </w:r>
      <w:r w:rsidR="00DE0E2E" w:rsidRPr="00534D5E">
        <w:rPr>
          <w:szCs w:val="24"/>
        </w:rPr>
        <w:t xml:space="preserve"> </w:t>
      </w:r>
      <w:r w:rsidR="00EB6A11">
        <w:t xml:space="preserve"> credit for attendance. </w:t>
      </w:r>
      <w:r w:rsidR="00EB6A11" w:rsidRPr="00D024D2">
        <w:t xml:space="preserve"> </w:t>
      </w:r>
      <w:r w:rsidR="00EB6A11">
        <w:t>Prior to implementation, the student project director set a goal of 3</w:t>
      </w:r>
      <w:r w:rsidR="006F130C">
        <w:t>0</w:t>
      </w:r>
      <w:r w:rsidR="00EB6A11">
        <w:t xml:space="preserve">% attendance by </w:t>
      </w:r>
      <w:r w:rsidR="003C61DC">
        <w:t>hospice home staff</w:t>
      </w:r>
      <w:r w:rsidR="00EB6A11">
        <w:t xml:space="preserve">. </w:t>
      </w:r>
    </w:p>
    <w:p w14:paraId="1B0C57B6" w14:textId="763D5A4E" w:rsidR="00EB6A11" w:rsidRDefault="00EB6A11" w:rsidP="00EB6A11">
      <w:pPr>
        <w:pStyle w:val="APA"/>
        <w:ind w:firstLine="0"/>
        <w:rPr>
          <w:b/>
        </w:rPr>
      </w:pPr>
      <w:r w:rsidRPr="00475032">
        <w:rPr>
          <w:b/>
        </w:rPr>
        <w:t>Implementation Process</w:t>
      </w:r>
    </w:p>
    <w:p w14:paraId="2E4A4630" w14:textId="2A999D1C" w:rsidR="00EB6A11" w:rsidRDefault="00EB6A11" w:rsidP="003C61DC">
      <w:pPr>
        <w:pStyle w:val="APA"/>
        <w:ind w:firstLine="0"/>
      </w:pPr>
      <w:r>
        <w:rPr>
          <w:b/>
        </w:rPr>
        <w:tab/>
        <w:t>Pre-Education module</w:t>
      </w:r>
      <w:r w:rsidRPr="00847872">
        <w:t xml:space="preserve">. </w:t>
      </w:r>
      <w:r w:rsidR="00B56272" w:rsidRPr="00847872">
        <w:t>Several weeks</w:t>
      </w:r>
      <w:r w:rsidR="00B56272">
        <w:rPr>
          <w:b/>
        </w:rPr>
        <w:t xml:space="preserve"> </w:t>
      </w:r>
      <w:r w:rsidR="00B56272">
        <w:t>p</w:t>
      </w:r>
      <w:r>
        <w:t xml:space="preserve">rior to </w:t>
      </w:r>
      <w:r w:rsidR="000562AE">
        <w:t>implementation,</w:t>
      </w:r>
      <w:r>
        <w:t xml:space="preserve"> </w:t>
      </w:r>
      <w:r w:rsidR="003C61DC">
        <w:t xml:space="preserve">the </w:t>
      </w:r>
      <w:r w:rsidR="00B56272">
        <w:t xml:space="preserve">site champion and student project director developed the </w:t>
      </w:r>
      <w:r w:rsidR="00DC5425">
        <w:rPr>
          <w:szCs w:val="24"/>
        </w:rPr>
        <w:t>education module</w:t>
      </w:r>
      <w:r w:rsidR="00B56272">
        <w:t>. Communication occurred between the stude</w:t>
      </w:r>
      <w:r w:rsidR="00847872">
        <w:t>n</w:t>
      </w:r>
      <w:r w:rsidR="00B56272">
        <w:t xml:space="preserve">t project director and the hospice home leadership team for </w:t>
      </w:r>
      <w:r w:rsidR="00847872">
        <w:t xml:space="preserve">confirmation of dates. The meeting room and time was secured by the hospice home clinical manager. The student project director also communicated with the education department for CNE application and approval. </w:t>
      </w:r>
      <w:r w:rsidR="00122966">
        <w:t xml:space="preserve">The </w:t>
      </w:r>
      <w:r w:rsidR="000562AE">
        <w:rPr>
          <w:szCs w:val="24"/>
        </w:rPr>
        <w:t>education module</w:t>
      </w:r>
      <w:r w:rsidR="00122966">
        <w:t xml:space="preserve"> was approved for 1.0 CNE hour.  </w:t>
      </w:r>
      <w:r w:rsidR="00847872">
        <w:t xml:space="preserve">The director of the education department was kept informed of the activities. At an agency executive team meeting, the student project director informed the executive team about the project and the planned </w:t>
      </w:r>
      <w:r w:rsidR="000562AE">
        <w:rPr>
          <w:szCs w:val="24"/>
        </w:rPr>
        <w:t>education module</w:t>
      </w:r>
      <w:r w:rsidR="00847872">
        <w:t xml:space="preserve">. A personal invitation to attend the </w:t>
      </w:r>
      <w:r w:rsidR="000562AE">
        <w:rPr>
          <w:szCs w:val="24"/>
        </w:rPr>
        <w:t>education module</w:t>
      </w:r>
      <w:r w:rsidR="00847872">
        <w:t xml:space="preserve"> through email was sent to the Chief Executive Officer by the student project director.  </w:t>
      </w:r>
    </w:p>
    <w:p w14:paraId="0EBA5759" w14:textId="4CB66AE4" w:rsidR="00122966" w:rsidRDefault="00EB6A11" w:rsidP="00EB6A11">
      <w:pPr>
        <w:pStyle w:val="APA"/>
        <w:ind w:firstLine="0"/>
      </w:pPr>
      <w:r>
        <w:tab/>
      </w:r>
      <w:r w:rsidRPr="00D024D2">
        <w:rPr>
          <w:b/>
        </w:rPr>
        <w:t xml:space="preserve">Education </w:t>
      </w:r>
      <w:r>
        <w:rPr>
          <w:b/>
        </w:rPr>
        <w:t>m</w:t>
      </w:r>
      <w:r w:rsidRPr="00D024D2">
        <w:rPr>
          <w:b/>
        </w:rPr>
        <w:t>odule.</w:t>
      </w:r>
      <w:r>
        <w:rPr>
          <w:b/>
        </w:rPr>
        <w:t xml:space="preserve"> </w:t>
      </w:r>
      <w:r>
        <w:t>In the last week of September, the education module was offered to all staff. There were t</w:t>
      </w:r>
      <w:r w:rsidR="007D1800">
        <w:t>wo</w:t>
      </w:r>
      <w:r>
        <w:t xml:space="preserve"> different meeting times during the week to allow for both shifts to attend. </w:t>
      </w:r>
      <w:r w:rsidR="00B339BD">
        <w:t xml:space="preserve">One </w:t>
      </w:r>
      <w:r w:rsidR="00F231BE">
        <w:t xml:space="preserve">offered time was Monday morning at 7:45am and the other was on Wednesday evening at 7:45pm. </w:t>
      </w:r>
      <w:r>
        <w:t xml:space="preserve">Staff nurses attended the </w:t>
      </w:r>
      <w:r w:rsidR="000562AE">
        <w:rPr>
          <w:szCs w:val="24"/>
        </w:rPr>
        <w:t>education module</w:t>
      </w:r>
      <w:r w:rsidR="000562AE">
        <w:t xml:space="preserve"> </w:t>
      </w:r>
      <w:r>
        <w:t xml:space="preserve">either on their day off or after a </w:t>
      </w:r>
      <w:r>
        <w:lastRenderedPageBreak/>
        <w:t xml:space="preserve">scheduled shift. A meeting room was secured in the administration building with access to a computer and screen for the Microsoft® PowerPoint presentation. </w:t>
      </w:r>
      <w:r w:rsidR="00F231BE">
        <w:t xml:space="preserve">Table and chairs were placed in a U formation, so all attendees could view the presentation. </w:t>
      </w:r>
      <w:r w:rsidR="00497AE1">
        <w:t xml:space="preserve">Attendees were asked to sign in </w:t>
      </w:r>
      <w:r w:rsidR="00122966">
        <w:t xml:space="preserve">upon entering the meeting room </w:t>
      </w:r>
      <w:r w:rsidR="00497AE1">
        <w:t>and received 1.0 CNE credit</w:t>
      </w:r>
      <w:r w:rsidR="00122966">
        <w:t xml:space="preserve"> provided they attended 80% of the </w:t>
      </w:r>
      <w:r w:rsidR="000562AE">
        <w:rPr>
          <w:szCs w:val="24"/>
        </w:rPr>
        <w:t>education module</w:t>
      </w:r>
      <w:r w:rsidR="00497AE1">
        <w:t>.</w:t>
      </w:r>
      <w:r w:rsidR="006E673F">
        <w:t xml:space="preserve"> </w:t>
      </w:r>
    </w:p>
    <w:p w14:paraId="727367F7" w14:textId="3ADFD64F" w:rsidR="00EB6A11" w:rsidRDefault="00122966" w:rsidP="00EB6A11">
      <w:pPr>
        <w:pStyle w:val="APA"/>
        <w:ind w:firstLine="0"/>
      </w:pPr>
      <w:r>
        <w:tab/>
      </w:r>
      <w:r w:rsidR="00F231BE">
        <w:t xml:space="preserve">The education module lasted one hour and included didactic, and individual and group activities. </w:t>
      </w:r>
      <w:r w:rsidR="00847872">
        <w:t xml:space="preserve">A short clip from the film </w:t>
      </w:r>
      <w:r w:rsidR="00847872" w:rsidRPr="00497AE1">
        <w:rPr>
          <w:i/>
        </w:rPr>
        <w:t>Gen Silent</w:t>
      </w:r>
      <w:r w:rsidR="00847872">
        <w:t xml:space="preserve"> was </w:t>
      </w:r>
      <w:r w:rsidR="00497AE1">
        <w:t xml:space="preserve">also </w:t>
      </w:r>
      <w:r w:rsidR="00F231BE">
        <w:t>shown at the beginning of the presentation.</w:t>
      </w:r>
      <w:r w:rsidR="00847872">
        <w:t xml:space="preserve"> </w:t>
      </w:r>
      <w:r w:rsidR="00497AE1">
        <w:t>The activities included understanding terminology, a self-awareness activity, and development and use of inclusive language and questions using patient scenarios.</w:t>
      </w:r>
      <w:r w:rsidR="00847872">
        <w:t xml:space="preserve"> </w:t>
      </w:r>
      <w:r w:rsidR="00497AE1">
        <w:t xml:space="preserve">For the terminology activity, </w:t>
      </w:r>
      <w:r w:rsidR="00C83588">
        <w:t>attendees</w:t>
      </w:r>
      <w:r w:rsidR="00497AE1">
        <w:t xml:space="preserve"> were each given 1-2 terms with the definition to read aloud to the group</w:t>
      </w:r>
      <w:r w:rsidR="000527B9">
        <w:t xml:space="preserve"> and for them to use the word in a sentence</w:t>
      </w:r>
      <w:r w:rsidR="00497AE1">
        <w:t xml:space="preserve">. Having each attendee read the definition </w:t>
      </w:r>
      <w:r w:rsidR="000527B9">
        <w:t xml:space="preserve">and use it in a sentence </w:t>
      </w:r>
      <w:r w:rsidR="00497AE1">
        <w:t xml:space="preserve">allowed </w:t>
      </w:r>
      <w:r w:rsidR="000527B9">
        <w:t>a safe opportunity to understand the</w:t>
      </w:r>
      <w:r w:rsidR="00497AE1">
        <w:t xml:space="preserve"> term and fostered discussion about the term and its meaning and appropriate use.  Some of the terms included </w:t>
      </w:r>
      <w:r w:rsidR="000527B9">
        <w:t xml:space="preserve">were </w:t>
      </w:r>
      <w:r w:rsidR="00497AE1">
        <w:t>lesbian, transgender, queer, cisgender, intersex and two-spirit.</w:t>
      </w:r>
    </w:p>
    <w:p w14:paraId="0EC111F6" w14:textId="6D903E3C" w:rsidR="0028619C" w:rsidRDefault="000527B9" w:rsidP="00EB6A11">
      <w:pPr>
        <w:pStyle w:val="APA"/>
        <w:ind w:firstLine="0"/>
      </w:pPr>
      <w:r>
        <w:tab/>
        <w:t xml:space="preserve">For the self-awareness activity, questions were asked to the entire group to aid in self-reflection of their own beliefs and attitudes. Open discussion of these questions did not occur as the exercise was meant for each individual participant to reflect on their individual attitudes and beliefs. Questions posed addressed not only attitudes towards persons </w:t>
      </w:r>
      <w:r w:rsidR="00463B9F">
        <w:t xml:space="preserve">who identify as </w:t>
      </w:r>
      <w:r>
        <w:t xml:space="preserve">lesbian </w:t>
      </w:r>
      <w:r w:rsidR="00463B9F">
        <w:t>or</w:t>
      </w:r>
      <w:r>
        <w:t xml:space="preserve"> gay</w:t>
      </w:r>
      <w:r w:rsidR="00463B9F">
        <w:t>,</w:t>
      </w:r>
      <w:r>
        <w:t xml:space="preserve"> but also to</w:t>
      </w:r>
      <w:r w:rsidR="00463B9F">
        <w:t xml:space="preserve"> patients with </w:t>
      </w:r>
      <w:r>
        <w:t>different religions</w:t>
      </w:r>
      <w:r w:rsidR="00463B9F">
        <w:t xml:space="preserve"> and socioeconomic status.  The last group activity had the attendees join in pairs. Each group was given a patient scenario in which they had to develop inclusive language and questions that they thought would be appropriate to use in the situation.  There was active participation from all attendees and thoughtful discussion occurred as a result from the activities.</w:t>
      </w:r>
      <w:r w:rsidR="0028619C">
        <w:t xml:space="preserve"> The director of the education department along with </w:t>
      </w:r>
      <w:r w:rsidR="0028619C">
        <w:lastRenderedPageBreak/>
        <w:t>clinical leadership team members were also in attendance and participated in the activities for evaluative purposes.</w:t>
      </w:r>
    </w:p>
    <w:p w14:paraId="5077A3F3" w14:textId="0D2F828D" w:rsidR="00EB6A11" w:rsidRDefault="00EB6A11" w:rsidP="007D1800">
      <w:pPr>
        <w:pStyle w:val="APA"/>
        <w:ind w:firstLine="0"/>
      </w:pPr>
      <w:r>
        <w:tab/>
      </w:r>
      <w:r w:rsidRPr="00D024D2">
        <w:rPr>
          <w:b/>
        </w:rPr>
        <w:t xml:space="preserve">Post-Education </w:t>
      </w:r>
      <w:r>
        <w:rPr>
          <w:b/>
        </w:rPr>
        <w:t>m</w:t>
      </w:r>
      <w:r w:rsidRPr="00D024D2">
        <w:rPr>
          <w:b/>
        </w:rPr>
        <w:t>odule</w:t>
      </w:r>
      <w:r>
        <w:rPr>
          <w:b/>
        </w:rPr>
        <w:t xml:space="preserve">.  </w:t>
      </w:r>
      <w:r>
        <w:t>After implementation of the inclusive education module</w:t>
      </w:r>
      <w:r w:rsidR="00463B9F">
        <w:t xml:space="preserve"> attendees were asked to fill out the evaluation forms. The evaluations included </w:t>
      </w:r>
      <w:r w:rsidR="00725ADF">
        <w:t xml:space="preserve">a standard </w:t>
      </w:r>
      <w:r w:rsidR="00463B9F">
        <w:t>one for the CNE</w:t>
      </w:r>
      <w:r w:rsidR="00C729E7">
        <w:t xml:space="preserve"> (</w:t>
      </w:r>
      <w:r w:rsidR="00D540C5">
        <w:t xml:space="preserve">see </w:t>
      </w:r>
      <w:r w:rsidR="00C729E7">
        <w:t xml:space="preserve">Appendix </w:t>
      </w:r>
      <w:r w:rsidR="00D540C5">
        <w:t>B</w:t>
      </w:r>
      <w:r w:rsidR="00C729E7">
        <w:t>)</w:t>
      </w:r>
      <w:r w:rsidR="00463B9F">
        <w:t xml:space="preserve"> and one questionnaire developed by the student project director</w:t>
      </w:r>
      <w:r w:rsidR="00D13398">
        <w:t xml:space="preserve"> </w:t>
      </w:r>
      <w:r w:rsidR="00C729E7">
        <w:t>(</w:t>
      </w:r>
      <w:r w:rsidR="00D540C5">
        <w:t xml:space="preserve">see </w:t>
      </w:r>
      <w:r w:rsidR="00C729E7">
        <w:t xml:space="preserve">Appendix </w:t>
      </w:r>
      <w:r w:rsidR="00D540C5">
        <w:t>C</w:t>
      </w:r>
      <w:r w:rsidR="00C729E7">
        <w:t xml:space="preserve">). </w:t>
      </w:r>
      <w:r w:rsidR="007D1800">
        <w:t xml:space="preserve">The evaluations required for the CNE were evaluated for comments regarding the </w:t>
      </w:r>
      <w:r w:rsidR="000562AE">
        <w:rPr>
          <w:szCs w:val="24"/>
        </w:rPr>
        <w:t>education module</w:t>
      </w:r>
      <w:r w:rsidR="007D1800">
        <w:t xml:space="preserve">. </w:t>
      </w:r>
      <w:r w:rsidR="00725ADF">
        <w:t xml:space="preserve">The student project director’s questionnaire was collected for evaluation of project outcome success and to evaluate anticipated change in practice. </w:t>
      </w:r>
      <w:r w:rsidR="00C83588">
        <w:t>Attendees</w:t>
      </w:r>
      <w:r w:rsidR="007268C4">
        <w:t xml:space="preserve"> were given a multicolored marker for </w:t>
      </w:r>
      <w:r w:rsidR="005561B3">
        <w:t xml:space="preserve">coming to </w:t>
      </w:r>
      <w:r w:rsidR="007268C4">
        <w:t xml:space="preserve">the presentation. </w:t>
      </w:r>
    </w:p>
    <w:p w14:paraId="3770CC81" w14:textId="1977136E" w:rsidR="0028619C" w:rsidRDefault="0028619C" w:rsidP="007D1800">
      <w:pPr>
        <w:pStyle w:val="APA"/>
        <w:ind w:firstLine="0"/>
      </w:pPr>
      <w:r>
        <w:tab/>
        <w:t xml:space="preserve">Discussions with the clinical management team occurred to solicit feedback about the education module. Feedback included evaluation of the module and recommendations for </w:t>
      </w:r>
      <w:r w:rsidR="00346495">
        <w:t xml:space="preserve">additional content or changes to current module. </w:t>
      </w:r>
      <w:r w:rsidR="00773717">
        <w:t xml:space="preserve">A report on the education module was provided to the inclusion committee with interprofessional discussion. </w:t>
      </w:r>
      <w:r w:rsidR="00346495">
        <w:t>A meeting between the director of the education department and site champion also occurred to address sustainability of the education module within the organization for annual training and at time of new hire orientation.</w:t>
      </w:r>
    </w:p>
    <w:p w14:paraId="5C11DC3E" w14:textId="54475CFF" w:rsidR="00515E9A" w:rsidRDefault="00EB6A11" w:rsidP="00EB6A11">
      <w:pPr>
        <w:pStyle w:val="APA"/>
        <w:ind w:firstLine="0"/>
        <w:rPr>
          <w:b/>
        </w:rPr>
      </w:pPr>
      <w:r w:rsidRPr="00475032">
        <w:rPr>
          <w:b/>
        </w:rPr>
        <w:t>Summary</w:t>
      </w:r>
      <w:r>
        <w:rPr>
          <w:b/>
        </w:rPr>
        <w:t xml:space="preserve"> </w:t>
      </w:r>
    </w:p>
    <w:p w14:paraId="439B508D" w14:textId="6605C826" w:rsidR="009A5853" w:rsidRDefault="00515E9A" w:rsidP="00EB6A11">
      <w:pPr>
        <w:pStyle w:val="APA"/>
        <w:ind w:firstLine="0"/>
      </w:pPr>
      <w:r>
        <w:tab/>
      </w:r>
      <w:r w:rsidR="00EB6A11" w:rsidRPr="00D024D2">
        <w:t>Implementation of t</w:t>
      </w:r>
      <w:r w:rsidR="00EB6A11">
        <w:t xml:space="preserve">his DNP project was successful. The </w:t>
      </w:r>
      <w:r w:rsidR="000562AE">
        <w:rPr>
          <w:szCs w:val="24"/>
        </w:rPr>
        <w:t>education module</w:t>
      </w:r>
      <w:r w:rsidR="00705813">
        <w:t xml:space="preserve"> </w:t>
      </w:r>
      <w:r w:rsidR="00EB6A11">
        <w:t xml:space="preserve">was well received by staff and the leadership team provided support and encouragement throughout the </w:t>
      </w:r>
      <w:r w:rsidR="00D91913">
        <w:t xml:space="preserve">process. </w:t>
      </w:r>
      <w:r w:rsidR="00705813">
        <w:t>Project implementation went as planned with 30% of the hospice home staff attending between the two offerings. A 1.0 CNE was provided as planned and evaluations</w:t>
      </w:r>
      <w:r w:rsidR="00775B22">
        <w:t xml:space="preserve"> were distributed and collected for both the CNE and for the student project director data collection. Many </w:t>
      </w:r>
      <w:r w:rsidR="00C83588">
        <w:t>attendees</w:t>
      </w:r>
      <w:r w:rsidR="00775B22">
        <w:t xml:space="preserve">’ voiced appreciation of the </w:t>
      </w:r>
      <w:r w:rsidR="000562AE">
        <w:rPr>
          <w:szCs w:val="24"/>
        </w:rPr>
        <w:t>education module</w:t>
      </w:r>
      <w:r w:rsidR="00775B22">
        <w:t xml:space="preserve"> and acknowledged that new knowledge was obtained. </w:t>
      </w:r>
      <w:r w:rsidR="00C83588">
        <w:t>Attendees</w:t>
      </w:r>
      <w:r w:rsidR="00775B22">
        <w:t xml:space="preserve"> particularly voiced positive feedback on the terminology activity.</w:t>
      </w:r>
    </w:p>
    <w:p w14:paraId="71F2DDAA" w14:textId="57ECB22B" w:rsidR="005736AA" w:rsidRDefault="009A5853" w:rsidP="00420D7B">
      <w:pPr>
        <w:jc w:val="center"/>
        <w:rPr>
          <w:b/>
          <w:sz w:val="24"/>
          <w:szCs w:val="24"/>
        </w:rPr>
      </w:pPr>
      <w:r>
        <w:br w:type="page"/>
      </w:r>
      <w:r w:rsidR="005736AA">
        <w:rPr>
          <w:b/>
          <w:sz w:val="24"/>
          <w:szCs w:val="24"/>
        </w:rPr>
        <w:lastRenderedPageBreak/>
        <w:t>Chapter Six:  Evaluation of the Practice Change Initiative</w:t>
      </w:r>
    </w:p>
    <w:p w14:paraId="0D2EBEC4" w14:textId="2FD5ADA3" w:rsidR="005736AA" w:rsidRDefault="005736AA" w:rsidP="005736AA">
      <w:pPr>
        <w:pStyle w:val="APA"/>
        <w:rPr>
          <w:b/>
        </w:rPr>
      </w:pPr>
      <w:r>
        <w:t xml:space="preserve">After implementation of the </w:t>
      </w:r>
      <w:r w:rsidR="00E21D68">
        <w:t xml:space="preserve">Doctor in Nursing Practice (DNP) </w:t>
      </w:r>
      <w:r>
        <w:t xml:space="preserve"> project, evaluation of the practice change initiative was conducted. Evaluative measures included determining if the pre-implementation goal of  a specified percentage of  attendees was obtained and evaluate the feedback provided by </w:t>
      </w:r>
      <w:r w:rsidR="00C83588">
        <w:t>attendees</w:t>
      </w:r>
      <w:r>
        <w:t xml:space="preserve"> through surveys and anecdotal conversation. A</w:t>
      </w:r>
      <w:r w:rsidR="002367DE">
        <w:t>dditional</w:t>
      </w:r>
      <w:r>
        <w:t xml:space="preserve"> evaluative measure</w:t>
      </w:r>
      <w:r w:rsidR="002367DE">
        <w:t>s</w:t>
      </w:r>
      <w:r>
        <w:t xml:space="preserve"> </w:t>
      </w:r>
      <w:r w:rsidR="002367DE">
        <w:t>were</w:t>
      </w:r>
      <w:r>
        <w:t xml:space="preserve"> to determine if the education module had been implemented to new staff at orientation</w:t>
      </w:r>
      <w:r w:rsidR="002367DE">
        <w:t xml:space="preserve"> and available to all employees</w:t>
      </w:r>
      <w:r>
        <w:t>. The purpose of this chapter is to discuss the evaluative measures in detail.</w:t>
      </w:r>
    </w:p>
    <w:p w14:paraId="5559305B" w14:textId="77777777" w:rsidR="005736AA" w:rsidRDefault="005736AA" w:rsidP="005736AA">
      <w:pPr>
        <w:spacing w:after="0"/>
        <w:rPr>
          <w:b/>
          <w:sz w:val="24"/>
          <w:szCs w:val="24"/>
        </w:rPr>
      </w:pPr>
      <w:r>
        <w:rPr>
          <w:b/>
          <w:sz w:val="24"/>
          <w:szCs w:val="24"/>
        </w:rPr>
        <w:t>Participant Demographics</w:t>
      </w:r>
    </w:p>
    <w:p w14:paraId="59A0F404" w14:textId="24399D07" w:rsidR="005736AA" w:rsidRDefault="005736AA" w:rsidP="005736AA">
      <w:pPr>
        <w:pStyle w:val="APA"/>
        <w:ind w:firstLine="0"/>
      </w:pPr>
      <w:r>
        <w:rPr>
          <w:szCs w:val="24"/>
        </w:rPr>
        <w:tab/>
        <w:t xml:space="preserve">An education module on use of inclusive language and terminology was provided to the inpatient hospice home staff.  The purpose of the education module was to provide staff with information on creating a safe space for </w:t>
      </w:r>
      <w:r w:rsidR="000C7D04">
        <w:rPr>
          <w:szCs w:val="24"/>
        </w:rPr>
        <w:t>lesbian, gay, bisexual, transgender, queer/questioning</w:t>
      </w:r>
      <w:r w:rsidR="00DE6335">
        <w:rPr>
          <w:szCs w:val="24"/>
        </w:rPr>
        <w:t xml:space="preserve"> (</w:t>
      </w:r>
      <w:r>
        <w:rPr>
          <w:szCs w:val="24"/>
        </w:rPr>
        <w:t>LGBTQ</w:t>
      </w:r>
      <w:r w:rsidR="00DE6335">
        <w:rPr>
          <w:szCs w:val="24"/>
        </w:rPr>
        <w:t>)</w:t>
      </w:r>
      <w:r>
        <w:rPr>
          <w:szCs w:val="24"/>
        </w:rPr>
        <w:t xml:space="preserve"> population. </w:t>
      </w:r>
      <w:r>
        <w:t xml:space="preserve">There was a combined total of 22 </w:t>
      </w:r>
      <w:r w:rsidR="00E12B3A">
        <w:t xml:space="preserve">out of 66 potential </w:t>
      </w:r>
      <w:r>
        <w:t>attendees</w:t>
      </w:r>
      <w:r w:rsidR="00E12B3A">
        <w:t xml:space="preserve"> (33%)</w:t>
      </w:r>
      <w:r>
        <w:t xml:space="preserve"> for the </w:t>
      </w:r>
      <w:r w:rsidR="000562AE">
        <w:rPr>
          <w:szCs w:val="24"/>
        </w:rPr>
        <w:t>education module</w:t>
      </w:r>
      <w:r>
        <w:t xml:space="preserve">.  Attendees were asked to identify their current role in the organization.  It was important to collect this data to evaluate if there were any differences in practice change between the roles of registered nurses and certified nursing assistants. All 22 </w:t>
      </w:r>
      <w:r w:rsidR="00C83588">
        <w:t>attendees</w:t>
      </w:r>
      <w:r>
        <w:t xml:space="preserve"> responded with 13 identifying as a registered nurse, one as a licensed practical nurse, seven as certified nursing assistants and one in the other category (see Figure 1).</w:t>
      </w:r>
    </w:p>
    <w:p w14:paraId="0EBE18F2" w14:textId="77777777" w:rsidR="005736AA" w:rsidRDefault="005736AA" w:rsidP="005736AA">
      <w:pPr>
        <w:pStyle w:val="APA"/>
        <w:ind w:firstLine="0"/>
        <w:rPr>
          <w:i/>
        </w:rPr>
      </w:pPr>
    </w:p>
    <w:p w14:paraId="2DCFA713" w14:textId="77777777" w:rsidR="005736AA" w:rsidRDefault="005736AA" w:rsidP="005736AA">
      <w:pPr>
        <w:pStyle w:val="APA"/>
        <w:ind w:firstLine="0"/>
        <w:rPr>
          <w:i/>
        </w:rPr>
      </w:pPr>
    </w:p>
    <w:p w14:paraId="12494F5C" w14:textId="77777777" w:rsidR="005736AA" w:rsidRDefault="005736AA" w:rsidP="005736AA">
      <w:pPr>
        <w:pStyle w:val="APA"/>
        <w:ind w:firstLine="0"/>
        <w:rPr>
          <w:i/>
        </w:rPr>
      </w:pPr>
    </w:p>
    <w:p w14:paraId="21762C87" w14:textId="77777777" w:rsidR="005736AA" w:rsidRDefault="005736AA" w:rsidP="005736AA">
      <w:pPr>
        <w:pStyle w:val="APA"/>
        <w:ind w:firstLine="0"/>
        <w:rPr>
          <w:i/>
        </w:rPr>
      </w:pPr>
    </w:p>
    <w:p w14:paraId="4D97020C" w14:textId="77777777" w:rsidR="005736AA" w:rsidRDefault="005736AA" w:rsidP="005736AA">
      <w:pPr>
        <w:pStyle w:val="APA"/>
        <w:ind w:firstLine="0"/>
        <w:rPr>
          <w:i/>
        </w:rPr>
      </w:pPr>
    </w:p>
    <w:p w14:paraId="549117DE" w14:textId="77777777" w:rsidR="005736AA" w:rsidRDefault="005736AA" w:rsidP="005736AA">
      <w:pPr>
        <w:pStyle w:val="APA"/>
        <w:ind w:firstLine="0"/>
      </w:pPr>
      <w:r w:rsidRPr="00497AA2">
        <w:rPr>
          <w:i/>
        </w:rPr>
        <w:lastRenderedPageBreak/>
        <w:t>Figure 1.</w:t>
      </w:r>
      <w:r>
        <w:t xml:space="preserve"> Identified Roles of Attendees </w:t>
      </w:r>
    </w:p>
    <w:p w14:paraId="5D4D7225" w14:textId="77777777" w:rsidR="005736AA" w:rsidRDefault="005736AA" w:rsidP="005736AA">
      <w:pPr>
        <w:pStyle w:val="APA"/>
        <w:ind w:firstLine="0"/>
      </w:pPr>
      <w:r>
        <w:rPr>
          <w:noProof/>
        </w:rPr>
        <w:drawing>
          <wp:anchor distT="0" distB="0" distL="114300" distR="114300" simplePos="0" relativeHeight="251660288" behindDoc="0" locked="0" layoutInCell="1" allowOverlap="1" wp14:anchorId="6242B0E1" wp14:editId="47557CCD">
            <wp:simplePos x="0" y="0"/>
            <wp:positionH relativeFrom="margin">
              <wp:align>left</wp:align>
            </wp:positionH>
            <wp:positionV relativeFrom="paragraph">
              <wp:posOffset>0</wp:posOffset>
            </wp:positionV>
            <wp:extent cx="3857625" cy="2266950"/>
            <wp:effectExtent l="0" t="0" r="9525" b="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p>
    <w:p w14:paraId="7F20DA37" w14:textId="77777777" w:rsidR="005736AA" w:rsidRPr="00757D81" w:rsidRDefault="005736AA" w:rsidP="005736AA"/>
    <w:p w14:paraId="2A607BF3" w14:textId="77777777" w:rsidR="005736AA" w:rsidRDefault="005736AA" w:rsidP="005736AA">
      <w:pPr>
        <w:pStyle w:val="APA"/>
        <w:ind w:firstLine="0"/>
      </w:pPr>
    </w:p>
    <w:p w14:paraId="527FD871" w14:textId="77777777" w:rsidR="005736AA" w:rsidRDefault="005736AA" w:rsidP="005736AA">
      <w:pPr>
        <w:pStyle w:val="APA"/>
        <w:ind w:firstLine="0"/>
      </w:pPr>
    </w:p>
    <w:p w14:paraId="0D9F459D" w14:textId="77777777" w:rsidR="005736AA" w:rsidRDefault="005736AA" w:rsidP="005736AA">
      <w:pPr>
        <w:spacing w:after="0"/>
        <w:rPr>
          <w:b/>
          <w:sz w:val="24"/>
          <w:szCs w:val="24"/>
        </w:rPr>
      </w:pPr>
      <w:r>
        <w:br w:type="textWrapping" w:clear="all"/>
      </w:r>
    </w:p>
    <w:p w14:paraId="323E545B" w14:textId="77777777" w:rsidR="005736AA" w:rsidRDefault="005736AA" w:rsidP="005736AA">
      <w:pPr>
        <w:spacing w:after="0"/>
        <w:rPr>
          <w:b/>
          <w:sz w:val="24"/>
          <w:szCs w:val="24"/>
        </w:rPr>
      </w:pPr>
      <w:r>
        <w:rPr>
          <w:b/>
          <w:sz w:val="24"/>
          <w:szCs w:val="24"/>
        </w:rPr>
        <w:t>Intended Outcomes</w:t>
      </w:r>
    </w:p>
    <w:p w14:paraId="1C36E301" w14:textId="2296BC52" w:rsidR="005736AA" w:rsidRDefault="005736AA" w:rsidP="005736AA">
      <w:pPr>
        <w:pStyle w:val="APA"/>
      </w:pPr>
      <w:r>
        <w:t xml:space="preserve">The intended outcomes for this DNP project were threefold. The first outcome was a  micro- level outcome and stated that 30% of inpatient hospice home staff would attend the education module. Feedback through </w:t>
      </w:r>
      <w:r w:rsidR="003470FD">
        <w:t>post-education</w:t>
      </w:r>
      <w:r>
        <w:t xml:space="preserve"> module survey and anecdotal conversations would indicate intended individualized practice change in use of inclusive language. A 1.0-hour </w:t>
      </w:r>
      <w:r w:rsidR="00DE0E2E">
        <w:rPr>
          <w:szCs w:val="24"/>
        </w:rPr>
        <w:t>Continuing Nurse Education (</w:t>
      </w:r>
      <w:r w:rsidR="00DE0E2E" w:rsidRPr="00534D5E">
        <w:rPr>
          <w:szCs w:val="24"/>
        </w:rPr>
        <w:t>CNE</w:t>
      </w:r>
      <w:r w:rsidR="00DE0E2E">
        <w:rPr>
          <w:szCs w:val="24"/>
        </w:rPr>
        <w:t>)</w:t>
      </w:r>
      <w:r w:rsidR="00DE0E2E" w:rsidRPr="00534D5E">
        <w:rPr>
          <w:szCs w:val="24"/>
        </w:rPr>
        <w:t xml:space="preserve"> </w:t>
      </w:r>
      <w:r>
        <w:t xml:space="preserve"> would be provided to nursing staff upon completion of the education module. Attendance to the education module was imperative to the overall success of the project. </w:t>
      </w:r>
      <w:r w:rsidR="00631C99">
        <w:t xml:space="preserve"> E</w:t>
      </w:r>
      <w:r>
        <w:t xml:space="preserve">ducation on inclusive language, </w:t>
      </w:r>
      <w:r w:rsidR="00437954">
        <w:t xml:space="preserve">promotes </w:t>
      </w:r>
      <w:r>
        <w:t xml:space="preserve">staff </w:t>
      </w:r>
      <w:r w:rsidR="00437954">
        <w:t xml:space="preserve">engagement of creating </w:t>
      </w:r>
      <w:r>
        <w:t xml:space="preserve"> a safe space for LGBTQ patients and families. Successful implementation included organization of time and space for delivery, adequate advertisement, and development and delivery of an evidenced-based education module. </w:t>
      </w:r>
    </w:p>
    <w:p w14:paraId="00AF5CD5" w14:textId="28361834" w:rsidR="005736AA" w:rsidRDefault="005736AA" w:rsidP="005736AA">
      <w:pPr>
        <w:pStyle w:val="APA"/>
      </w:pPr>
      <w:r>
        <w:t xml:space="preserve">The second outcome was on the meso-level. This outcome stated that there would be effective implementation of a LGBTQ specific education module to newly hired staff during  hospice orientation. Providing education on inclusive language, use of open-ended questions and knowledge of terminology aid in creating a safe space for LGBTQ patients and families. By </w:t>
      </w:r>
      <w:r>
        <w:lastRenderedPageBreak/>
        <w:t xml:space="preserve">offering at time of orientation,  new staff would have the tools and information to use inclusive language prior to providing care to persons at end-of-life. To achieve this outcome, </w:t>
      </w:r>
      <w:r w:rsidR="00631C99">
        <w:t xml:space="preserve">positive feedback </w:t>
      </w:r>
      <w:r>
        <w:t xml:space="preserve">in the initial implementation of the education module was important.  </w:t>
      </w:r>
    </w:p>
    <w:p w14:paraId="62890515" w14:textId="1BAE67C3" w:rsidR="005736AA" w:rsidRDefault="005736AA" w:rsidP="005736AA">
      <w:pPr>
        <w:pStyle w:val="APA"/>
      </w:pPr>
      <w:r>
        <w:t xml:space="preserve">On a macro-level, the intended outcome </w:t>
      </w:r>
      <w:r w:rsidR="00437954">
        <w:t>included</w:t>
      </w:r>
      <w:r>
        <w:t xml:space="preserve"> the initiation of an organizational approach to increase use of inclusive language and terminology within the hospice agency.  By providing the education module to all staff allows an opportunity, regardless of role in the organization, to gain the knowledge to utilize inclusive language and questions </w:t>
      </w:r>
      <w:r w:rsidR="008D606D">
        <w:t xml:space="preserve">and </w:t>
      </w:r>
      <w:r>
        <w:t>understand terminology and health disparities that LGBTQ persons face. This knowledge has the potential to improve patient</w:t>
      </w:r>
      <w:r w:rsidR="00631C99">
        <w:t>s</w:t>
      </w:r>
      <w:r>
        <w:t xml:space="preserve"> and famil</w:t>
      </w:r>
      <w:r w:rsidR="00631C99">
        <w:t>ies</w:t>
      </w:r>
      <w:r>
        <w:t xml:space="preserve"> experience by creation of a safe and welcoming space throughout their time as a patient within the organization. Offering the education module to all staff also represents the organizations mission of providing inclusive care to all persons.</w:t>
      </w:r>
    </w:p>
    <w:p w14:paraId="3D94EF31" w14:textId="77777777" w:rsidR="005736AA" w:rsidRDefault="005736AA" w:rsidP="005736AA">
      <w:pPr>
        <w:pStyle w:val="APA"/>
        <w:ind w:firstLine="0"/>
        <w:rPr>
          <w:b/>
          <w:szCs w:val="24"/>
        </w:rPr>
      </w:pPr>
      <w:r>
        <w:rPr>
          <w:b/>
          <w:szCs w:val="24"/>
        </w:rPr>
        <w:t>Findings.</w:t>
      </w:r>
      <w:r>
        <w:rPr>
          <w:b/>
          <w:szCs w:val="24"/>
        </w:rPr>
        <w:tab/>
      </w:r>
    </w:p>
    <w:p w14:paraId="15A8F3B5" w14:textId="25BE4A14" w:rsidR="005736AA" w:rsidRDefault="005736AA" w:rsidP="005736AA">
      <w:pPr>
        <w:pStyle w:val="APA"/>
      </w:pPr>
      <w:r w:rsidRPr="003B68DD">
        <w:rPr>
          <w:b/>
          <w:i/>
          <w:szCs w:val="24"/>
        </w:rPr>
        <w:t>Outcome measurement 1.</w:t>
      </w:r>
      <w:r>
        <w:rPr>
          <w:b/>
          <w:szCs w:val="24"/>
        </w:rPr>
        <w:t xml:space="preserve"> </w:t>
      </w:r>
      <w:r w:rsidR="00A438DE">
        <w:rPr>
          <w:b/>
          <w:i/>
        </w:rPr>
        <w:t xml:space="preserve">  </w:t>
      </w:r>
      <w:r w:rsidR="00A438DE">
        <w:t>Findings suggest that the project has had an impact at the individual level.  For data, collection, a</w:t>
      </w:r>
      <w:r w:rsidR="00C83588">
        <w:t>ttendees</w:t>
      </w:r>
      <w:r>
        <w:t xml:space="preserve"> signed an attendance sheet upon entering the room. This sign in sheet was used to count the number of attendees for the two different times that the education was offered. </w:t>
      </w:r>
      <w:r w:rsidRPr="002A1907">
        <w:t xml:space="preserve"> </w:t>
      </w:r>
      <w:r w:rsidR="00631C99">
        <w:t xml:space="preserve">Twenty </w:t>
      </w:r>
      <w:r>
        <w:t xml:space="preserve">of the </w:t>
      </w:r>
      <w:r w:rsidR="00631C99">
        <w:t>twenty-two</w:t>
      </w:r>
      <w:r>
        <w:t xml:space="preserve"> attendees were employees of the inpatient hospice home which yielded a 30% attendance rate of hospice home staff. Two of the </w:t>
      </w:r>
      <w:r w:rsidR="00C83588">
        <w:t>attendees</w:t>
      </w:r>
      <w:r>
        <w:t xml:space="preserve"> were not counted in this data because one attendee was a field social worker and one attendee was the director of education. Based on this statistic outcome number one was met. </w:t>
      </w:r>
      <w:r>
        <w:tab/>
      </w:r>
    </w:p>
    <w:p w14:paraId="0D9A367B" w14:textId="0BC35C60" w:rsidR="005736AA" w:rsidRDefault="005736AA" w:rsidP="005736AA">
      <w:pPr>
        <w:pStyle w:val="APA"/>
      </w:pPr>
      <w:r>
        <w:t xml:space="preserve">Immediately after the delivery of the education module </w:t>
      </w:r>
      <w:r w:rsidR="00C83588">
        <w:t>attendees</w:t>
      </w:r>
      <w:r>
        <w:t xml:space="preserve"> were asked to fill out an evaluation and post-survey questionnaire. A total of 21 out of 22 (95%) surveys were returned. The post-education module survey consisted of seven questions, one of which pertained to implementation on use of inclusive language and terminology by </w:t>
      </w:r>
      <w:r w:rsidR="00C83588">
        <w:t>attendees</w:t>
      </w:r>
      <w:r>
        <w:t xml:space="preserve"> in the next two </w:t>
      </w:r>
      <w:r>
        <w:lastRenderedPageBreak/>
        <w:t xml:space="preserve">weeks. Data regarding this survey question was positive. Analysis of this data resulted in 20 of 21 (95%)  </w:t>
      </w:r>
      <w:r w:rsidR="00C83588">
        <w:t>attendees</w:t>
      </w:r>
      <w:r w:rsidR="00631C99">
        <w:t xml:space="preserve"> </w:t>
      </w:r>
      <w:r w:rsidR="009B572F">
        <w:t>stating</w:t>
      </w:r>
      <w:r>
        <w:t xml:space="preserve"> they would likely or most likely implement the use of inclusive language and terminology in the next two weeks. Anecdotal conversations were also conducted  four weeks </w:t>
      </w:r>
      <w:r w:rsidR="003470FD">
        <w:t>post-education</w:t>
      </w:r>
      <w:r>
        <w:t xml:space="preserve"> module.  Informal conversations between the student project director and 8 of the 22 attendees (36%) were held in the inpatient hospice home. </w:t>
      </w:r>
      <w:r w:rsidR="00C83588">
        <w:t>Attendees</w:t>
      </w:r>
      <w:r>
        <w:t xml:space="preserve"> were chosen at random based on availability. Review of the anecdotal conversation notes by the student project director reflected an increased awareness among the </w:t>
      </w:r>
      <w:r w:rsidR="00C83588">
        <w:t>attendees</w:t>
      </w:r>
      <w:r>
        <w:t xml:space="preserve"> in terms of care for LGBTQ patients, use of inclusive language and increased knowledge of terminology. </w:t>
      </w:r>
    </w:p>
    <w:p w14:paraId="7028CA59" w14:textId="39E6C307" w:rsidR="005736AA" w:rsidRDefault="005736AA" w:rsidP="005736AA">
      <w:pPr>
        <w:pStyle w:val="APA"/>
      </w:pPr>
      <w:r>
        <w:t xml:space="preserve"> </w:t>
      </w:r>
      <w:r w:rsidR="009B572F">
        <w:t xml:space="preserve">Anecdotal notes were summarized and revealed </w:t>
      </w:r>
      <w:r w:rsidR="000238CE">
        <w:t>t</w:t>
      </w:r>
      <w:r>
        <w:t>hree types of awareness</w:t>
      </w:r>
      <w:r w:rsidR="009B572F">
        <w:t>:</w:t>
      </w:r>
      <w:r w:rsidR="000238CE">
        <w:t xml:space="preserve"> </w:t>
      </w:r>
      <w:r>
        <w:t xml:space="preserve">self, intellectual and perceptual.  </w:t>
      </w:r>
      <w:r w:rsidR="00C83588">
        <w:t>Attendees</w:t>
      </w:r>
      <w:r>
        <w:t xml:space="preserve"> commented on an increase in self-awareness regarding own assumptions and attitudes towards the LGBTQ community. Although most stated they are accepting of this population, they noted that during and after the education module they were able to reflect on their own use or lack of use of inclusive language and the importance of creating a safe space.  An increase in intellectual awareness centered around understanding not only on the use of open-ended non-assumptive questions but also the lack of understanding some </w:t>
      </w:r>
      <w:r w:rsidR="00C83588">
        <w:t>attendees</w:t>
      </w:r>
      <w:r>
        <w:t xml:space="preserve"> had in terminology regarding this population. Perceptual awareness was bringing the known need to use inclusive language from peripheral recognition to central recognition and to make an intentional effort to use inclusive language. The education module served as a reminder the importance to use inclusive language with all patients and families. </w:t>
      </w:r>
    </w:p>
    <w:p w14:paraId="67E7A4FA" w14:textId="60BB8665" w:rsidR="005736AA" w:rsidRDefault="005736AA" w:rsidP="005736AA">
      <w:pPr>
        <w:pStyle w:val="APA"/>
        <w:contextualSpacing/>
      </w:pPr>
      <w:r w:rsidRPr="003B68DD">
        <w:rPr>
          <w:b/>
          <w:i/>
        </w:rPr>
        <w:t>Outcome measurement 2.</w:t>
      </w:r>
      <w:r>
        <w:t xml:space="preserve">  </w:t>
      </w:r>
      <w:r w:rsidR="00A438DE">
        <w:t xml:space="preserve">Findings suggest that the project has had an impact on the unit level.  </w:t>
      </w:r>
      <w:r>
        <w:t xml:space="preserve">The </w:t>
      </w:r>
      <w:r w:rsidR="003470FD">
        <w:t>post-education</w:t>
      </w:r>
      <w:r>
        <w:t xml:space="preserve"> survey </w:t>
      </w:r>
      <w:r w:rsidR="009B572F">
        <w:t xml:space="preserve">consisted of </w:t>
      </w:r>
      <w:r>
        <w:t xml:space="preserve">seven questions, one of which asked </w:t>
      </w:r>
      <w:r w:rsidR="009B572F">
        <w:t>about the availability of the</w:t>
      </w:r>
      <w:r>
        <w:t xml:space="preserve"> education module to hospice employees. </w:t>
      </w:r>
      <w:r w:rsidR="009B572F">
        <w:t xml:space="preserve"> </w:t>
      </w:r>
      <w:r>
        <w:t xml:space="preserve"> In response to the question</w:t>
      </w:r>
      <w:r w:rsidR="000238CE">
        <w:t>,</w:t>
      </w:r>
      <w:r>
        <w:t xml:space="preserve"> </w:t>
      </w:r>
      <w:r w:rsidR="000238CE">
        <w:t>“When do you think the education module should be provided to hospice employees?”,</w:t>
      </w:r>
      <w:r w:rsidR="009B572F">
        <w:t xml:space="preserve"> </w:t>
      </w:r>
      <w:r>
        <w:t xml:space="preserve">15 responded </w:t>
      </w:r>
      <w:r>
        <w:lastRenderedPageBreak/>
        <w:t xml:space="preserve">that the </w:t>
      </w:r>
      <w:r w:rsidR="000562AE">
        <w:rPr>
          <w:szCs w:val="24"/>
        </w:rPr>
        <w:t>education module</w:t>
      </w:r>
      <w:r>
        <w:t xml:space="preserve"> should be provided at both new hire and annually (71%), 2 respondents </w:t>
      </w:r>
      <w:r w:rsidR="009B572F">
        <w:t xml:space="preserve">selected </w:t>
      </w:r>
      <w:r>
        <w:t xml:space="preserve">new hire only (10%), and 4 did not answer the question (19%) (see Figure 2). No </w:t>
      </w:r>
      <w:r w:rsidR="00D85AF2">
        <w:t>a</w:t>
      </w:r>
      <w:r w:rsidR="00C83588">
        <w:t>ttendees</w:t>
      </w:r>
      <w:r>
        <w:t xml:space="preserve"> </w:t>
      </w:r>
      <w:r w:rsidR="009B572F">
        <w:t xml:space="preserve">selected </w:t>
      </w:r>
      <w:r>
        <w:t xml:space="preserve">either annually only or never. </w:t>
      </w:r>
    </w:p>
    <w:p w14:paraId="3CB0F359" w14:textId="77777777" w:rsidR="005736AA" w:rsidRPr="00B50AFC" w:rsidRDefault="005736AA" w:rsidP="005736AA">
      <w:pPr>
        <w:pStyle w:val="APA"/>
        <w:contextualSpacing/>
      </w:pPr>
      <w:r>
        <w:rPr>
          <w:i/>
        </w:rPr>
        <w:t xml:space="preserve">Figure 2: </w:t>
      </w:r>
      <w:r>
        <w:t>When Education Module Should Be Provided</w:t>
      </w:r>
    </w:p>
    <w:p w14:paraId="6B745FB7" w14:textId="77777777" w:rsidR="005736AA" w:rsidRDefault="005736AA" w:rsidP="005736AA">
      <w:pPr>
        <w:pStyle w:val="APA"/>
        <w:contextualSpacing/>
      </w:pPr>
      <w:r>
        <w:rPr>
          <w:noProof/>
        </w:rPr>
        <w:drawing>
          <wp:inline distT="0" distB="0" distL="0" distR="0" wp14:anchorId="192A420F" wp14:editId="0534EFC7">
            <wp:extent cx="4352925" cy="210502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A88ED22" w14:textId="5775DEE2" w:rsidR="005736AA" w:rsidRDefault="005736AA" w:rsidP="005736AA">
      <w:pPr>
        <w:pStyle w:val="APA"/>
        <w:contextualSpacing/>
      </w:pPr>
      <w:r>
        <w:t xml:space="preserve">The site champion and student project director met and discussed the current education offerings available through the organization to employees regarding care of the LGBTQ population. Inclusive language, terminology, and use of open-ended questions during intake, the admission process, and in general were discussed in detail. </w:t>
      </w:r>
      <w:r w:rsidR="00C54822">
        <w:t xml:space="preserve">This discussion uncovered that there  </w:t>
      </w:r>
      <w:r>
        <w:t xml:space="preserve"> were limited education modules offered by the organization. The site champion remarked that the education module provided through the DNP project was the first-time education on LGBTQ had occurred at the organization. </w:t>
      </w:r>
    </w:p>
    <w:p w14:paraId="21FE22B8" w14:textId="52D249A2" w:rsidR="005736AA" w:rsidRDefault="00C54822" w:rsidP="005736AA">
      <w:pPr>
        <w:pStyle w:val="APA"/>
        <w:contextualSpacing/>
      </w:pPr>
      <w:r>
        <w:t xml:space="preserve">While the entire education module was provided to the unit staff, a modified version of the module was implemented beginning January 2019 </w:t>
      </w:r>
      <w:r w:rsidR="005736AA">
        <w:t>into new hire orientation</w:t>
      </w:r>
      <w:r>
        <w:t>.  This modification was</w:t>
      </w:r>
      <w:r w:rsidR="005736AA">
        <w:t xml:space="preserve"> due to a lack of available time in the current new hire orientation schedule.  </w:t>
      </w:r>
      <w:r>
        <w:t xml:space="preserve"> </w:t>
      </w:r>
      <w:r w:rsidR="005736AA">
        <w:t xml:space="preserve"> </w:t>
      </w:r>
      <w:r>
        <w:t>The modified module</w:t>
      </w:r>
      <w:r w:rsidR="005736AA">
        <w:t xml:space="preserve"> has been incorporated in one of the current new hire orientation modules regarding culture and providing culturally competent care. </w:t>
      </w:r>
      <w:r w:rsidR="00000AD0">
        <w:t xml:space="preserve">The content covered is the portion on </w:t>
      </w:r>
      <w:r w:rsidR="00000AD0">
        <w:lastRenderedPageBreak/>
        <w:t>the use of inclusive language and is 10 minutes in length. This content</w:t>
      </w:r>
      <w:r w:rsidR="005736AA">
        <w:t xml:space="preserve"> is delivered by the site champion as an educator from the education department</w:t>
      </w:r>
      <w:r w:rsidR="00A438DE">
        <w:t>.</w:t>
      </w:r>
    </w:p>
    <w:p w14:paraId="2D86BFDE" w14:textId="2892BBCF" w:rsidR="005736AA" w:rsidRDefault="005736AA" w:rsidP="005736AA">
      <w:pPr>
        <w:pStyle w:val="APA"/>
        <w:contextualSpacing/>
      </w:pPr>
      <w:r w:rsidRPr="007808FF">
        <w:rPr>
          <w:b/>
          <w:i/>
        </w:rPr>
        <w:t>Outcome measurement 3</w:t>
      </w:r>
      <w:r>
        <w:rPr>
          <w:b/>
          <w:i/>
        </w:rPr>
        <w:t xml:space="preserve">.  </w:t>
      </w:r>
      <w:r w:rsidR="00954560">
        <w:t xml:space="preserve">Findings suggest that the project has had an impact on the organizational level.  </w:t>
      </w:r>
      <w:r w:rsidRPr="00312D6D">
        <w:t xml:space="preserve">One of the </w:t>
      </w:r>
      <w:r w:rsidR="00927971">
        <w:t xml:space="preserve">seven </w:t>
      </w:r>
      <w:r w:rsidRPr="00312D6D">
        <w:t xml:space="preserve">post-education survey questions asked </w:t>
      </w:r>
      <w:r w:rsidR="00A438DE">
        <w:t xml:space="preserve">”Which employees do you think would benefit from this education module?” </w:t>
      </w:r>
      <w:r>
        <w:rPr>
          <w:b/>
          <w:i/>
        </w:rPr>
        <w:t xml:space="preserve"> </w:t>
      </w:r>
      <w:r w:rsidR="00C54822">
        <w:t>All</w:t>
      </w:r>
      <w:r>
        <w:t xml:space="preserve"> </w:t>
      </w:r>
      <w:r w:rsidR="00D85AF2">
        <w:t>a</w:t>
      </w:r>
      <w:r w:rsidR="00C83588">
        <w:t>ttendees</w:t>
      </w:r>
      <w:r>
        <w:t xml:space="preserve"> (100%) responded that all employees would benefit from the education module. The director of the education department and site champion </w:t>
      </w:r>
      <w:r w:rsidR="00C54822">
        <w:t>echoed this sentiment.  B</w:t>
      </w:r>
      <w:r>
        <w:t>oth felt that the full education module should be offered to all employees, including the leadership team, beginning in May 2019 with one to two additional dates this calendar year. The director of the education department suggested that the education module also be offered to volunteer services and in one of the evening seminars provided by the organization to the staff of community agencies. These agencies include long term care facilities and assisted living centers that provide daily care to patients enrolled in the organization’s hospice services.  Overall, there has been an initiation of an approach to increase use of inclusive language and terminology within the hospice agency.</w:t>
      </w:r>
    </w:p>
    <w:p w14:paraId="257B6504" w14:textId="77777777" w:rsidR="005736AA" w:rsidRDefault="005736AA" w:rsidP="005736AA">
      <w:pPr>
        <w:pStyle w:val="APA"/>
        <w:contextualSpacing/>
      </w:pPr>
      <w:r>
        <w:t>The inclusion steering committee, in which the student project director was a member, did discuss the need for LGBTQ education on a broader scale and developed priorities for 2019. One internal focus priority included creating a series of educational sessions to educate all employees on topics such as cultural humility, unconscious bias, and LGBTQ support and advocacy. A community focused priority included to create and deliver programming for members of LGBTQ communities and their health care providers as it relates to care of patients with serious illnesses or end of life care.</w:t>
      </w:r>
    </w:p>
    <w:p w14:paraId="7262F231" w14:textId="77777777" w:rsidR="008A28DE" w:rsidRDefault="008A28DE" w:rsidP="005736AA">
      <w:pPr>
        <w:contextualSpacing/>
        <w:rPr>
          <w:b/>
          <w:sz w:val="24"/>
          <w:szCs w:val="24"/>
        </w:rPr>
      </w:pPr>
    </w:p>
    <w:p w14:paraId="5FB00B19" w14:textId="77777777" w:rsidR="008A28DE" w:rsidRDefault="008A28DE" w:rsidP="005736AA">
      <w:pPr>
        <w:contextualSpacing/>
        <w:rPr>
          <w:b/>
          <w:sz w:val="24"/>
          <w:szCs w:val="24"/>
        </w:rPr>
      </w:pPr>
    </w:p>
    <w:p w14:paraId="3F805DFE" w14:textId="58F23A36" w:rsidR="005736AA" w:rsidRDefault="005736AA" w:rsidP="005736AA">
      <w:pPr>
        <w:contextualSpacing/>
        <w:rPr>
          <w:b/>
          <w:sz w:val="24"/>
          <w:szCs w:val="24"/>
        </w:rPr>
      </w:pPr>
      <w:r>
        <w:rPr>
          <w:b/>
          <w:sz w:val="24"/>
          <w:szCs w:val="24"/>
        </w:rPr>
        <w:lastRenderedPageBreak/>
        <w:t>Summary</w:t>
      </w:r>
    </w:p>
    <w:p w14:paraId="3AA2A088" w14:textId="74D42983" w:rsidR="005736AA" w:rsidRDefault="005736AA" w:rsidP="005736AA">
      <w:pPr>
        <w:contextualSpacing/>
        <w:rPr>
          <w:sz w:val="24"/>
          <w:szCs w:val="24"/>
        </w:rPr>
      </w:pPr>
      <w:r w:rsidRPr="00AF2449">
        <w:rPr>
          <w:sz w:val="24"/>
          <w:szCs w:val="24"/>
        </w:rPr>
        <w:tab/>
        <w:t xml:space="preserve">Evaluation of the practice change initiative was conducted for all three stated outcomes. </w:t>
      </w:r>
      <w:r>
        <w:rPr>
          <w:sz w:val="24"/>
          <w:szCs w:val="24"/>
        </w:rPr>
        <w:t xml:space="preserve">The first outcome was met with a 30% attendance rate to the education module by staff from the inpatient hospice home. Most of the </w:t>
      </w:r>
      <w:r w:rsidR="00D85AF2">
        <w:rPr>
          <w:sz w:val="24"/>
          <w:szCs w:val="24"/>
        </w:rPr>
        <w:t>a</w:t>
      </w:r>
      <w:r w:rsidR="00C83588">
        <w:rPr>
          <w:sz w:val="24"/>
          <w:szCs w:val="24"/>
        </w:rPr>
        <w:t>ttendees</w:t>
      </w:r>
      <w:r>
        <w:rPr>
          <w:sz w:val="24"/>
          <w:szCs w:val="24"/>
        </w:rPr>
        <w:t xml:space="preserve"> stated they would implement the use of inclusive language as a practice change within two weeks. Registered nurses received a 1.0 CNE credit for attendance.  The second outcome was partially met as only a portion of the education module is implemented into new hire orientation. The portion that is incorporated is the content regarding use of inclusive language.</w:t>
      </w:r>
      <w:r w:rsidR="00927971">
        <w:rPr>
          <w:sz w:val="24"/>
          <w:szCs w:val="24"/>
        </w:rPr>
        <w:t xml:space="preserve"> </w:t>
      </w:r>
      <w:r>
        <w:rPr>
          <w:sz w:val="24"/>
          <w:szCs w:val="24"/>
        </w:rPr>
        <w:t>The third outcome was also met.  The organization has recognized the need for education on LGBTQ populations.  The inclusion committee and education department have recognized and prioritized an increased need for education modules both internal and external to the organization.  This demonstrates an initiation by the organization to increase use of inclusive language and terminology. This increased use of inclusive language and terminology provides a foundation for best practices in providing culturally sensitive care to LGBTQ communities.</w:t>
      </w:r>
    </w:p>
    <w:p w14:paraId="0BF55149" w14:textId="77777777" w:rsidR="005736AA" w:rsidRPr="00AF2449" w:rsidRDefault="005736AA" w:rsidP="005736AA">
      <w:pPr>
        <w:contextualSpacing/>
        <w:rPr>
          <w:sz w:val="24"/>
          <w:szCs w:val="24"/>
        </w:rPr>
      </w:pPr>
    </w:p>
    <w:p w14:paraId="5D3C02C2" w14:textId="77777777" w:rsidR="005736AA" w:rsidRDefault="005736AA" w:rsidP="005736AA">
      <w:pPr>
        <w:rPr>
          <w:rFonts w:eastAsia="Calibri"/>
          <w:b/>
          <w:sz w:val="24"/>
          <w:szCs w:val="24"/>
        </w:rPr>
      </w:pPr>
      <w:r>
        <w:rPr>
          <w:rFonts w:eastAsia="Calibri"/>
          <w:b/>
          <w:sz w:val="24"/>
          <w:szCs w:val="24"/>
        </w:rPr>
        <w:br w:type="page"/>
      </w:r>
    </w:p>
    <w:p w14:paraId="64313D88" w14:textId="77777777" w:rsidR="005736AA" w:rsidRPr="00D957BC" w:rsidRDefault="005736AA" w:rsidP="003A287D">
      <w:pPr>
        <w:spacing w:after="0"/>
        <w:contextualSpacing/>
        <w:jc w:val="center"/>
        <w:rPr>
          <w:rFonts w:eastAsia="Calibri"/>
          <w:b/>
          <w:sz w:val="24"/>
          <w:szCs w:val="24"/>
        </w:rPr>
      </w:pPr>
      <w:r w:rsidRPr="00D957BC">
        <w:rPr>
          <w:rFonts w:eastAsia="Calibri"/>
          <w:b/>
          <w:sz w:val="24"/>
          <w:szCs w:val="24"/>
        </w:rPr>
        <w:lastRenderedPageBreak/>
        <w:t>Chapter Seven:</w:t>
      </w:r>
      <w:r>
        <w:rPr>
          <w:rFonts w:eastAsia="Calibri"/>
          <w:b/>
          <w:sz w:val="24"/>
          <w:szCs w:val="24"/>
        </w:rPr>
        <w:t xml:space="preserve"> </w:t>
      </w:r>
      <w:r w:rsidRPr="00D957BC">
        <w:rPr>
          <w:rFonts w:eastAsia="Calibri"/>
          <w:b/>
          <w:sz w:val="24"/>
          <w:szCs w:val="24"/>
        </w:rPr>
        <w:t xml:space="preserve"> Implications for Nursing Practice</w:t>
      </w:r>
    </w:p>
    <w:p w14:paraId="50128450" w14:textId="1DC99BF7" w:rsidR="005736AA" w:rsidRDefault="005736AA" w:rsidP="003A287D">
      <w:pPr>
        <w:pStyle w:val="APA"/>
      </w:pPr>
      <w:r>
        <w:t xml:space="preserve">This chapter focuses on the Doctor of Nursing Practice (DNP) </w:t>
      </w:r>
      <w:r w:rsidR="00B43778">
        <w:t>e</w:t>
      </w:r>
      <w:r>
        <w:t xml:space="preserve">ssentials identified by the American Association of Colleges of Nursing (AACN). Each </w:t>
      </w:r>
      <w:r w:rsidR="00B43778">
        <w:t>e</w:t>
      </w:r>
      <w:r>
        <w:t xml:space="preserve">ssential contains core competencies that are foundational to Advanced Practice Nursing roles.  </w:t>
      </w:r>
      <w:r w:rsidR="00B43778">
        <w:t xml:space="preserve">This DNP project had several implications to practice at the micro, meso and macro levels. This project focused on the use of inclusive language by healthcare providers to create a safe space for LGBTQ persons and families. </w:t>
      </w:r>
      <w:r>
        <w:t xml:space="preserve">The purpose of this chapter is to discuss the practice implications of the DNP project based on these </w:t>
      </w:r>
      <w:r w:rsidR="00B43778">
        <w:t>e</w:t>
      </w:r>
      <w:r>
        <w:t>ssentials</w:t>
      </w:r>
      <w:r w:rsidR="00B43778">
        <w:t>.</w:t>
      </w:r>
    </w:p>
    <w:p w14:paraId="716ADF34" w14:textId="77777777" w:rsidR="005736AA" w:rsidRDefault="005736AA" w:rsidP="005736AA">
      <w:pPr>
        <w:contextualSpacing/>
        <w:rPr>
          <w:rFonts w:eastAsia="Calibri"/>
          <w:b/>
          <w:sz w:val="24"/>
          <w:szCs w:val="24"/>
        </w:rPr>
      </w:pPr>
      <w:r w:rsidRPr="00D957BC">
        <w:rPr>
          <w:rFonts w:eastAsia="Calibri"/>
          <w:b/>
          <w:sz w:val="24"/>
          <w:szCs w:val="24"/>
        </w:rPr>
        <w:t>Practice Implications</w:t>
      </w:r>
    </w:p>
    <w:p w14:paraId="2C01CE8B" w14:textId="2DE47988" w:rsidR="005736AA" w:rsidRDefault="005736AA" w:rsidP="005736AA">
      <w:pPr>
        <w:contextualSpacing/>
        <w:rPr>
          <w:rFonts w:eastAsia="Calibri"/>
          <w:sz w:val="24"/>
          <w:szCs w:val="24"/>
        </w:rPr>
      </w:pPr>
      <w:r>
        <w:rPr>
          <w:rFonts w:eastAsia="Calibri"/>
          <w:b/>
          <w:sz w:val="24"/>
          <w:szCs w:val="24"/>
        </w:rPr>
        <w:tab/>
      </w:r>
      <w:r w:rsidRPr="00DD2EE5">
        <w:rPr>
          <w:rFonts w:eastAsia="Calibri"/>
          <w:sz w:val="24"/>
          <w:szCs w:val="24"/>
        </w:rPr>
        <w:t>T</w:t>
      </w:r>
      <w:r>
        <w:rPr>
          <w:rFonts w:eastAsia="Calibri"/>
          <w:sz w:val="24"/>
          <w:szCs w:val="24"/>
        </w:rPr>
        <w:t xml:space="preserve">here are eight AACN DNP </w:t>
      </w:r>
      <w:r w:rsidR="00B43778">
        <w:rPr>
          <w:rFonts w:eastAsia="Calibri"/>
          <w:sz w:val="24"/>
          <w:szCs w:val="24"/>
        </w:rPr>
        <w:t>e</w:t>
      </w:r>
      <w:r>
        <w:rPr>
          <w:rFonts w:eastAsia="Calibri"/>
          <w:sz w:val="24"/>
          <w:szCs w:val="24"/>
        </w:rPr>
        <w:t>ssentials</w:t>
      </w:r>
      <w:r w:rsidR="00E13816">
        <w:rPr>
          <w:rFonts w:eastAsia="Calibri"/>
          <w:sz w:val="24"/>
          <w:szCs w:val="24"/>
        </w:rPr>
        <w:t>. The DNP essentials provides guidance for the development, implementation, and evaluation of the DNP scholarly project</w:t>
      </w:r>
      <w:r w:rsidR="00897DAA">
        <w:rPr>
          <w:rFonts w:eastAsia="Calibri"/>
          <w:sz w:val="24"/>
          <w:szCs w:val="24"/>
        </w:rPr>
        <w:t xml:space="preserve"> (AACN, 2019)</w:t>
      </w:r>
      <w:r w:rsidR="00E13816">
        <w:rPr>
          <w:rFonts w:eastAsia="Calibri"/>
          <w:sz w:val="24"/>
          <w:szCs w:val="24"/>
        </w:rPr>
        <w:t xml:space="preserve">.  These essentials were used throughout the scholarly project to </w:t>
      </w:r>
      <w:r w:rsidR="00B3068B">
        <w:rPr>
          <w:rFonts w:eastAsia="Calibri"/>
          <w:sz w:val="24"/>
          <w:szCs w:val="24"/>
        </w:rPr>
        <w:t>focus on an organizational change in relation to use of inclusive language and creation of a safe space for LGBTQ persons in the hospice setting.</w:t>
      </w:r>
    </w:p>
    <w:p w14:paraId="5C5D7FB0" w14:textId="499277FB" w:rsidR="005736AA" w:rsidRDefault="005736AA" w:rsidP="005736AA">
      <w:pPr>
        <w:ind w:firstLine="720"/>
        <w:contextualSpacing/>
        <w:rPr>
          <w:sz w:val="24"/>
          <w:szCs w:val="24"/>
        </w:rPr>
      </w:pPr>
      <w:r w:rsidRPr="00D957BC">
        <w:rPr>
          <w:rFonts w:eastAsia="Calibri"/>
          <w:b/>
          <w:sz w:val="24"/>
          <w:szCs w:val="24"/>
        </w:rPr>
        <w:t xml:space="preserve">Essential I:  Scientific underpinnings for practice.  </w:t>
      </w:r>
      <w:r w:rsidRPr="00347F47">
        <w:rPr>
          <w:rFonts w:eastAsia="Calibri"/>
          <w:sz w:val="24"/>
          <w:szCs w:val="24"/>
        </w:rPr>
        <w:t>The integration of research, theory, and practice was used to develop a</w:t>
      </w:r>
      <w:r>
        <w:rPr>
          <w:rFonts w:eastAsia="Calibri"/>
          <w:sz w:val="24"/>
          <w:szCs w:val="24"/>
        </w:rPr>
        <w:t>n</w:t>
      </w:r>
      <w:r w:rsidRPr="00347F47">
        <w:rPr>
          <w:rFonts w:eastAsia="Calibri"/>
          <w:sz w:val="24"/>
          <w:szCs w:val="24"/>
        </w:rPr>
        <w:t xml:space="preserve"> approach towards improv</w:t>
      </w:r>
      <w:r>
        <w:rPr>
          <w:rFonts w:eastAsia="Calibri"/>
          <w:sz w:val="24"/>
          <w:szCs w:val="24"/>
        </w:rPr>
        <w:t>ing</w:t>
      </w:r>
      <w:r w:rsidRPr="00347F47">
        <w:rPr>
          <w:rFonts w:eastAsia="Calibri"/>
          <w:sz w:val="24"/>
          <w:szCs w:val="24"/>
        </w:rPr>
        <w:t xml:space="preserve"> practice </w:t>
      </w:r>
      <w:r>
        <w:rPr>
          <w:rFonts w:eastAsia="Calibri"/>
          <w:sz w:val="24"/>
          <w:szCs w:val="24"/>
        </w:rPr>
        <w:t xml:space="preserve">by nursing staff to benefit the </w:t>
      </w:r>
      <w:r w:rsidR="00DE6335">
        <w:rPr>
          <w:rFonts w:eastAsia="Calibri"/>
          <w:sz w:val="24"/>
          <w:szCs w:val="24"/>
        </w:rPr>
        <w:t>lesbian, gay, bisexual, transgender, queer/questioning (</w:t>
      </w:r>
      <w:r>
        <w:rPr>
          <w:rFonts w:eastAsia="Calibri"/>
          <w:sz w:val="24"/>
          <w:szCs w:val="24"/>
        </w:rPr>
        <w:t>LGBTQ</w:t>
      </w:r>
      <w:r w:rsidR="00DE6335">
        <w:rPr>
          <w:rFonts w:eastAsia="Calibri"/>
          <w:sz w:val="24"/>
          <w:szCs w:val="24"/>
        </w:rPr>
        <w:t>)</w:t>
      </w:r>
      <w:r>
        <w:rPr>
          <w:rFonts w:eastAsia="Calibri"/>
          <w:sz w:val="24"/>
          <w:szCs w:val="24"/>
        </w:rPr>
        <w:t xml:space="preserve"> population in a hospice setting</w:t>
      </w:r>
      <w:r w:rsidRPr="00347F47">
        <w:rPr>
          <w:rFonts w:eastAsia="Calibri"/>
          <w:sz w:val="24"/>
          <w:szCs w:val="24"/>
        </w:rPr>
        <w:t>. An extensive review of the literature was conducted and revealed</w:t>
      </w:r>
      <w:r>
        <w:rPr>
          <w:rFonts w:eastAsia="Calibri"/>
          <w:sz w:val="24"/>
          <w:szCs w:val="24"/>
        </w:rPr>
        <w:t xml:space="preserve"> that LGBTQ persons encounter health disparities and discrimination in the healthcare system. Inadequate education on use of inclusive language and terminology to healthcare providers was found to be an issue with providing culturally competent care </w:t>
      </w:r>
      <w:r w:rsidRPr="001E2DB9">
        <w:rPr>
          <w:sz w:val="24"/>
          <w:szCs w:val="24"/>
        </w:rPr>
        <w:t>(Ogbolu et al., 2017)</w:t>
      </w:r>
      <w:r w:rsidRPr="001E2DB9">
        <w:rPr>
          <w:rFonts w:eastAsia="Calibri"/>
          <w:sz w:val="24"/>
          <w:szCs w:val="24"/>
        </w:rPr>
        <w:t>.</w:t>
      </w:r>
      <w:r>
        <w:rPr>
          <w:rFonts w:eastAsia="Calibri"/>
          <w:sz w:val="24"/>
          <w:szCs w:val="24"/>
        </w:rPr>
        <w:t xml:space="preserve"> </w:t>
      </w:r>
      <w:r>
        <w:rPr>
          <w:sz w:val="24"/>
          <w:szCs w:val="24"/>
        </w:rPr>
        <w:t>C</w:t>
      </w:r>
      <w:r w:rsidRPr="00845707">
        <w:rPr>
          <w:sz w:val="24"/>
          <w:szCs w:val="24"/>
        </w:rPr>
        <w:t xml:space="preserve">ulturally sensitive training for health care and social service agencies and professionals that provide support to elders could be critical in alleviating expectations of and experiences of discrimination that many </w:t>
      </w:r>
      <w:r w:rsidRPr="00845707">
        <w:rPr>
          <w:sz w:val="24"/>
          <w:szCs w:val="24"/>
        </w:rPr>
        <w:lastRenderedPageBreak/>
        <w:t>LGBT older adults fear when seeking healthcare and professional help (Choi &amp; Meyer, 2016).</w:t>
      </w:r>
      <w:r w:rsidRPr="00845707">
        <w:rPr>
          <w:sz w:val="24"/>
          <w:szCs w:val="24"/>
          <w:shd w:val="clear" w:color="auto" w:fill="FFFFFF"/>
        </w:rPr>
        <w:t> </w:t>
      </w:r>
      <w:r w:rsidRPr="00845707">
        <w:rPr>
          <w:sz w:val="24"/>
          <w:szCs w:val="24"/>
        </w:rPr>
        <w:t>Effective culturally sensitive training for service providers could help improve the experience of LGBT elders with health care providers, alleviating expectations of discrimination that cause delay in seeking care (Choi &amp; Meyer, 2016).</w:t>
      </w:r>
      <w:r>
        <w:rPr>
          <w:sz w:val="24"/>
          <w:szCs w:val="24"/>
        </w:rPr>
        <w:t xml:space="preserve"> </w:t>
      </w:r>
    </w:p>
    <w:p w14:paraId="09F870F0" w14:textId="3AF860C6" w:rsidR="005736AA" w:rsidRDefault="005736AA" w:rsidP="003A287D">
      <w:pPr>
        <w:spacing w:after="0"/>
        <w:ind w:firstLine="720"/>
        <w:contextualSpacing/>
        <w:rPr>
          <w:rFonts w:eastAsia="Calibri"/>
          <w:sz w:val="24"/>
          <w:szCs w:val="24"/>
        </w:rPr>
      </w:pPr>
      <w:r>
        <w:rPr>
          <w:rFonts w:eastAsia="Calibri"/>
          <w:sz w:val="24"/>
          <w:szCs w:val="24"/>
        </w:rPr>
        <w:t xml:space="preserve">The literature </w:t>
      </w:r>
      <w:r w:rsidR="00954560">
        <w:rPr>
          <w:rFonts w:eastAsia="Calibri"/>
          <w:sz w:val="24"/>
          <w:szCs w:val="24"/>
        </w:rPr>
        <w:t xml:space="preserve">review </w:t>
      </w:r>
      <w:r>
        <w:rPr>
          <w:rFonts w:eastAsia="Calibri"/>
          <w:sz w:val="24"/>
          <w:szCs w:val="24"/>
        </w:rPr>
        <w:t xml:space="preserve">revealed additional barriers within the healthcare system and provided strategies to overcome identified barriers. These identified barriers and strategies provided a foundation for the DNP project. </w:t>
      </w:r>
      <w:r w:rsidRPr="00C4396E">
        <w:rPr>
          <w:sz w:val="24"/>
          <w:szCs w:val="24"/>
        </w:rPr>
        <w:t>Challenges with providing culturally competent training included insufficient training at time of orientation, lack of ongoing opportunities for safe and practical learning, and need for change in the organizational climate to foster learning and acknowledging gaps in education (Ogbolu et al., 2017). Another gap of providing culturally competent care to LGBTQ persons includes the lack of knowledge and use of inclusive language by service providers (</w:t>
      </w:r>
      <w:r>
        <w:rPr>
          <w:sz w:val="24"/>
          <w:szCs w:val="24"/>
        </w:rPr>
        <w:t>Boulder County Area Agency on Aging</w:t>
      </w:r>
      <w:r w:rsidRPr="00C4396E">
        <w:rPr>
          <w:sz w:val="24"/>
          <w:szCs w:val="24"/>
        </w:rPr>
        <w:t>, 2013).</w:t>
      </w:r>
      <w:r>
        <w:rPr>
          <w:sz w:val="24"/>
          <w:szCs w:val="24"/>
        </w:rPr>
        <w:t xml:space="preserve"> </w:t>
      </w:r>
      <w:r>
        <w:rPr>
          <w:rFonts w:eastAsia="Calibri"/>
          <w:sz w:val="24"/>
          <w:szCs w:val="24"/>
        </w:rPr>
        <w:t>The barrier of lack of education on inclusive language as discussed in the literature was present in the hospice organization. Strategies included in the literature review were to provide an education module to all staff to include health disparities and discrimination LGBTQ persons encounter, use of inclusive language and terminology, and how to create a safe space for all persons and families in the hospice setting.</w:t>
      </w:r>
    </w:p>
    <w:p w14:paraId="1B114D2E" w14:textId="65A55E93" w:rsidR="005736AA" w:rsidRDefault="005736AA" w:rsidP="003A287D">
      <w:pPr>
        <w:pStyle w:val="APA"/>
        <w:ind w:firstLine="0"/>
        <w:rPr>
          <w:rFonts w:eastAsia="Calibri"/>
          <w:szCs w:val="24"/>
        </w:rPr>
      </w:pPr>
      <w:r>
        <w:rPr>
          <w:rFonts w:eastAsia="Calibri"/>
          <w:szCs w:val="24"/>
        </w:rPr>
        <w:tab/>
        <w:t xml:space="preserve">Campinha-Bacote’s Model of Cultural Competence in Healthcare Delivery provided the framework for the quality improvement project. This cultural competence model has been used to understand cultural competence at end-of-life. </w:t>
      </w:r>
      <w:r>
        <w:t xml:space="preserve">Using Campinha-Bacote’s cultural competency model as a foundation, Rising (2015) described cultural humility as awareness of one’s personal cultural assumptions and biases while enriching cultural knowledge of others’ preferences. Rising (2015) concluded that cultural competence through self-awareness and knowledge </w:t>
      </w:r>
      <w:r>
        <w:lastRenderedPageBreak/>
        <w:t xml:space="preserve">provides a route for truth telling and non-disclosure to provide dignified patient care to all persons at end-of-life. </w:t>
      </w:r>
      <w:r>
        <w:rPr>
          <w:rFonts w:eastAsia="Calibri"/>
          <w:szCs w:val="24"/>
        </w:rPr>
        <w:t xml:space="preserve">Campinha-Bacote’s  theory also provided guidance for evaluating the practice project using the theory’s five constructs in the development of the </w:t>
      </w:r>
      <w:r w:rsidR="003470FD">
        <w:rPr>
          <w:rFonts w:eastAsia="Calibri"/>
          <w:szCs w:val="24"/>
        </w:rPr>
        <w:t>post-education</w:t>
      </w:r>
      <w:r>
        <w:rPr>
          <w:rFonts w:eastAsia="Calibri"/>
          <w:szCs w:val="24"/>
        </w:rPr>
        <w:t xml:space="preserve"> survey and direction for the anecdotal conversations by the student project director.</w:t>
      </w:r>
    </w:p>
    <w:p w14:paraId="01CA94B6" w14:textId="3F1DE41B" w:rsidR="005736AA" w:rsidRDefault="005736AA" w:rsidP="005736AA">
      <w:pPr>
        <w:pStyle w:val="APA"/>
        <w:ind w:firstLine="0"/>
        <w:rPr>
          <w:rFonts w:eastAsia="Calibri"/>
          <w:szCs w:val="24"/>
        </w:rPr>
      </w:pPr>
      <w:r>
        <w:rPr>
          <w:rFonts w:eastAsia="Calibri"/>
          <w:szCs w:val="24"/>
        </w:rPr>
        <w:tab/>
        <w:t xml:space="preserve">Outcomes of this project have provided opportunities for future examination.  Collaboration between research-doctorates and practice-doctorates could increase the level of understanding about the LGBTQ community and end-of-life care thus increasing the level of awareness and knowledge within the hospice community on how best to serve this vulnerable population.   One future study could involve the LGBTQ community and their perceptions and perspectives about hospice and palliative care.  Research could identify barriers that LGBTQ persons feel prohibit them from seeking palliative care or hospice services at end-of-life.  </w:t>
      </w:r>
      <w:r w:rsidR="00954560">
        <w:rPr>
          <w:rFonts w:eastAsia="Calibri"/>
          <w:szCs w:val="24"/>
        </w:rPr>
        <w:t>The identification of barriers could generate</w:t>
      </w:r>
      <w:r>
        <w:rPr>
          <w:rFonts w:eastAsia="Calibri"/>
          <w:szCs w:val="24"/>
        </w:rPr>
        <w:t xml:space="preserve"> quality improvement projects </w:t>
      </w:r>
      <w:r w:rsidR="00954560">
        <w:rPr>
          <w:rFonts w:eastAsia="Calibri"/>
          <w:szCs w:val="24"/>
        </w:rPr>
        <w:t>aimed to</w:t>
      </w:r>
      <w:r>
        <w:rPr>
          <w:rFonts w:eastAsia="Calibri"/>
          <w:szCs w:val="24"/>
        </w:rPr>
        <w:t xml:space="preserve"> improve patient outcomes. </w:t>
      </w:r>
    </w:p>
    <w:p w14:paraId="53B7CA08" w14:textId="77777777" w:rsidR="005736AA" w:rsidRDefault="005736AA" w:rsidP="005736AA">
      <w:pPr>
        <w:ind w:firstLine="720"/>
        <w:contextualSpacing/>
        <w:rPr>
          <w:rFonts w:eastAsia="Calibri"/>
          <w:sz w:val="24"/>
          <w:szCs w:val="24"/>
        </w:rPr>
      </w:pPr>
      <w:r w:rsidRPr="00D957BC">
        <w:rPr>
          <w:rFonts w:eastAsia="Calibri"/>
          <w:b/>
          <w:sz w:val="24"/>
          <w:szCs w:val="24"/>
        </w:rPr>
        <w:t xml:space="preserve">Essential II:  Organization and systems leadership for quality improvement and systems thinking.  </w:t>
      </w:r>
      <w:r>
        <w:rPr>
          <w:rFonts w:eastAsia="Calibri"/>
          <w:sz w:val="24"/>
          <w:szCs w:val="24"/>
        </w:rPr>
        <w:t xml:space="preserve">The leadership team identified a need for an increase in inclusiveness and diversity within the organization. Through these conversations about the need for inclusion and diversity, an inclusion workgroup was formed and began meeting at the same time of this DNP project proposal period. The DNP project coincided with the workgroups goal of beginning to look at inclusion and diversity in the workforce and in patients and their families served by the organization.  </w:t>
      </w:r>
    </w:p>
    <w:p w14:paraId="4CCE6C6D" w14:textId="22E58FBE" w:rsidR="005736AA" w:rsidRDefault="005736AA" w:rsidP="005736AA">
      <w:pPr>
        <w:ind w:firstLine="720"/>
        <w:contextualSpacing/>
        <w:rPr>
          <w:rFonts w:eastAsia="Calibri"/>
          <w:sz w:val="24"/>
          <w:szCs w:val="24"/>
        </w:rPr>
      </w:pPr>
      <w:r>
        <w:rPr>
          <w:rFonts w:eastAsia="Calibri"/>
          <w:sz w:val="24"/>
          <w:szCs w:val="24"/>
        </w:rPr>
        <w:t>Through the inclusion workgroup</w:t>
      </w:r>
      <w:r w:rsidR="00F36381">
        <w:rPr>
          <w:rFonts w:eastAsia="Calibri"/>
          <w:sz w:val="24"/>
          <w:szCs w:val="24"/>
        </w:rPr>
        <w:t>,</w:t>
      </w:r>
      <w:r>
        <w:rPr>
          <w:rFonts w:eastAsia="Calibri"/>
          <w:sz w:val="24"/>
          <w:szCs w:val="24"/>
        </w:rPr>
        <w:t xml:space="preserve"> an employee survey was conducted to assess the culture within the organization. An identified gap from the employee survey was the limited education on the LGBTQ community provided by the organization. This identified gap provided </w:t>
      </w:r>
      <w:r>
        <w:rPr>
          <w:rFonts w:eastAsia="Calibri"/>
          <w:sz w:val="24"/>
          <w:szCs w:val="24"/>
        </w:rPr>
        <w:lastRenderedPageBreak/>
        <w:t xml:space="preserve">support for the DNP project to the organization. Both the executive and inpatient hospice home nursing leadership teams were in support of providing an education module to staff in the inpatient hospice home setting on care of the LGBTQ patient. The inpatient hospice home setting was chosen because of the established relationship the DNP student project director had. The timing of organizational readiness to address and improve the culture of the organization provided an opportunity for the DNP quality improvement project. </w:t>
      </w:r>
    </w:p>
    <w:p w14:paraId="26226213" w14:textId="58DC1A70" w:rsidR="005736AA" w:rsidRDefault="000F4186" w:rsidP="005736AA">
      <w:pPr>
        <w:ind w:firstLine="720"/>
        <w:contextualSpacing/>
        <w:rPr>
          <w:rFonts w:eastAsia="Calibri"/>
          <w:sz w:val="24"/>
          <w:szCs w:val="24"/>
        </w:rPr>
      </w:pPr>
      <w:r>
        <w:rPr>
          <w:rFonts w:eastAsia="Calibri"/>
          <w:sz w:val="24"/>
          <w:szCs w:val="24"/>
        </w:rPr>
        <w:t xml:space="preserve">To continue organizational leadership and systems thinking regarding inclusivity, </w:t>
      </w:r>
      <w:r w:rsidR="005736AA">
        <w:rPr>
          <w:rFonts w:eastAsia="Calibri"/>
          <w:sz w:val="24"/>
          <w:szCs w:val="24"/>
        </w:rPr>
        <w:t xml:space="preserve">  recommendations were made to increase the availability of the education module. The results were shared with the director of the education department, who supported </w:t>
      </w:r>
      <w:r w:rsidR="00571A28">
        <w:rPr>
          <w:rFonts w:eastAsia="Calibri"/>
          <w:sz w:val="24"/>
          <w:szCs w:val="24"/>
        </w:rPr>
        <w:t>organizational and systems change to address the limited education on inclusive language</w:t>
      </w:r>
      <w:r w:rsidR="005736AA">
        <w:rPr>
          <w:rFonts w:eastAsia="Calibri"/>
          <w:sz w:val="24"/>
          <w:szCs w:val="24"/>
        </w:rPr>
        <w:t xml:space="preserve">  </w:t>
      </w:r>
      <w:r w:rsidR="00571A28">
        <w:rPr>
          <w:rFonts w:eastAsia="Calibri"/>
          <w:sz w:val="24"/>
          <w:szCs w:val="24"/>
        </w:rPr>
        <w:t>R</w:t>
      </w:r>
      <w:r w:rsidR="005736AA">
        <w:rPr>
          <w:rFonts w:eastAsia="Calibri"/>
          <w:sz w:val="24"/>
          <w:szCs w:val="24"/>
        </w:rPr>
        <w:t>ecommendation</w:t>
      </w:r>
      <w:r w:rsidR="00571A28">
        <w:rPr>
          <w:rFonts w:eastAsia="Calibri"/>
          <w:sz w:val="24"/>
          <w:szCs w:val="24"/>
        </w:rPr>
        <w:t>s were</w:t>
      </w:r>
      <w:r w:rsidR="005736AA">
        <w:rPr>
          <w:rFonts w:eastAsia="Calibri"/>
          <w:sz w:val="24"/>
          <w:szCs w:val="24"/>
        </w:rPr>
        <w:t xml:space="preserve"> made </w:t>
      </w:r>
      <w:r w:rsidR="003A22A2">
        <w:rPr>
          <w:rFonts w:eastAsia="Calibri"/>
          <w:sz w:val="24"/>
          <w:szCs w:val="24"/>
        </w:rPr>
        <w:t>to increase practice knowledge into the organization and the community by</w:t>
      </w:r>
      <w:r w:rsidR="005736AA">
        <w:rPr>
          <w:rFonts w:eastAsia="Calibri"/>
          <w:sz w:val="24"/>
          <w:szCs w:val="24"/>
        </w:rPr>
        <w:t xml:space="preserve"> provid</w:t>
      </w:r>
      <w:r w:rsidR="003A22A2">
        <w:rPr>
          <w:rFonts w:eastAsia="Calibri"/>
          <w:sz w:val="24"/>
          <w:szCs w:val="24"/>
        </w:rPr>
        <w:t>ing</w:t>
      </w:r>
      <w:r w:rsidR="005736AA">
        <w:rPr>
          <w:rFonts w:eastAsia="Calibri"/>
          <w:sz w:val="24"/>
          <w:szCs w:val="24"/>
        </w:rPr>
        <w:t xml:space="preserve"> the education module </w:t>
      </w:r>
      <w:r w:rsidR="003A22A2">
        <w:rPr>
          <w:rFonts w:eastAsia="Calibri"/>
          <w:sz w:val="24"/>
          <w:szCs w:val="24"/>
        </w:rPr>
        <w:t xml:space="preserve">to staff, </w:t>
      </w:r>
      <w:r w:rsidR="00571A28">
        <w:rPr>
          <w:rFonts w:eastAsia="Calibri"/>
          <w:sz w:val="24"/>
          <w:szCs w:val="24"/>
        </w:rPr>
        <w:t>volunteers and external stakeholders</w:t>
      </w:r>
      <w:r w:rsidR="003A22A2">
        <w:rPr>
          <w:rFonts w:eastAsia="Calibri"/>
          <w:sz w:val="24"/>
          <w:szCs w:val="24"/>
        </w:rPr>
        <w:t xml:space="preserve">. </w:t>
      </w:r>
      <w:r w:rsidR="00571A28">
        <w:rPr>
          <w:rFonts w:eastAsia="Calibri"/>
          <w:sz w:val="24"/>
          <w:szCs w:val="24"/>
        </w:rPr>
        <w:t xml:space="preserve">Providing the education module </w:t>
      </w:r>
      <w:r w:rsidR="003A22A2">
        <w:rPr>
          <w:rFonts w:eastAsia="Calibri"/>
          <w:sz w:val="24"/>
          <w:szCs w:val="24"/>
        </w:rPr>
        <w:t>to the community demonstrates the systems commitment to improve quality care and patient safety for the LGBTQ population.</w:t>
      </w:r>
      <w:r w:rsidR="005736AA">
        <w:rPr>
          <w:rFonts w:eastAsia="Calibri"/>
          <w:sz w:val="24"/>
          <w:szCs w:val="24"/>
        </w:rPr>
        <w:t xml:space="preserve"> </w:t>
      </w:r>
    </w:p>
    <w:p w14:paraId="10192987" w14:textId="6A5B1B29" w:rsidR="005736AA" w:rsidRDefault="000F4186" w:rsidP="005736AA">
      <w:pPr>
        <w:ind w:firstLine="720"/>
        <w:contextualSpacing/>
        <w:rPr>
          <w:rFonts w:eastAsia="Calibri"/>
          <w:sz w:val="24"/>
          <w:szCs w:val="24"/>
        </w:rPr>
      </w:pPr>
      <w:r>
        <w:rPr>
          <w:rFonts w:eastAsia="Calibri"/>
          <w:sz w:val="24"/>
          <w:szCs w:val="24"/>
        </w:rPr>
        <w:t xml:space="preserve">The organizational approach is to provide a portion of the education module at time of new hire orientation, followed by the opportunity to attend the entire education module. </w:t>
      </w:r>
      <w:r w:rsidR="005736AA">
        <w:rPr>
          <w:rFonts w:eastAsia="Calibri"/>
          <w:sz w:val="24"/>
          <w:szCs w:val="24"/>
        </w:rPr>
        <w:t>Leadership also supported these recommendations by allowing the education module to be delivered during work time and providing meeting space in the administration building. Marketing has agreed to assist with advertisement of the education module through flyers to be placed in the main administration building, satellite offices, and the hospice home</w:t>
      </w:r>
      <w:r>
        <w:rPr>
          <w:rFonts w:eastAsia="Calibri"/>
          <w:sz w:val="24"/>
          <w:szCs w:val="24"/>
        </w:rPr>
        <w:t>.</w:t>
      </w:r>
    </w:p>
    <w:p w14:paraId="305AE37B" w14:textId="77777777" w:rsidR="005736AA" w:rsidRDefault="005736AA" w:rsidP="005736AA">
      <w:pPr>
        <w:ind w:firstLine="720"/>
        <w:contextualSpacing/>
        <w:rPr>
          <w:rFonts w:eastAsia="Calibri"/>
          <w:sz w:val="24"/>
          <w:szCs w:val="24"/>
        </w:rPr>
      </w:pPr>
      <w:r>
        <w:rPr>
          <w:rFonts w:eastAsia="Calibri"/>
          <w:sz w:val="24"/>
          <w:szCs w:val="24"/>
        </w:rPr>
        <w:t xml:space="preserve">Recommendations for sustainability of the project include involving other members of the education department in the delivery of the module.  Currently, the site champion is the only member of the education department who has knowledge about the education module and its </w:t>
      </w:r>
      <w:r>
        <w:rPr>
          <w:rFonts w:eastAsia="Calibri"/>
          <w:sz w:val="24"/>
          <w:szCs w:val="24"/>
        </w:rPr>
        <w:lastRenderedPageBreak/>
        <w:t>content.  It was recommended that members of the education department attend the education module not only for the content from a learner’s perspective but also to understand the content as a future facilitator. The  DNP quality improvement project has provided a mechanism to address the need for future and continued education in care of the LGBTQ population within the organization.</w:t>
      </w:r>
    </w:p>
    <w:p w14:paraId="29D5AB72" w14:textId="621B5B51" w:rsidR="005736AA" w:rsidRDefault="005736AA" w:rsidP="005736AA">
      <w:pPr>
        <w:ind w:firstLine="720"/>
        <w:contextualSpacing/>
        <w:rPr>
          <w:rFonts w:eastAsia="Calibri"/>
          <w:sz w:val="24"/>
          <w:szCs w:val="24"/>
        </w:rPr>
      </w:pPr>
      <w:r w:rsidRPr="00D957BC">
        <w:rPr>
          <w:rFonts w:eastAsia="Calibri"/>
          <w:b/>
          <w:sz w:val="24"/>
          <w:szCs w:val="24"/>
        </w:rPr>
        <w:t>Essential III:  Clinical scholarship and analytical met</w:t>
      </w:r>
      <w:r>
        <w:rPr>
          <w:rFonts w:eastAsia="Calibri"/>
          <w:b/>
          <w:sz w:val="24"/>
          <w:szCs w:val="24"/>
        </w:rPr>
        <w:t>hods for EBP</w:t>
      </w:r>
      <w:r w:rsidRPr="00D957BC">
        <w:rPr>
          <w:rFonts w:eastAsia="Calibri"/>
          <w:b/>
          <w:sz w:val="24"/>
          <w:szCs w:val="24"/>
        </w:rPr>
        <w:t xml:space="preserve">.  </w:t>
      </w:r>
      <w:r w:rsidRPr="00123510">
        <w:rPr>
          <w:rFonts w:eastAsia="Calibri"/>
          <w:sz w:val="24"/>
          <w:szCs w:val="24"/>
        </w:rPr>
        <w:t xml:space="preserve">Review of the literature was conducted to </w:t>
      </w:r>
      <w:r>
        <w:rPr>
          <w:rFonts w:eastAsia="Calibri"/>
          <w:sz w:val="24"/>
          <w:szCs w:val="24"/>
        </w:rPr>
        <w:t xml:space="preserve">determine best practices in caring for LGBTQ population. Through these evidence-based practice findings, an education module was developed to promote safety and equitable quality of care for patients. The education module provided interactive exercises that promoted use of inclusive language and open-ended questions thus providing knowledge to nurses that enabled them to implement a change in practice. Ninety-five percent of the education module </w:t>
      </w:r>
      <w:r w:rsidR="00D85AF2">
        <w:rPr>
          <w:rFonts w:eastAsia="Calibri"/>
          <w:sz w:val="24"/>
          <w:szCs w:val="24"/>
        </w:rPr>
        <w:t>a</w:t>
      </w:r>
      <w:r w:rsidR="00C83588">
        <w:rPr>
          <w:rFonts w:eastAsia="Calibri"/>
          <w:sz w:val="24"/>
          <w:szCs w:val="24"/>
        </w:rPr>
        <w:t>ttendees</w:t>
      </w:r>
      <w:r>
        <w:rPr>
          <w:rFonts w:eastAsia="Calibri"/>
          <w:sz w:val="24"/>
          <w:szCs w:val="24"/>
        </w:rPr>
        <w:t xml:space="preserve"> stated that they would implement the use of inclusive language during patient care.  Anecdotal data suggests that the education module had a positive impact on the inpatient hospice home staff. Staff reported that they would likely change current practice and increase their use of inclusive language. Though these positive results are preliminary, observational research studies need to be conducted to assess if staff are consistently using inclusive language. </w:t>
      </w:r>
    </w:p>
    <w:p w14:paraId="051EEC04" w14:textId="77777777" w:rsidR="005736AA" w:rsidRDefault="005736AA" w:rsidP="005736AA">
      <w:pPr>
        <w:ind w:firstLine="720"/>
        <w:contextualSpacing/>
        <w:rPr>
          <w:rFonts w:eastAsia="Calibri"/>
          <w:sz w:val="24"/>
          <w:szCs w:val="24"/>
        </w:rPr>
      </w:pPr>
      <w:r>
        <w:rPr>
          <w:rFonts w:eastAsia="Calibri"/>
          <w:sz w:val="24"/>
          <w:szCs w:val="24"/>
        </w:rPr>
        <w:t xml:space="preserve">Through interprofessional collaboration, it was first identified that there was limited education provided to staff on the LGBTQ population, thus an education module to address the need for use of inclusive language and terminology to create a safe space for all patients was developed. Disciplines that collaborated on the project included a registered nurse who was the quality improvement coordinator, an educator with a Masters in Public Health, a licensed clinical social worker who holds a Masters in Social Work, and the vice president of human resources who holds a Masters in Business Administration. Each represented discipline brought a skill set </w:t>
      </w:r>
      <w:r>
        <w:rPr>
          <w:rFonts w:eastAsia="Calibri"/>
          <w:sz w:val="24"/>
          <w:szCs w:val="24"/>
        </w:rPr>
        <w:lastRenderedPageBreak/>
        <w:t xml:space="preserve">to the project discussion. Collaboration with the various disciplines allowed for the QI project to be unique and timely within the organization’s commitment towards inclusivity. The quality improvement coordinator had knowledge of current QI projects in place within the organization and plans for future QI projects. The educator provided details on current education offerings and offered expertise in the health disparities that LGBTQ persons face. Social work added input into content regarding the open-ended questions. The human resource representative had knowledge of the leadership’s desire to create an inclusive work environment and is also a member of the leadership team. These same persons also composed of the inclusion steering committee. </w:t>
      </w:r>
    </w:p>
    <w:p w14:paraId="0E510064" w14:textId="009A8A8F" w:rsidR="005736AA" w:rsidRDefault="005736AA" w:rsidP="005736AA">
      <w:pPr>
        <w:ind w:firstLine="720"/>
        <w:contextualSpacing/>
        <w:rPr>
          <w:rFonts w:eastAsia="Calibri"/>
          <w:sz w:val="24"/>
          <w:szCs w:val="24"/>
        </w:rPr>
      </w:pPr>
      <w:r>
        <w:rPr>
          <w:rFonts w:eastAsia="Calibri"/>
          <w:sz w:val="24"/>
          <w:szCs w:val="24"/>
        </w:rPr>
        <w:t xml:space="preserve">The student project director communicated literature review findings with the inclusion steering committee about the barriers within the healthcare system for providing culturally competent care to the LGBTQ population. Strategies for overcoming these barriers were also shared with the committee. The student project director proposed that based on the review of the literature that an evidenced-based education module be developed and presented to a group of staff within the organization.   After the education module, analysis of the surveys and anecdotal conversations were shared with the committee and suggestions for sustainability of the project were discussed. It was suggested that to continue to improve health outcomes for the LGBTQ patients that portions of the education module be delivered at time of orientation and the entire education module be offered to all employees. The objective of providing the education module would be to increase use of inclusive language and understand terminology used in the LGBTQ community for creation of a safe space for LGBTQ patients at end of life. </w:t>
      </w:r>
    </w:p>
    <w:p w14:paraId="1B431E35" w14:textId="77777777" w:rsidR="005736AA" w:rsidRDefault="005736AA" w:rsidP="005736AA">
      <w:pPr>
        <w:ind w:firstLine="720"/>
        <w:contextualSpacing/>
        <w:rPr>
          <w:rFonts w:eastAsia="Calibri"/>
          <w:sz w:val="24"/>
          <w:szCs w:val="24"/>
        </w:rPr>
      </w:pPr>
      <w:r w:rsidRPr="00D957BC">
        <w:rPr>
          <w:rFonts w:eastAsia="Calibri"/>
          <w:b/>
          <w:sz w:val="24"/>
          <w:szCs w:val="24"/>
        </w:rPr>
        <w:t xml:space="preserve">Essential IV:  Information systems/technology and patient care technology for the improvement and transformation of healthcare.  </w:t>
      </w:r>
      <w:r>
        <w:rPr>
          <w:rFonts w:eastAsia="Calibri"/>
          <w:sz w:val="24"/>
          <w:szCs w:val="24"/>
        </w:rPr>
        <w:t xml:space="preserve">Through evaluation of the current admission </w:t>
      </w:r>
      <w:r>
        <w:rPr>
          <w:rFonts w:eastAsia="Calibri"/>
          <w:sz w:val="24"/>
          <w:szCs w:val="24"/>
        </w:rPr>
        <w:lastRenderedPageBreak/>
        <w:t xml:space="preserve">process, it was noted that use of inclusive language, terminology and open-ended questions was not evident. Electronic health records and intake forms were reviewed for open-ended questions, use of inclusive language, pronoun preference, and gender identity choices. As the organization continues to address the need for use of inclusive language and terminology, it is recommended that intake forms be changed to reflect choices not only for LGBTQ persons but for all persons under the organizations care. </w:t>
      </w:r>
    </w:p>
    <w:p w14:paraId="78EAA121" w14:textId="77777777" w:rsidR="005736AA" w:rsidRPr="00DE1231" w:rsidRDefault="005736AA" w:rsidP="005736AA">
      <w:pPr>
        <w:ind w:firstLine="720"/>
        <w:contextualSpacing/>
        <w:rPr>
          <w:rFonts w:eastAsia="Calibri"/>
          <w:sz w:val="24"/>
          <w:szCs w:val="24"/>
        </w:rPr>
      </w:pPr>
      <w:r>
        <w:rPr>
          <w:rFonts w:eastAsia="Calibri"/>
          <w:sz w:val="24"/>
          <w:szCs w:val="24"/>
        </w:rPr>
        <w:t>Since the DNP project involved use of inclusive language to create a safe space for LGBTQ persons, the student project director was asked to join the inclusion steering committee that was being formed. The student project director was an original member of the steering committee and was an active member on the committee throughout the DNP project. Through the inclusion steering committee, an evaluation of the organizations website for inclusion and diversity was conducted. To assist in providing quality care to all persons,  it was suggested to update the website to include a page specific to the commitment to diversity and inclusion. The website should also include inclusive images and language throughout reflecting a diverse organization caring for diverse patients.  An additional suggestion is to create a strong statement that clearly demonstrates the organizations commitment to creating an inclusive work environment where all employees can be their best selves.</w:t>
      </w:r>
    </w:p>
    <w:p w14:paraId="5C3472F0" w14:textId="77777777" w:rsidR="005736AA" w:rsidRDefault="005736AA" w:rsidP="005736AA">
      <w:pPr>
        <w:ind w:firstLine="720"/>
        <w:contextualSpacing/>
        <w:rPr>
          <w:rFonts w:eastAsia="Calibri"/>
          <w:sz w:val="24"/>
          <w:szCs w:val="24"/>
        </w:rPr>
      </w:pPr>
      <w:r>
        <w:rPr>
          <w:rFonts w:eastAsia="Calibri"/>
          <w:b/>
          <w:sz w:val="24"/>
          <w:szCs w:val="24"/>
        </w:rPr>
        <w:t>Essential V: Health</w:t>
      </w:r>
      <w:r w:rsidRPr="00D957BC">
        <w:rPr>
          <w:rFonts w:eastAsia="Calibri"/>
          <w:b/>
          <w:sz w:val="24"/>
          <w:szCs w:val="24"/>
        </w:rPr>
        <w:t>car</w:t>
      </w:r>
      <w:r>
        <w:rPr>
          <w:rFonts w:eastAsia="Calibri"/>
          <w:b/>
          <w:sz w:val="24"/>
          <w:szCs w:val="24"/>
        </w:rPr>
        <w:t>e policy for advocacy in health</w:t>
      </w:r>
      <w:r w:rsidRPr="00D957BC">
        <w:rPr>
          <w:rFonts w:eastAsia="Calibri"/>
          <w:b/>
          <w:sz w:val="24"/>
          <w:szCs w:val="24"/>
        </w:rPr>
        <w:t xml:space="preserve">care.  </w:t>
      </w:r>
      <w:r w:rsidRPr="00DE1231">
        <w:rPr>
          <w:rFonts w:eastAsia="Calibri"/>
          <w:sz w:val="24"/>
          <w:szCs w:val="24"/>
        </w:rPr>
        <w:t xml:space="preserve">Through this DNP project it was identified that there was no current </w:t>
      </w:r>
      <w:r>
        <w:rPr>
          <w:rFonts w:eastAsia="Calibri"/>
          <w:sz w:val="24"/>
          <w:szCs w:val="24"/>
        </w:rPr>
        <w:t xml:space="preserve">organizational </w:t>
      </w:r>
      <w:r w:rsidRPr="00DE1231">
        <w:rPr>
          <w:rFonts w:eastAsia="Calibri"/>
          <w:sz w:val="24"/>
          <w:szCs w:val="24"/>
        </w:rPr>
        <w:t xml:space="preserve">policy on use of inclusive language and terminology. </w:t>
      </w:r>
      <w:r>
        <w:rPr>
          <w:rFonts w:eastAsia="Calibri"/>
          <w:sz w:val="24"/>
          <w:szCs w:val="24"/>
        </w:rPr>
        <w:t xml:space="preserve">The organization advocates for equitable treatment of all patients and gave full support to the formation of an inclusion workgroup and the DNP project implementation. One important outcome of the DNP project was the creation of opportunities to discuss LGBTQ health at all levels within the organization. Recommendations, based on findings from this </w:t>
      </w:r>
      <w:r>
        <w:rPr>
          <w:rFonts w:eastAsia="Calibri"/>
          <w:sz w:val="24"/>
          <w:szCs w:val="24"/>
        </w:rPr>
        <w:lastRenderedPageBreak/>
        <w:t xml:space="preserve">project, were to review and revise  the organization’s inclusion and diversity statements as appropriate. The inclusion steering committee has prioritized the need to review of the organization’s current benefit programs and policies and has recommended a revision to be more inclusive of employee’s family structure and needs. </w:t>
      </w:r>
    </w:p>
    <w:p w14:paraId="632A3614" w14:textId="77777777" w:rsidR="005736AA" w:rsidRDefault="005736AA" w:rsidP="005736AA">
      <w:pPr>
        <w:ind w:firstLine="720"/>
        <w:contextualSpacing/>
        <w:rPr>
          <w:rFonts w:eastAsia="Calibri"/>
          <w:sz w:val="24"/>
          <w:szCs w:val="24"/>
        </w:rPr>
      </w:pPr>
      <w:r>
        <w:rPr>
          <w:rFonts w:eastAsia="Calibri"/>
          <w:sz w:val="24"/>
          <w:szCs w:val="24"/>
        </w:rPr>
        <w:t xml:space="preserve">Recommendations was also to review the National Hospice and Palliative Care Organization (NHPCO) statement on diversity and inclusivity and any policies related to care of the LGBTQ patient. Review of current NHPCO education offerings should also be conducted. If there are inadequate policies and education offerings, then the organization should promote the need for education on the LGBTQ population to the national organization.  Recommendations to include this content at new hire and to all employees of any hospice and palliative care organization would strengthen the national commitment to providing inclusive care to all persons. </w:t>
      </w:r>
    </w:p>
    <w:p w14:paraId="656995C0" w14:textId="0EC12500" w:rsidR="005736AA" w:rsidRDefault="005736AA" w:rsidP="005736AA">
      <w:pPr>
        <w:ind w:firstLine="720"/>
        <w:contextualSpacing/>
        <w:rPr>
          <w:rFonts w:eastAsia="Calibri"/>
          <w:sz w:val="24"/>
          <w:szCs w:val="24"/>
        </w:rPr>
      </w:pPr>
      <w:r>
        <w:rPr>
          <w:rFonts w:eastAsia="Calibri"/>
          <w:sz w:val="24"/>
          <w:szCs w:val="24"/>
        </w:rPr>
        <w:t>It is recommended that advanced practice nurses within the organization attend the education module. Advanced practice nurses can lead by example.  The advanced practice nurse is often the team leader for patients receiving hospice services in the community, whether it be in the individual’s home or a long-term care facility. By using inclusive language and creating a safe environment for patients and families, the advanced practice nurse demonstrates care, compassion, and acceptance of LGBTQ patients and families</w:t>
      </w:r>
      <w:r w:rsidR="00386043">
        <w:rPr>
          <w:rFonts w:eastAsia="Calibri"/>
          <w:sz w:val="24"/>
          <w:szCs w:val="24"/>
        </w:rPr>
        <w:t xml:space="preserve"> </w:t>
      </w:r>
      <w:r w:rsidR="006437FF">
        <w:rPr>
          <w:rFonts w:eastAsia="Calibri"/>
          <w:sz w:val="24"/>
          <w:szCs w:val="24"/>
        </w:rPr>
        <w:t xml:space="preserve">(Manzer, O’Sullivan, &amp; Doucet, 2018). </w:t>
      </w:r>
      <w:r>
        <w:rPr>
          <w:rFonts w:eastAsia="Calibri"/>
          <w:sz w:val="24"/>
          <w:szCs w:val="24"/>
        </w:rPr>
        <w:t>They can influence other team members to also use inclusive language and creation of a safe space during all patient encounters. The advanced practice nurse can also educate other staff members about the unique needs of LGBTQ patients</w:t>
      </w:r>
      <w:r w:rsidR="00386043">
        <w:rPr>
          <w:rFonts w:eastAsia="Calibri"/>
          <w:sz w:val="24"/>
          <w:szCs w:val="24"/>
        </w:rPr>
        <w:t xml:space="preserve"> (Manzer et al., 2018)</w:t>
      </w:r>
      <w:r>
        <w:rPr>
          <w:rFonts w:eastAsia="Calibri"/>
          <w:sz w:val="24"/>
          <w:szCs w:val="24"/>
        </w:rPr>
        <w:t xml:space="preserve">.   </w:t>
      </w:r>
    </w:p>
    <w:p w14:paraId="1EA2C397" w14:textId="77777777" w:rsidR="005736AA" w:rsidRDefault="005736AA" w:rsidP="005736AA">
      <w:pPr>
        <w:ind w:firstLine="720"/>
        <w:contextualSpacing/>
        <w:rPr>
          <w:rFonts w:eastAsia="Calibri"/>
          <w:sz w:val="24"/>
          <w:szCs w:val="24"/>
        </w:rPr>
      </w:pPr>
      <w:r w:rsidRPr="00D957BC">
        <w:rPr>
          <w:rFonts w:eastAsia="Calibri"/>
          <w:b/>
          <w:sz w:val="24"/>
          <w:szCs w:val="24"/>
        </w:rPr>
        <w:t xml:space="preserve">Essential VI:  Interprofessional collaboration for improving patient and population health outcomes.  </w:t>
      </w:r>
      <w:r w:rsidRPr="00EC28B8">
        <w:rPr>
          <w:rFonts w:eastAsia="Calibri"/>
          <w:sz w:val="24"/>
          <w:szCs w:val="24"/>
        </w:rPr>
        <w:t xml:space="preserve">Interprofessional collaboration was used throughout the DNP project. The site </w:t>
      </w:r>
      <w:r w:rsidRPr="00EC28B8">
        <w:rPr>
          <w:rFonts w:eastAsia="Calibri"/>
          <w:sz w:val="24"/>
          <w:szCs w:val="24"/>
        </w:rPr>
        <w:lastRenderedPageBreak/>
        <w:t>champion had a Master</w:t>
      </w:r>
      <w:r>
        <w:rPr>
          <w:rFonts w:eastAsia="Calibri"/>
          <w:sz w:val="24"/>
          <w:szCs w:val="24"/>
        </w:rPr>
        <w:t>’</w:t>
      </w:r>
      <w:r w:rsidRPr="00EC28B8">
        <w:rPr>
          <w:rFonts w:eastAsia="Calibri"/>
          <w:sz w:val="24"/>
          <w:szCs w:val="24"/>
        </w:rPr>
        <w:t>s in Public Health</w:t>
      </w:r>
      <w:r>
        <w:rPr>
          <w:rFonts w:eastAsia="Calibri"/>
          <w:sz w:val="24"/>
          <w:szCs w:val="24"/>
        </w:rPr>
        <w:t xml:space="preserve"> and provided direct consultation into the project. The DNP project was also discussed with the inclusion steering committee prior to implementation. This interprofessional committee provided guidance on the education module and supported the project in its entirety. The inpatient hospice home leadership team were from the nursing profession and collaborated on the project as well providing suggestions for content of the module. </w:t>
      </w:r>
    </w:p>
    <w:p w14:paraId="65362D5A" w14:textId="77777777" w:rsidR="005736AA" w:rsidRDefault="005736AA" w:rsidP="005736AA">
      <w:pPr>
        <w:ind w:firstLine="720"/>
        <w:contextualSpacing/>
        <w:rPr>
          <w:rFonts w:eastAsia="Calibri"/>
          <w:sz w:val="24"/>
          <w:szCs w:val="24"/>
        </w:rPr>
      </w:pPr>
      <w:r>
        <w:rPr>
          <w:rFonts w:eastAsia="Calibri"/>
          <w:sz w:val="24"/>
          <w:szCs w:val="24"/>
        </w:rPr>
        <w:t>The DNP project opened dialogue about LGBTQ health within the organization among the interprofessional team members. Collaboration within the hospice agency already exists because of the strong interdisciplinary approach to patient care and outcomes. The DNP project extended this collaborative effort to start conversations about LGBTQ health, consistent use of inclusive language, and terminology. Recommendations included that the inclusion steering committee and inclusion workgroup continue within the organization and for continued outreach to all employees to join the workgroup.</w:t>
      </w:r>
    </w:p>
    <w:p w14:paraId="6A76CA0F" w14:textId="77777777" w:rsidR="005736AA" w:rsidRDefault="005736AA" w:rsidP="005736AA">
      <w:pPr>
        <w:ind w:firstLine="720"/>
        <w:contextualSpacing/>
        <w:rPr>
          <w:rFonts w:eastAsia="Calibri"/>
          <w:sz w:val="24"/>
          <w:szCs w:val="24"/>
        </w:rPr>
      </w:pPr>
      <w:r>
        <w:rPr>
          <w:rFonts w:eastAsia="Calibri"/>
          <w:sz w:val="24"/>
          <w:szCs w:val="24"/>
        </w:rPr>
        <w:t>The advanced practice nurse plays a vital role in interprofessional collaboration. The advanced practice nurse provides leadership within a committee or workgroup.  Several advanced practice nurses are members of the inclusion committee and provide insight to the health disparities and discrimination many patients face. The advanced practice nurses are already leaders in the community setting and seek input to patient care from all the disciplines.  As leaders they also set examples for other members of the team to follow when it comes to use of inclusive language and terminology.</w:t>
      </w:r>
    </w:p>
    <w:p w14:paraId="6A327EA8" w14:textId="77777777" w:rsidR="005736AA" w:rsidRDefault="005736AA" w:rsidP="005736AA">
      <w:pPr>
        <w:ind w:firstLine="720"/>
        <w:contextualSpacing/>
        <w:rPr>
          <w:rFonts w:eastAsia="Calibri"/>
          <w:sz w:val="24"/>
          <w:szCs w:val="24"/>
        </w:rPr>
      </w:pPr>
      <w:r w:rsidRPr="00D957BC">
        <w:rPr>
          <w:rFonts w:eastAsia="Calibri"/>
          <w:b/>
          <w:sz w:val="24"/>
          <w:szCs w:val="24"/>
        </w:rPr>
        <w:t xml:space="preserve">Essential VII:  Clinical prevention and population health for improving the nation’s health.  </w:t>
      </w:r>
      <w:r>
        <w:rPr>
          <w:rFonts w:eastAsia="Calibri"/>
          <w:sz w:val="24"/>
          <w:szCs w:val="24"/>
        </w:rPr>
        <w:t xml:space="preserve">Through review of the literature, it was discovered that LGBTQ persons suffer from gaps in care due to health disparities and fear of discrimination from healthcare providers.  </w:t>
      </w:r>
      <w:r w:rsidRPr="00F179D9">
        <w:rPr>
          <w:sz w:val="24"/>
          <w:szCs w:val="24"/>
        </w:rPr>
        <w:lastRenderedPageBreak/>
        <w:t>Healthy People 2020 identified one social determinant affecting the health of LGBTQ individuals as the lack of health care providers who are educated in culturally competent care for this population.</w:t>
      </w:r>
      <w:r>
        <w:rPr>
          <w:sz w:val="24"/>
          <w:szCs w:val="24"/>
        </w:rPr>
        <w:t xml:space="preserve"> </w:t>
      </w:r>
      <w:r>
        <w:rPr>
          <w:rFonts w:eastAsia="Calibri"/>
          <w:sz w:val="24"/>
          <w:szCs w:val="24"/>
        </w:rPr>
        <w:t>The DNP project addressed the need for cultural competency education to nurses so LGBTQ persons at end-of-life feel safe. This sense of security promotes a peaceful death in a population that many times chooses not to disclose their sexual orientation. Providing this education module promoted an improved health care delivery system not only for LGBTQ persons for all persons admitted to the hospice setting.</w:t>
      </w:r>
    </w:p>
    <w:p w14:paraId="2E31F1BD" w14:textId="6348AC38" w:rsidR="005736AA" w:rsidRDefault="005736AA" w:rsidP="005736AA">
      <w:pPr>
        <w:ind w:firstLine="720"/>
        <w:contextualSpacing/>
        <w:rPr>
          <w:rFonts w:eastAsia="Calibri"/>
          <w:sz w:val="24"/>
          <w:szCs w:val="24"/>
        </w:rPr>
      </w:pPr>
      <w:r>
        <w:rPr>
          <w:rFonts w:eastAsia="Calibri"/>
          <w:sz w:val="24"/>
          <w:szCs w:val="24"/>
        </w:rPr>
        <w:t xml:space="preserve">Analysis of the education module evaluations revealed a potential for quality of care issue based on personal and religious beliefs of two </w:t>
      </w:r>
      <w:r w:rsidR="00D85AF2">
        <w:rPr>
          <w:rFonts w:eastAsia="Calibri"/>
          <w:sz w:val="24"/>
          <w:szCs w:val="24"/>
        </w:rPr>
        <w:t>a</w:t>
      </w:r>
      <w:r w:rsidR="00C83588">
        <w:rPr>
          <w:rFonts w:eastAsia="Calibri"/>
          <w:sz w:val="24"/>
          <w:szCs w:val="24"/>
        </w:rPr>
        <w:t>ttendees</w:t>
      </w:r>
      <w:r>
        <w:rPr>
          <w:rFonts w:eastAsia="Calibri"/>
          <w:sz w:val="24"/>
          <w:szCs w:val="24"/>
        </w:rPr>
        <w:t>. One comment on the evaluation stated that homosexuality was against their religious belief and considered to be a sin, however this healthcare provider stated they could remain professional and use inclusive language to provide an inclusive environment. The other comment reflected that they would find it difficult to change their practice and use inclusive language and terminology due to their personal beliefs about homosexuality. Recommendations to address these issues was to continue education on health disparities that LBGTQ persons face, continue self-awareness and reflective practice, and provide a mechanism for staff to express their beliefs in a non-judgmental environment</w:t>
      </w:r>
      <w:r w:rsidR="00386043">
        <w:rPr>
          <w:rFonts w:eastAsia="Calibri"/>
          <w:sz w:val="24"/>
          <w:szCs w:val="24"/>
        </w:rPr>
        <w:t xml:space="preserve"> (Aquaviva, 2017)</w:t>
      </w:r>
      <w:r>
        <w:rPr>
          <w:rFonts w:eastAsia="Calibri"/>
          <w:sz w:val="24"/>
          <w:szCs w:val="24"/>
        </w:rPr>
        <w:t xml:space="preserve">. </w:t>
      </w:r>
    </w:p>
    <w:p w14:paraId="4D13990E" w14:textId="77777777" w:rsidR="005736AA" w:rsidRPr="002F4CF6" w:rsidRDefault="005736AA" w:rsidP="005736AA">
      <w:pPr>
        <w:ind w:firstLine="720"/>
        <w:contextualSpacing/>
        <w:rPr>
          <w:rFonts w:eastAsia="Calibri"/>
          <w:sz w:val="24"/>
          <w:szCs w:val="24"/>
        </w:rPr>
      </w:pPr>
      <w:r>
        <w:rPr>
          <w:rFonts w:eastAsia="Calibri"/>
          <w:sz w:val="24"/>
          <w:szCs w:val="24"/>
        </w:rPr>
        <w:t xml:space="preserve">As important as it is to educate hospice employees in the unique needs of LGBTQ persons, there is also a need to educate LGBTQ persons on palliative care and hospice services. The inclusion steering committee prioritized a future goal with a community focus to create and deliver community-based programming for members of LGBTQ communities and their health care providers as it relates to care of patients with serious illnesses and end of life care. Providing an education module in the LGBTQ community would enable persons to ask questions about </w:t>
      </w:r>
      <w:r>
        <w:rPr>
          <w:rFonts w:eastAsia="Calibri"/>
          <w:sz w:val="24"/>
          <w:szCs w:val="24"/>
        </w:rPr>
        <w:lastRenderedPageBreak/>
        <w:t>terminal illness and hospice and palliative care in a safe setting. By providing information to the LGBTQ community the organization will begin to establish a relationship based on trust and inclusion without fear of discrimination.</w:t>
      </w:r>
    </w:p>
    <w:p w14:paraId="153EA32B" w14:textId="77777777" w:rsidR="006437FF" w:rsidRDefault="005736AA" w:rsidP="006437FF">
      <w:pPr>
        <w:spacing w:after="0"/>
        <w:ind w:firstLine="720"/>
        <w:contextualSpacing/>
        <w:rPr>
          <w:rFonts w:eastAsia="Calibri"/>
          <w:sz w:val="24"/>
          <w:szCs w:val="24"/>
        </w:rPr>
      </w:pPr>
      <w:r w:rsidRPr="00D957BC">
        <w:rPr>
          <w:rFonts w:eastAsia="Calibri"/>
          <w:b/>
          <w:sz w:val="24"/>
          <w:szCs w:val="24"/>
        </w:rPr>
        <w:t xml:space="preserve">Essential VIII:  Advanced nursing practice.  </w:t>
      </w:r>
      <w:r w:rsidRPr="009C7066">
        <w:rPr>
          <w:rFonts w:eastAsia="Calibri"/>
          <w:sz w:val="24"/>
          <w:szCs w:val="24"/>
        </w:rPr>
        <w:t xml:space="preserve">The DNP project provided instruction on how to develop and maintain patient relationships by using inclusive language and terminology </w:t>
      </w:r>
      <w:r>
        <w:rPr>
          <w:rFonts w:eastAsia="Calibri"/>
          <w:sz w:val="24"/>
          <w:szCs w:val="24"/>
        </w:rPr>
        <w:t xml:space="preserve">at time of admission to an inpatient hospice home. This education is important for advanced practice nurses and DNP graduates to help them understand the unique health needs in the LGBTQ population. This knowledge will aid the advanced practice nurse to provide quality care, preventative measures and improve overall health outcomes to LGBTQ patients (Manzer </w:t>
      </w:r>
      <w:r w:rsidR="006437FF">
        <w:rPr>
          <w:rFonts w:eastAsia="Calibri"/>
          <w:sz w:val="24"/>
          <w:szCs w:val="24"/>
        </w:rPr>
        <w:t>et al.,</w:t>
      </w:r>
      <w:r>
        <w:rPr>
          <w:rFonts w:eastAsia="Calibri"/>
          <w:sz w:val="24"/>
          <w:szCs w:val="24"/>
        </w:rPr>
        <w:t xml:space="preserve"> 2018). </w:t>
      </w:r>
    </w:p>
    <w:p w14:paraId="4BAB97B7" w14:textId="45ACE79F" w:rsidR="005736AA" w:rsidRDefault="005736AA" w:rsidP="006437FF">
      <w:pPr>
        <w:spacing w:after="0"/>
        <w:ind w:firstLine="720"/>
        <w:contextualSpacing/>
        <w:rPr>
          <w:rFonts w:eastAsia="Calibri"/>
          <w:sz w:val="24"/>
          <w:szCs w:val="24"/>
        </w:rPr>
      </w:pPr>
      <w:r>
        <w:rPr>
          <w:rFonts w:eastAsia="Calibri"/>
          <w:sz w:val="24"/>
          <w:szCs w:val="24"/>
        </w:rPr>
        <w:t>All types of care settings should be LGBTQ friendly by using inclusive language and providing non-discriminatory care. Recommendations for care settings include adopting an inclusive culture within the organization and providing the needed education about LGBTQ persons and their health needs (Reese &amp; Beckwith, 2015). LGBTQ persons have unique health needs and many times will only disclose information when a safe space is provided (Mehta, 2017). Nurse educators need to provide information on how to create a safe space by use of inclusive language, using correct terminology, and use of open-ended questions during time of initial patient contact and assessment (Lim, Brown, &amp; Kim, 2014).</w:t>
      </w:r>
    </w:p>
    <w:p w14:paraId="10E8334E" w14:textId="0CE9745B" w:rsidR="005736AA" w:rsidRDefault="005736AA" w:rsidP="005736AA">
      <w:pPr>
        <w:ind w:firstLine="720"/>
        <w:contextualSpacing/>
        <w:rPr>
          <w:rFonts w:eastAsia="Calibri"/>
          <w:sz w:val="24"/>
          <w:szCs w:val="24"/>
        </w:rPr>
      </w:pPr>
      <w:r>
        <w:rPr>
          <w:rFonts w:eastAsia="Calibri"/>
          <w:sz w:val="24"/>
          <w:szCs w:val="24"/>
        </w:rPr>
        <w:t xml:space="preserve">However, there is a more pressing issue when it comes to educating advanced practice nurses on the LGBTQ population. There is a significant gap in training and education in lesbian, gay, bisexual, and transgender (LGBT) health that advanced practice nurses receive in their educational programs </w:t>
      </w:r>
      <w:r w:rsidR="00302ECF">
        <w:rPr>
          <w:rFonts w:eastAsia="Calibri"/>
          <w:sz w:val="24"/>
          <w:szCs w:val="24"/>
        </w:rPr>
        <w:t>(Manzer et al., 2018).</w:t>
      </w:r>
      <w:r>
        <w:rPr>
          <w:rFonts w:eastAsia="Calibri"/>
          <w:sz w:val="24"/>
          <w:szCs w:val="24"/>
        </w:rPr>
        <w:t xml:space="preserve"> Recommendations for nurse educators is to evaluate </w:t>
      </w:r>
      <w:r>
        <w:rPr>
          <w:rFonts w:eastAsia="Calibri"/>
          <w:sz w:val="24"/>
          <w:szCs w:val="24"/>
        </w:rPr>
        <w:lastRenderedPageBreak/>
        <w:t xml:space="preserve">current curriculum as it relates to LGBT health as well as the experiential learning opportunities available to advanced practice nursing students </w:t>
      </w:r>
      <w:r w:rsidR="00302ECF">
        <w:rPr>
          <w:rFonts w:eastAsia="Calibri"/>
          <w:sz w:val="24"/>
          <w:szCs w:val="24"/>
        </w:rPr>
        <w:t>(Manzer et al., 2018).</w:t>
      </w:r>
    </w:p>
    <w:p w14:paraId="3704F96C" w14:textId="77777777" w:rsidR="005736AA" w:rsidRPr="009C7066" w:rsidRDefault="005736AA" w:rsidP="005736AA">
      <w:pPr>
        <w:ind w:firstLine="720"/>
        <w:contextualSpacing/>
        <w:rPr>
          <w:rFonts w:eastAsia="Calibri"/>
          <w:sz w:val="24"/>
          <w:szCs w:val="24"/>
        </w:rPr>
      </w:pPr>
      <w:r>
        <w:rPr>
          <w:rFonts w:eastAsia="Calibri"/>
          <w:sz w:val="24"/>
          <w:szCs w:val="24"/>
        </w:rPr>
        <w:t>Delivery of an education module on inclusive language provides mentorship and support to DNP graduates who were either unsure or uncomfortable with use of inclusive language and terminology. Use of inclusive language is a nursing intervention that promotes quality and improves patient outcomes. Delivery of the education module to DNP graduates at orientation will promote an effective change in the organization.</w:t>
      </w:r>
      <w:r w:rsidRPr="00B309AC">
        <w:rPr>
          <w:rFonts w:eastAsia="Calibri"/>
          <w:sz w:val="24"/>
          <w:szCs w:val="24"/>
        </w:rPr>
        <w:t xml:space="preserve"> </w:t>
      </w:r>
      <w:r>
        <w:rPr>
          <w:rFonts w:eastAsia="Calibri"/>
          <w:sz w:val="24"/>
          <w:szCs w:val="24"/>
        </w:rPr>
        <w:t>DNP graduates can provide the support that members of the LGBTQ population need at the end-of-life.</w:t>
      </w:r>
    </w:p>
    <w:p w14:paraId="66629A2A" w14:textId="2F485F2A" w:rsidR="00420D7B" w:rsidRDefault="005736AA" w:rsidP="005736AA">
      <w:pPr>
        <w:contextualSpacing/>
        <w:rPr>
          <w:rFonts w:eastAsia="Calibri"/>
          <w:b/>
          <w:sz w:val="24"/>
          <w:szCs w:val="24"/>
        </w:rPr>
      </w:pPr>
      <w:r w:rsidRPr="00D957BC">
        <w:rPr>
          <w:rFonts w:eastAsia="Calibri"/>
          <w:b/>
          <w:sz w:val="24"/>
          <w:szCs w:val="24"/>
        </w:rPr>
        <w:t>Summary</w:t>
      </w:r>
      <w:r>
        <w:rPr>
          <w:rFonts w:eastAsia="Calibri"/>
          <w:b/>
          <w:sz w:val="24"/>
          <w:szCs w:val="24"/>
        </w:rPr>
        <w:tab/>
      </w:r>
    </w:p>
    <w:p w14:paraId="6ADF22DD" w14:textId="6FC137B0" w:rsidR="005736AA" w:rsidRDefault="00420D7B" w:rsidP="005736AA">
      <w:pPr>
        <w:contextualSpacing/>
        <w:rPr>
          <w:rFonts w:eastAsia="Calibri"/>
          <w:sz w:val="24"/>
          <w:szCs w:val="24"/>
        </w:rPr>
      </w:pPr>
      <w:r>
        <w:rPr>
          <w:rFonts w:eastAsia="Calibri"/>
          <w:b/>
          <w:sz w:val="24"/>
          <w:szCs w:val="24"/>
        </w:rPr>
        <w:tab/>
      </w:r>
      <w:r w:rsidR="005736AA" w:rsidRPr="009C664D">
        <w:rPr>
          <w:rFonts w:eastAsia="Calibri"/>
          <w:sz w:val="24"/>
          <w:szCs w:val="24"/>
        </w:rPr>
        <w:t>By using the AACN Essentials as a guide</w:t>
      </w:r>
      <w:r w:rsidR="005736AA">
        <w:rPr>
          <w:rFonts w:eastAsia="Calibri"/>
          <w:sz w:val="24"/>
          <w:szCs w:val="24"/>
        </w:rPr>
        <w:t>, implications for t</w:t>
      </w:r>
      <w:r w:rsidR="005736AA" w:rsidRPr="009C664D">
        <w:rPr>
          <w:rFonts w:eastAsia="Calibri"/>
          <w:sz w:val="24"/>
          <w:szCs w:val="24"/>
        </w:rPr>
        <w:t>he</w:t>
      </w:r>
      <w:r w:rsidR="005736AA">
        <w:rPr>
          <w:rFonts w:eastAsia="Calibri"/>
          <w:sz w:val="24"/>
          <w:szCs w:val="24"/>
        </w:rPr>
        <w:t xml:space="preserve"> DNP project for advanced practice nurses were discovered.  Advanced practice nurses will care for members of the LGBTQ community and require knowledge about this vulnerable population. Knowledge includes use of inclusive language, understanding of the terminology, and specific health care needs. An understanding of the health disparities and fear of discrimination by the advanced practice nurse will allow for quality care and positive health outcomes.</w:t>
      </w:r>
    </w:p>
    <w:p w14:paraId="0D496935" w14:textId="77777777" w:rsidR="005736AA" w:rsidRDefault="005736AA" w:rsidP="005736AA">
      <w:pPr>
        <w:contextualSpacing/>
        <w:rPr>
          <w:rFonts w:eastAsia="Calibri"/>
          <w:sz w:val="24"/>
          <w:szCs w:val="24"/>
        </w:rPr>
      </w:pPr>
    </w:p>
    <w:p w14:paraId="0D1AD46C" w14:textId="77777777" w:rsidR="00386043" w:rsidRDefault="00386043" w:rsidP="00504158">
      <w:pPr>
        <w:jc w:val="center"/>
        <w:rPr>
          <w:rFonts w:eastAsia="Calibri"/>
          <w:b/>
          <w:sz w:val="24"/>
          <w:szCs w:val="24"/>
        </w:rPr>
      </w:pPr>
    </w:p>
    <w:p w14:paraId="05E5C1D7" w14:textId="77777777" w:rsidR="00386043" w:rsidRDefault="00386043" w:rsidP="00504158">
      <w:pPr>
        <w:jc w:val="center"/>
        <w:rPr>
          <w:rFonts w:eastAsia="Calibri"/>
          <w:b/>
          <w:sz w:val="24"/>
          <w:szCs w:val="24"/>
        </w:rPr>
      </w:pPr>
    </w:p>
    <w:p w14:paraId="65F00586" w14:textId="77777777" w:rsidR="00386043" w:rsidRDefault="00386043" w:rsidP="00504158">
      <w:pPr>
        <w:jc w:val="center"/>
        <w:rPr>
          <w:rFonts w:eastAsia="Calibri"/>
          <w:b/>
          <w:sz w:val="24"/>
          <w:szCs w:val="24"/>
        </w:rPr>
      </w:pPr>
    </w:p>
    <w:p w14:paraId="5236DB7D" w14:textId="77777777" w:rsidR="00386043" w:rsidRDefault="00386043" w:rsidP="00504158">
      <w:pPr>
        <w:jc w:val="center"/>
        <w:rPr>
          <w:rFonts w:eastAsia="Calibri"/>
          <w:b/>
          <w:sz w:val="24"/>
          <w:szCs w:val="24"/>
        </w:rPr>
      </w:pPr>
    </w:p>
    <w:p w14:paraId="160A0CF6" w14:textId="77777777" w:rsidR="00386043" w:rsidRDefault="00386043" w:rsidP="00504158">
      <w:pPr>
        <w:jc w:val="center"/>
        <w:rPr>
          <w:rFonts w:eastAsia="Calibri"/>
          <w:b/>
          <w:sz w:val="24"/>
          <w:szCs w:val="24"/>
        </w:rPr>
      </w:pPr>
    </w:p>
    <w:p w14:paraId="061417B6" w14:textId="77777777" w:rsidR="00386043" w:rsidRDefault="00386043" w:rsidP="00504158">
      <w:pPr>
        <w:jc w:val="center"/>
        <w:rPr>
          <w:rFonts w:eastAsia="Calibri"/>
          <w:b/>
          <w:sz w:val="24"/>
          <w:szCs w:val="24"/>
        </w:rPr>
      </w:pPr>
    </w:p>
    <w:p w14:paraId="3DCB592E" w14:textId="1A9FF8AF" w:rsidR="005736AA" w:rsidRPr="004506D4" w:rsidRDefault="00504158" w:rsidP="003A287D">
      <w:pPr>
        <w:spacing w:after="0"/>
        <w:jc w:val="center"/>
        <w:rPr>
          <w:rFonts w:eastAsia="Calibri"/>
          <w:b/>
          <w:sz w:val="24"/>
          <w:szCs w:val="24"/>
        </w:rPr>
      </w:pPr>
      <w:r>
        <w:rPr>
          <w:rFonts w:eastAsia="Calibri"/>
          <w:b/>
          <w:sz w:val="24"/>
          <w:szCs w:val="24"/>
        </w:rPr>
        <w:lastRenderedPageBreak/>
        <w:t>C</w:t>
      </w:r>
      <w:r w:rsidR="005736AA" w:rsidRPr="004506D4">
        <w:rPr>
          <w:rFonts w:eastAsia="Calibri"/>
          <w:b/>
          <w:sz w:val="24"/>
          <w:szCs w:val="24"/>
        </w:rPr>
        <w:t xml:space="preserve">hapter Eight: </w:t>
      </w:r>
      <w:r w:rsidR="005736AA">
        <w:rPr>
          <w:rFonts w:eastAsia="Calibri"/>
          <w:b/>
          <w:sz w:val="24"/>
          <w:szCs w:val="24"/>
        </w:rPr>
        <w:t xml:space="preserve"> </w:t>
      </w:r>
      <w:r w:rsidR="005736AA" w:rsidRPr="004506D4">
        <w:rPr>
          <w:rFonts w:eastAsia="Calibri"/>
          <w:b/>
          <w:sz w:val="24"/>
          <w:szCs w:val="24"/>
        </w:rPr>
        <w:t>Final Conclusion</w:t>
      </w:r>
      <w:r w:rsidR="005736AA">
        <w:rPr>
          <w:rFonts w:eastAsia="Calibri"/>
          <w:b/>
          <w:sz w:val="24"/>
          <w:szCs w:val="24"/>
        </w:rPr>
        <w:t>s</w:t>
      </w:r>
    </w:p>
    <w:p w14:paraId="3D290F21" w14:textId="1CBFB4DB" w:rsidR="005736AA" w:rsidRPr="00EC7EA5" w:rsidRDefault="005736AA" w:rsidP="003A287D">
      <w:pPr>
        <w:pStyle w:val="APA"/>
        <w:rPr>
          <w:b/>
          <w:szCs w:val="24"/>
        </w:rPr>
      </w:pPr>
      <w:r>
        <w:rPr>
          <w:szCs w:val="24"/>
        </w:rPr>
        <w:t>Persons who identify as lesbian, gay, bisexual, transgender, and/or queer</w:t>
      </w:r>
      <w:r w:rsidR="007F659A">
        <w:rPr>
          <w:szCs w:val="24"/>
        </w:rPr>
        <w:t xml:space="preserve"> or questioning</w:t>
      </w:r>
      <w:r>
        <w:rPr>
          <w:szCs w:val="24"/>
        </w:rPr>
        <w:t xml:space="preserve"> (LGBTQ) have long faced health disparities and discrimination even within healthcare.  This fear often leads LGBTQ persons to delay or not seek healthcare at all. Older LGBTQ persons often “go back into the closet” for fear of mistreatment by caregivers.  This fear can also extend into LGBTQ persons at end of life.  Use of inclusive language, terminology, and open-ended questions creates a safe space allowing LGBTQ patients and families to experience an accepting and peaceful setting at a vulnerable time. This </w:t>
      </w:r>
      <w:r w:rsidR="00E21D68">
        <w:t xml:space="preserve">Doctor in Nursing Practice (DNP) </w:t>
      </w:r>
      <w:r>
        <w:rPr>
          <w:szCs w:val="24"/>
        </w:rPr>
        <w:t xml:space="preserve">project developed and provided an education module on use of inclusive language, terminology, and open-ended questions using interactive methods with the goal that this initiative would lay the foundation for additional education and awareness of the unique health needs of LGBTQ communities within a hospice agency.  </w:t>
      </w:r>
      <w:r w:rsidR="0026727A">
        <w:rPr>
          <w:szCs w:val="24"/>
        </w:rPr>
        <w:t xml:space="preserve">The purpose of this chapter is to discuss </w:t>
      </w:r>
      <w:r w:rsidR="002036A4">
        <w:rPr>
          <w:szCs w:val="24"/>
        </w:rPr>
        <w:t xml:space="preserve">the project findings, strengths and limitations, and benefits. It will also discuss recommendations for practice within the organization. </w:t>
      </w:r>
    </w:p>
    <w:p w14:paraId="6B364186" w14:textId="77777777" w:rsidR="005736AA" w:rsidRPr="00EC7EA5" w:rsidRDefault="005736AA" w:rsidP="005736AA">
      <w:pPr>
        <w:contextualSpacing/>
        <w:rPr>
          <w:rFonts w:eastAsia="Calibri"/>
          <w:b/>
          <w:sz w:val="24"/>
          <w:szCs w:val="24"/>
        </w:rPr>
      </w:pPr>
      <w:r>
        <w:rPr>
          <w:rFonts w:eastAsia="Calibri"/>
          <w:b/>
          <w:sz w:val="24"/>
          <w:szCs w:val="24"/>
        </w:rPr>
        <w:t>Significance of Findings</w:t>
      </w:r>
    </w:p>
    <w:p w14:paraId="1B7C9809" w14:textId="6D237384" w:rsidR="005736AA" w:rsidRDefault="005736AA" w:rsidP="005736AA">
      <w:pPr>
        <w:contextualSpacing/>
        <w:rPr>
          <w:rFonts w:eastAsiaTheme="minorHAnsi"/>
          <w:sz w:val="24"/>
          <w:szCs w:val="24"/>
        </w:rPr>
      </w:pPr>
      <w:r w:rsidRPr="00EC7EA5">
        <w:rPr>
          <w:rFonts w:eastAsia="Calibri"/>
          <w:b/>
          <w:sz w:val="24"/>
          <w:szCs w:val="24"/>
        </w:rPr>
        <w:t xml:space="preserve"> </w:t>
      </w:r>
      <w:r>
        <w:rPr>
          <w:rFonts w:eastAsia="Calibri"/>
          <w:b/>
          <w:sz w:val="24"/>
          <w:szCs w:val="24"/>
        </w:rPr>
        <w:tab/>
      </w:r>
      <w:r>
        <w:rPr>
          <w:rFonts w:eastAsiaTheme="minorHAnsi"/>
          <w:sz w:val="24"/>
          <w:szCs w:val="24"/>
        </w:rPr>
        <w:t xml:space="preserve">Preliminary findings suggest that the organization at all levels is ready for a culture shift when it comes to use of inclusive language and creating a safe space for LGBTQ patients and families. Of the </w:t>
      </w:r>
      <w:r w:rsidR="00D85AF2">
        <w:rPr>
          <w:rFonts w:eastAsiaTheme="minorHAnsi"/>
          <w:sz w:val="24"/>
          <w:szCs w:val="24"/>
        </w:rPr>
        <w:t>a</w:t>
      </w:r>
      <w:r w:rsidR="00C83588">
        <w:rPr>
          <w:rFonts w:eastAsiaTheme="minorHAnsi"/>
          <w:sz w:val="24"/>
          <w:szCs w:val="24"/>
        </w:rPr>
        <w:t>ttendees</w:t>
      </w:r>
      <w:r>
        <w:rPr>
          <w:rFonts w:eastAsiaTheme="minorHAnsi"/>
          <w:sz w:val="24"/>
          <w:szCs w:val="24"/>
        </w:rPr>
        <w:t xml:space="preserve"> attending the education module, 95% stated they would implement the use of inclusive language during care to all patients and would recommend the education module to other employees.  With staff being knowledgeable, demonstrating this behavior provides example and mentorship for other staff members who witness these best practices.  </w:t>
      </w:r>
    </w:p>
    <w:p w14:paraId="15E1498B" w14:textId="4DEF1E11" w:rsidR="005736AA" w:rsidRDefault="005736AA" w:rsidP="005736AA">
      <w:pPr>
        <w:contextualSpacing/>
        <w:rPr>
          <w:rFonts w:eastAsiaTheme="minorHAnsi"/>
          <w:sz w:val="24"/>
          <w:szCs w:val="24"/>
        </w:rPr>
      </w:pPr>
      <w:r>
        <w:rPr>
          <w:rFonts w:eastAsiaTheme="minorHAnsi"/>
          <w:sz w:val="24"/>
          <w:szCs w:val="24"/>
        </w:rPr>
        <w:tab/>
        <w:t xml:space="preserve">Reflection on the anecdotal comments were also significant to </w:t>
      </w:r>
      <w:r w:rsidR="00D10D49">
        <w:rPr>
          <w:rFonts w:eastAsiaTheme="minorHAnsi"/>
          <w:sz w:val="24"/>
          <w:szCs w:val="24"/>
        </w:rPr>
        <w:t>meeting project outcomes</w:t>
      </w:r>
      <w:r>
        <w:rPr>
          <w:rFonts w:eastAsiaTheme="minorHAnsi"/>
          <w:sz w:val="24"/>
          <w:szCs w:val="24"/>
        </w:rPr>
        <w:t xml:space="preserve">, </w:t>
      </w:r>
      <w:r w:rsidR="00D10D49">
        <w:rPr>
          <w:rFonts w:eastAsiaTheme="minorHAnsi"/>
          <w:sz w:val="24"/>
          <w:szCs w:val="24"/>
        </w:rPr>
        <w:t xml:space="preserve"> </w:t>
      </w:r>
      <w:r>
        <w:rPr>
          <w:rFonts w:eastAsiaTheme="minorHAnsi"/>
          <w:sz w:val="24"/>
          <w:szCs w:val="24"/>
        </w:rPr>
        <w:t xml:space="preserve"> recommendations for future projects, and an understanding by the student project director of the </w:t>
      </w:r>
      <w:r>
        <w:rPr>
          <w:rFonts w:eastAsiaTheme="minorHAnsi"/>
          <w:sz w:val="24"/>
          <w:szCs w:val="24"/>
        </w:rPr>
        <w:lastRenderedPageBreak/>
        <w:t xml:space="preserve">overall impact of the project.  Through anecdotal conversations conducted 4-weeks post module, the student project director discovered an overall sense of increased awareness by staff who attended.  </w:t>
      </w:r>
      <w:r w:rsidR="00D10D49">
        <w:rPr>
          <w:rFonts w:eastAsiaTheme="minorHAnsi"/>
          <w:sz w:val="24"/>
          <w:szCs w:val="24"/>
        </w:rPr>
        <w:t xml:space="preserve"> </w:t>
      </w:r>
      <w:r>
        <w:rPr>
          <w:rFonts w:eastAsiaTheme="minorHAnsi"/>
          <w:sz w:val="24"/>
          <w:szCs w:val="24"/>
        </w:rPr>
        <w:t xml:space="preserve">All staff that the student project director spoke with stated that they knew to be inclusive to all patients but that the education module brought this awareness from the periphery to the central aspects of direct patient care.  </w:t>
      </w:r>
      <w:r w:rsidR="00D10D49">
        <w:rPr>
          <w:rFonts w:eastAsiaTheme="minorHAnsi"/>
          <w:sz w:val="24"/>
          <w:szCs w:val="24"/>
        </w:rPr>
        <w:t xml:space="preserve">Thus, </w:t>
      </w:r>
      <w:r>
        <w:rPr>
          <w:rFonts w:eastAsiaTheme="minorHAnsi"/>
          <w:sz w:val="24"/>
          <w:szCs w:val="24"/>
        </w:rPr>
        <w:t>staff who attended are more intentional in using inclusive language, terminology, and open-ended non-assumptive questions</w:t>
      </w:r>
      <w:r w:rsidR="00D10D49">
        <w:rPr>
          <w:rFonts w:eastAsiaTheme="minorHAnsi"/>
          <w:sz w:val="24"/>
          <w:szCs w:val="24"/>
        </w:rPr>
        <w:t xml:space="preserve"> reflecting a practice change</w:t>
      </w:r>
      <w:r>
        <w:rPr>
          <w:rFonts w:eastAsiaTheme="minorHAnsi"/>
          <w:sz w:val="24"/>
          <w:szCs w:val="24"/>
        </w:rPr>
        <w:t xml:space="preserve">.  </w:t>
      </w:r>
    </w:p>
    <w:p w14:paraId="7ECF1CC7" w14:textId="431CBE4C" w:rsidR="005736AA" w:rsidRDefault="005736AA" w:rsidP="005736AA">
      <w:pPr>
        <w:contextualSpacing/>
        <w:rPr>
          <w:rFonts w:eastAsiaTheme="minorHAnsi"/>
          <w:sz w:val="24"/>
          <w:szCs w:val="24"/>
        </w:rPr>
      </w:pPr>
      <w:r>
        <w:rPr>
          <w:rFonts w:eastAsiaTheme="minorHAnsi"/>
          <w:sz w:val="24"/>
          <w:szCs w:val="24"/>
        </w:rPr>
        <w:tab/>
        <w:t xml:space="preserve">Individual </w:t>
      </w:r>
      <w:r w:rsidR="00D85AF2">
        <w:rPr>
          <w:rFonts w:eastAsiaTheme="minorHAnsi"/>
          <w:sz w:val="24"/>
          <w:szCs w:val="24"/>
        </w:rPr>
        <w:t xml:space="preserve">attendees’ </w:t>
      </w:r>
      <w:r>
        <w:rPr>
          <w:rFonts w:eastAsiaTheme="minorHAnsi"/>
          <w:sz w:val="24"/>
          <w:szCs w:val="24"/>
        </w:rPr>
        <w:t>evaluations provided data to support not only the education be delivered to staff of the inpatient hospice home but to all employees. Data from the surveys support that the education module should be delivered at time of orientation and on an annual basis for all employees regardless of role within the organization. Delivery of the education module at time of orientation provides a foundational principle to all new hires that inclusion is important to the organization.  By providing the education module to all employees</w:t>
      </w:r>
      <w:r w:rsidR="007F659A">
        <w:rPr>
          <w:rFonts w:eastAsiaTheme="minorHAnsi"/>
          <w:sz w:val="24"/>
          <w:szCs w:val="24"/>
        </w:rPr>
        <w:t xml:space="preserve"> at the same time</w:t>
      </w:r>
      <w:r>
        <w:rPr>
          <w:rFonts w:eastAsiaTheme="minorHAnsi"/>
          <w:sz w:val="24"/>
          <w:szCs w:val="24"/>
        </w:rPr>
        <w:t xml:space="preserve"> facilitates interprofessional discussion and education and fosters a best practice interdisciplinary team approach to LGBTQ patients. Providing the education module to all employees builds the culture shift of the importance of inclusive language and providing a safe space for all patients and families. </w:t>
      </w:r>
    </w:p>
    <w:p w14:paraId="6A9002D7" w14:textId="50B88445" w:rsidR="005736AA" w:rsidRPr="00EC7EA5" w:rsidRDefault="005736AA" w:rsidP="005736AA">
      <w:pPr>
        <w:contextualSpacing/>
        <w:rPr>
          <w:rFonts w:eastAsia="Calibri"/>
          <w:b/>
          <w:sz w:val="24"/>
          <w:szCs w:val="24"/>
        </w:rPr>
      </w:pPr>
      <w:r>
        <w:rPr>
          <w:rFonts w:eastAsiaTheme="minorHAnsi"/>
          <w:sz w:val="24"/>
          <w:szCs w:val="24"/>
        </w:rPr>
        <w:tab/>
        <w:t>The DNP project provided a beginning in a culture shift to address inclusion in the organization. This DNP project was the first</w:t>
      </w:r>
      <w:r w:rsidR="003F7566">
        <w:rPr>
          <w:rFonts w:eastAsiaTheme="minorHAnsi"/>
          <w:sz w:val="24"/>
          <w:szCs w:val="24"/>
        </w:rPr>
        <w:t xml:space="preserve"> </w:t>
      </w:r>
      <w:r>
        <w:rPr>
          <w:rFonts w:eastAsiaTheme="minorHAnsi"/>
          <w:sz w:val="24"/>
          <w:szCs w:val="24"/>
        </w:rPr>
        <w:t xml:space="preserve">time education related to use of inclusive language and care of LGBTQ person was delivered at the organization. The project provided an opportunity within the organization to discuss the need for use of inclusive language and health of LGBTQ persons. The project also initiated a discussion </w:t>
      </w:r>
      <w:r w:rsidR="003F7566">
        <w:rPr>
          <w:rFonts w:eastAsiaTheme="minorHAnsi"/>
          <w:sz w:val="24"/>
          <w:szCs w:val="24"/>
        </w:rPr>
        <w:t>about</w:t>
      </w:r>
      <w:r>
        <w:rPr>
          <w:rFonts w:eastAsiaTheme="minorHAnsi"/>
          <w:sz w:val="24"/>
          <w:szCs w:val="24"/>
        </w:rPr>
        <w:t xml:space="preserve"> providing education to </w:t>
      </w:r>
      <w:r w:rsidR="003F7566">
        <w:rPr>
          <w:rFonts w:eastAsiaTheme="minorHAnsi"/>
          <w:sz w:val="24"/>
          <w:szCs w:val="24"/>
        </w:rPr>
        <w:t xml:space="preserve">the </w:t>
      </w:r>
      <w:r>
        <w:rPr>
          <w:rFonts w:eastAsiaTheme="minorHAnsi"/>
          <w:sz w:val="24"/>
          <w:szCs w:val="24"/>
        </w:rPr>
        <w:t xml:space="preserve">LGBTQ community about hospice and palliative care. </w:t>
      </w:r>
    </w:p>
    <w:p w14:paraId="277EFF1F" w14:textId="77777777" w:rsidR="005736AA" w:rsidRPr="00EC7EA5" w:rsidRDefault="005736AA" w:rsidP="00A543DF">
      <w:pPr>
        <w:spacing w:after="0"/>
        <w:contextualSpacing/>
        <w:rPr>
          <w:rFonts w:eastAsia="Calibri"/>
          <w:b/>
          <w:sz w:val="24"/>
          <w:szCs w:val="24"/>
        </w:rPr>
      </w:pPr>
      <w:r>
        <w:rPr>
          <w:rFonts w:eastAsia="Calibri"/>
          <w:b/>
          <w:sz w:val="24"/>
          <w:szCs w:val="24"/>
        </w:rPr>
        <w:lastRenderedPageBreak/>
        <w:t>Project Strength and Limitations</w:t>
      </w:r>
    </w:p>
    <w:p w14:paraId="77CDC23F" w14:textId="620CCE82" w:rsidR="000238CE" w:rsidRDefault="005736AA" w:rsidP="00A543DF">
      <w:pPr>
        <w:pStyle w:val="APA"/>
      </w:pPr>
      <w:r>
        <w:rPr>
          <w:szCs w:val="24"/>
        </w:rPr>
        <w:t xml:space="preserve">One strength of the project was timing. The organization was desiring to form a committee focused on inclusion and diversity </w:t>
      </w:r>
      <w:r w:rsidR="00C477EB">
        <w:rPr>
          <w:szCs w:val="24"/>
        </w:rPr>
        <w:t xml:space="preserve">at the same time  </w:t>
      </w:r>
      <w:r>
        <w:rPr>
          <w:szCs w:val="24"/>
        </w:rPr>
        <w:t xml:space="preserve">the student project director was discussing </w:t>
      </w:r>
      <w:r w:rsidR="00C477EB">
        <w:rPr>
          <w:szCs w:val="24"/>
        </w:rPr>
        <w:t>potential topics for the DNP project.</w:t>
      </w:r>
      <w:r>
        <w:rPr>
          <w:szCs w:val="24"/>
        </w:rPr>
        <w:t xml:space="preserve"> The student project director became a member of the initial inclusion committee which eventually became the inclusion steering committee as the inclusion workgroup grew with interested employees. </w:t>
      </w:r>
    </w:p>
    <w:p w14:paraId="0A6548FD" w14:textId="0C87391B" w:rsidR="005736AA" w:rsidRDefault="005736AA" w:rsidP="005736AA">
      <w:pPr>
        <w:ind w:firstLine="720"/>
        <w:contextualSpacing/>
        <w:rPr>
          <w:sz w:val="24"/>
          <w:szCs w:val="24"/>
        </w:rPr>
      </w:pPr>
      <w:r>
        <w:rPr>
          <w:sz w:val="24"/>
          <w:szCs w:val="24"/>
        </w:rPr>
        <w:t xml:space="preserve">Another significant strength was the support of the agency. The Chief Executive Officer, the leadership team, the education department and the inpatient hospice home nursing leadership team all supported the project fully and unequivocally. Through this support, </w:t>
      </w:r>
      <w:r w:rsidR="00C477EB">
        <w:rPr>
          <w:sz w:val="24"/>
          <w:szCs w:val="24"/>
        </w:rPr>
        <w:t xml:space="preserve">the project director collaborated with </w:t>
      </w:r>
      <w:r w:rsidR="00185CBD">
        <w:rPr>
          <w:sz w:val="24"/>
          <w:szCs w:val="24"/>
        </w:rPr>
        <w:t>a member of the education department</w:t>
      </w:r>
      <w:r w:rsidR="00C477EB">
        <w:rPr>
          <w:sz w:val="24"/>
          <w:szCs w:val="24"/>
        </w:rPr>
        <w:t xml:space="preserve"> to complete an application to offer</w:t>
      </w:r>
      <w:r w:rsidR="00185CBD">
        <w:rPr>
          <w:sz w:val="24"/>
          <w:szCs w:val="24"/>
        </w:rPr>
        <w:t xml:space="preserve"> </w:t>
      </w:r>
      <w:r>
        <w:rPr>
          <w:sz w:val="24"/>
          <w:szCs w:val="24"/>
        </w:rPr>
        <w:t>a one-hour Continuing Nursing Education (CNE) credit</w:t>
      </w:r>
      <w:r w:rsidR="00185CBD">
        <w:rPr>
          <w:sz w:val="24"/>
          <w:szCs w:val="24"/>
        </w:rPr>
        <w:t xml:space="preserve">. </w:t>
      </w:r>
      <w:r w:rsidR="00185CBD" w:rsidRPr="00185CBD">
        <w:rPr>
          <w:sz w:val="24"/>
          <w:szCs w:val="24"/>
        </w:rPr>
        <w:t>All nurses received the 1.0-hour CNE credit for attending</w:t>
      </w:r>
      <w:r w:rsidR="00185CBD">
        <w:rPr>
          <w:sz w:val="24"/>
          <w:szCs w:val="24"/>
        </w:rPr>
        <w:t xml:space="preserve"> which may have provided motivation for attending. </w:t>
      </w:r>
      <w:r>
        <w:rPr>
          <w:sz w:val="24"/>
          <w:szCs w:val="24"/>
        </w:rPr>
        <w:t xml:space="preserve">Support was </w:t>
      </w:r>
      <w:r w:rsidR="00185CBD">
        <w:rPr>
          <w:sz w:val="24"/>
          <w:szCs w:val="24"/>
        </w:rPr>
        <w:t xml:space="preserve">also </w:t>
      </w:r>
      <w:r>
        <w:rPr>
          <w:sz w:val="24"/>
          <w:szCs w:val="24"/>
        </w:rPr>
        <w:t xml:space="preserve">demonstrated by providing space and time for the education module. </w:t>
      </w:r>
    </w:p>
    <w:p w14:paraId="6DE7201C" w14:textId="539DD892" w:rsidR="001F0B9F" w:rsidRDefault="00E4025C" w:rsidP="005736AA">
      <w:pPr>
        <w:ind w:firstLine="720"/>
        <w:contextualSpacing/>
        <w:rPr>
          <w:sz w:val="24"/>
          <w:szCs w:val="24"/>
        </w:rPr>
      </w:pPr>
      <w:r>
        <w:rPr>
          <w:sz w:val="24"/>
          <w:szCs w:val="24"/>
        </w:rPr>
        <w:t>A</w:t>
      </w:r>
      <w:r w:rsidR="005736AA">
        <w:rPr>
          <w:sz w:val="24"/>
          <w:szCs w:val="24"/>
        </w:rPr>
        <w:t>ttendance</w:t>
      </w:r>
      <w:r w:rsidR="00185CBD">
        <w:rPr>
          <w:sz w:val="24"/>
          <w:szCs w:val="24"/>
        </w:rPr>
        <w:t xml:space="preserve"> by </w:t>
      </w:r>
      <w:r>
        <w:rPr>
          <w:sz w:val="24"/>
          <w:szCs w:val="24"/>
        </w:rPr>
        <w:t xml:space="preserve">30% of </w:t>
      </w:r>
      <w:r w:rsidR="00185CBD">
        <w:rPr>
          <w:sz w:val="24"/>
          <w:szCs w:val="24"/>
        </w:rPr>
        <w:t>employees</w:t>
      </w:r>
      <w:r w:rsidR="005736AA">
        <w:rPr>
          <w:sz w:val="24"/>
          <w:szCs w:val="24"/>
        </w:rPr>
        <w:t xml:space="preserve"> to the educational </w:t>
      </w:r>
      <w:r w:rsidR="00753971">
        <w:rPr>
          <w:sz w:val="24"/>
          <w:szCs w:val="24"/>
        </w:rPr>
        <w:t xml:space="preserve">module </w:t>
      </w:r>
      <w:r w:rsidR="005736AA">
        <w:rPr>
          <w:sz w:val="24"/>
          <w:szCs w:val="24"/>
        </w:rPr>
        <w:t>was</w:t>
      </w:r>
      <w:r w:rsidR="001F0B9F">
        <w:rPr>
          <w:sz w:val="24"/>
          <w:szCs w:val="24"/>
        </w:rPr>
        <w:t xml:space="preserve"> identified as</w:t>
      </w:r>
      <w:r w:rsidR="005736AA">
        <w:rPr>
          <w:sz w:val="24"/>
          <w:szCs w:val="24"/>
        </w:rPr>
        <w:t xml:space="preserve"> a limitation of the project. An increase in attendees would have provided education to more staff members and additional evaluative data. The education module was advertised through weekly communication from the nurse manager as well as a sign-up sheet in the break room. Perhaps if the student project director had provided personal invitations to staff </w:t>
      </w:r>
      <w:r w:rsidR="00185CBD">
        <w:rPr>
          <w:sz w:val="24"/>
          <w:szCs w:val="24"/>
        </w:rPr>
        <w:t xml:space="preserve">or additional flyers </w:t>
      </w:r>
      <w:r w:rsidR="005736AA">
        <w:rPr>
          <w:sz w:val="24"/>
          <w:szCs w:val="24"/>
        </w:rPr>
        <w:t>a higher attendance would have occurred. Another limitation was the post-education evaluation form.  Either by design or miscommunication, four attendees did not turn over the double-sided form and answer the remaining four questions. The student program director should have been clearer on completion of the evaluation form</w:t>
      </w:r>
      <w:r w:rsidR="00185CBD">
        <w:rPr>
          <w:sz w:val="24"/>
          <w:szCs w:val="24"/>
        </w:rPr>
        <w:t xml:space="preserve"> or provided a notation at the bottom to turn it over</w:t>
      </w:r>
      <w:r w:rsidR="005736AA">
        <w:rPr>
          <w:sz w:val="24"/>
          <w:szCs w:val="24"/>
        </w:rPr>
        <w:t xml:space="preserve">. </w:t>
      </w:r>
    </w:p>
    <w:p w14:paraId="6AADD485" w14:textId="28E81B36" w:rsidR="005736AA" w:rsidRDefault="005736AA" w:rsidP="005736AA">
      <w:pPr>
        <w:ind w:firstLine="720"/>
        <w:contextualSpacing/>
        <w:rPr>
          <w:sz w:val="24"/>
          <w:szCs w:val="24"/>
        </w:rPr>
      </w:pPr>
      <w:r>
        <w:rPr>
          <w:sz w:val="24"/>
          <w:szCs w:val="24"/>
        </w:rPr>
        <w:lastRenderedPageBreak/>
        <w:t>A</w:t>
      </w:r>
      <w:r w:rsidR="001F0B9F">
        <w:rPr>
          <w:sz w:val="24"/>
          <w:szCs w:val="24"/>
        </w:rPr>
        <w:t>nother</w:t>
      </w:r>
      <w:r>
        <w:rPr>
          <w:sz w:val="24"/>
          <w:szCs w:val="24"/>
        </w:rPr>
        <w:t xml:space="preserve"> identified limitation was </w:t>
      </w:r>
      <w:r w:rsidR="003F7566">
        <w:rPr>
          <w:sz w:val="24"/>
          <w:szCs w:val="24"/>
        </w:rPr>
        <w:t xml:space="preserve">not being able to evaluate </w:t>
      </w:r>
      <w:r>
        <w:rPr>
          <w:sz w:val="24"/>
          <w:szCs w:val="24"/>
        </w:rPr>
        <w:t xml:space="preserve">if employees were implementing the training into practice. The </w:t>
      </w:r>
      <w:r w:rsidR="003F7566">
        <w:rPr>
          <w:sz w:val="24"/>
          <w:szCs w:val="24"/>
        </w:rPr>
        <w:t xml:space="preserve">student </w:t>
      </w:r>
      <w:r>
        <w:rPr>
          <w:sz w:val="24"/>
          <w:szCs w:val="24"/>
        </w:rPr>
        <w:t xml:space="preserve">project director was able to gain self-reported data where employees stated if they had implemented the use of inclusive language into practice. However, the student project director was unable to collect data through observational means to evaluate the effectiveness of the training.  </w:t>
      </w:r>
      <w:r w:rsidR="001F0B9F">
        <w:rPr>
          <w:sz w:val="24"/>
          <w:szCs w:val="24"/>
        </w:rPr>
        <w:t xml:space="preserve">Not being able to observe attendees </w:t>
      </w:r>
      <w:r w:rsidR="00A543DF">
        <w:rPr>
          <w:sz w:val="24"/>
          <w:szCs w:val="24"/>
        </w:rPr>
        <w:t>to evaluate actual implementation of inclusive language limited the comparison of self-report to actual practice.</w:t>
      </w:r>
    </w:p>
    <w:p w14:paraId="1C97B77F" w14:textId="77777777" w:rsidR="005736AA" w:rsidRPr="00EC7EA5" w:rsidRDefault="005736AA" w:rsidP="005736AA">
      <w:pPr>
        <w:contextualSpacing/>
        <w:rPr>
          <w:rFonts w:eastAsia="Calibri"/>
          <w:b/>
          <w:sz w:val="24"/>
          <w:szCs w:val="24"/>
        </w:rPr>
      </w:pPr>
      <w:r w:rsidRPr="00EC7EA5">
        <w:rPr>
          <w:rFonts w:eastAsia="Calibri"/>
          <w:b/>
          <w:sz w:val="24"/>
          <w:szCs w:val="24"/>
        </w:rPr>
        <w:t xml:space="preserve">Project </w:t>
      </w:r>
      <w:r>
        <w:rPr>
          <w:rFonts w:eastAsia="Calibri"/>
          <w:b/>
          <w:sz w:val="24"/>
          <w:szCs w:val="24"/>
        </w:rPr>
        <w:t>Benefits</w:t>
      </w:r>
    </w:p>
    <w:p w14:paraId="035AA16C" w14:textId="7CBE3C56" w:rsidR="0025098C" w:rsidRDefault="003D1FE1" w:rsidP="0025098C">
      <w:pPr>
        <w:ind w:firstLine="720"/>
        <w:contextualSpacing/>
        <w:rPr>
          <w:sz w:val="24"/>
          <w:szCs w:val="24"/>
        </w:rPr>
      </w:pPr>
      <w:r>
        <w:rPr>
          <w:sz w:val="24"/>
          <w:szCs w:val="24"/>
        </w:rPr>
        <w:t xml:space="preserve">The initiation of  </w:t>
      </w:r>
      <w:r w:rsidR="005736AA">
        <w:rPr>
          <w:sz w:val="24"/>
          <w:szCs w:val="24"/>
        </w:rPr>
        <w:t xml:space="preserve"> an education module regarding care of LGBTQ persons </w:t>
      </w:r>
      <w:r>
        <w:rPr>
          <w:sz w:val="24"/>
          <w:szCs w:val="24"/>
        </w:rPr>
        <w:t xml:space="preserve">was the most important benefit of the project as it </w:t>
      </w:r>
      <w:r w:rsidR="005736AA">
        <w:rPr>
          <w:sz w:val="24"/>
          <w:szCs w:val="24"/>
        </w:rPr>
        <w:t xml:space="preserve">was </w:t>
      </w:r>
      <w:r>
        <w:rPr>
          <w:sz w:val="24"/>
          <w:szCs w:val="24"/>
        </w:rPr>
        <w:t xml:space="preserve">the first </w:t>
      </w:r>
      <w:r w:rsidR="005736AA">
        <w:rPr>
          <w:sz w:val="24"/>
          <w:szCs w:val="24"/>
        </w:rPr>
        <w:t xml:space="preserve">ever </w:t>
      </w:r>
      <w:r>
        <w:rPr>
          <w:sz w:val="24"/>
          <w:szCs w:val="24"/>
        </w:rPr>
        <w:t xml:space="preserve">provided </w:t>
      </w:r>
      <w:r w:rsidR="005736AA">
        <w:rPr>
          <w:sz w:val="24"/>
          <w:szCs w:val="24"/>
        </w:rPr>
        <w:t xml:space="preserve">at the hospice agency. According to my site champion, this was a milestone and has been adopted into the education departments available educational offerings. The DNP project provided a foundation to launch new initiatives internal and external to the organization. Future education offerings of this module are already approved for a one-hour CNE credit. </w:t>
      </w:r>
      <w:r w:rsidR="0025098C">
        <w:rPr>
          <w:sz w:val="24"/>
          <w:szCs w:val="24"/>
        </w:rPr>
        <w:t>The education module will be offered to all employees in May 2019 and an additional offering will be available to volunteer staff also in May 2019.</w:t>
      </w:r>
    </w:p>
    <w:p w14:paraId="03673A10" w14:textId="77777777" w:rsidR="005736AA" w:rsidRDefault="005736AA" w:rsidP="005736AA">
      <w:pPr>
        <w:contextualSpacing/>
        <w:rPr>
          <w:rFonts w:eastAsia="Calibri"/>
          <w:sz w:val="24"/>
          <w:szCs w:val="24"/>
        </w:rPr>
      </w:pPr>
      <w:r>
        <w:rPr>
          <w:sz w:val="24"/>
          <w:szCs w:val="24"/>
        </w:rPr>
        <w:t xml:space="preserve">This DNP project </w:t>
      </w:r>
      <w:r>
        <w:rPr>
          <w:rFonts w:eastAsia="Calibri"/>
          <w:sz w:val="24"/>
          <w:szCs w:val="24"/>
        </w:rPr>
        <w:t xml:space="preserve">created an expansion into interprofessional education and  stimulated new opportunities for organizational dialogue related to LGBTQ health. </w:t>
      </w:r>
    </w:p>
    <w:p w14:paraId="2A2B30C2" w14:textId="77777777" w:rsidR="005736AA" w:rsidRPr="00EC7EA5" w:rsidRDefault="005736AA" w:rsidP="005736AA">
      <w:pPr>
        <w:contextualSpacing/>
        <w:rPr>
          <w:rFonts w:eastAsia="Calibri"/>
          <w:b/>
          <w:sz w:val="24"/>
          <w:szCs w:val="24"/>
        </w:rPr>
      </w:pPr>
      <w:r>
        <w:rPr>
          <w:rFonts w:eastAsia="Calibri"/>
          <w:b/>
          <w:sz w:val="24"/>
          <w:szCs w:val="24"/>
        </w:rPr>
        <w:t xml:space="preserve">Recommendations for </w:t>
      </w:r>
      <w:r w:rsidRPr="00EC7EA5">
        <w:rPr>
          <w:rFonts w:eastAsia="Calibri"/>
          <w:b/>
          <w:sz w:val="24"/>
          <w:szCs w:val="24"/>
        </w:rPr>
        <w:t xml:space="preserve">Practice </w:t>
      </w:r>
    </w:p>
    <w:p w14:paraId="55FA5E1D" w14:textId="77777777" w:rsidR="005736AA" w:rsidRDefault="005736AA" w:rsidP="005736AA">
      <w:pPr>
        <w:contextualSpacing/>
        <w:rPr>
          <w:rFonts w:eastAsia="Calibri"/>
          <w:sz w:val="24"/>
          <w:szCs w:val="24"/>
        </w:rPr>
      </w:pPr>
      <w:r>
        <w:rPr>
          <w:rFonts w:eastAsia="Calibri"/>
          <w:sz w:val="24"/>
          <w:szCs w:val="24"/>
        </w:rPr>
        <w:tab/>
        <w:t xml:space="preserve">Based on this DNP project it is suggested that education to all employees of the hospice organization receive education on use of inclusive language, terminology, and open-ended questions. Having all employees engage in this education provides an opportunity for best practices for care of LGBTQ persons throughout the organization. It is recommended that executive team members and leadership teams of the different service lines attend the education </w:t>
      </w:r>
      <w:r>
        <w:rPr>
          <w:rFonts w:eastAsia="Calibri"/>
          <w:sz w:val="24"/>
          <w:szCs w:val="24"/>
        </w:rPr>
        <w:lastRenderedPageBreak/>
        <w:t>module which would provide a from the top-down approach</w:t>
      </w:r>
      <w:r w:rsidRPr="000B32E3">
        <w:rPr>
          <w:rFonts w:eastAsia="Calibri"/>
          <w:sz w:val="24"/>
          <w:szCs w:val="24"/>
        </w:rPr>
        <w:t xml:space="preserve">. </w:t>
      </w:r>
      <w:r w:rsidRPr="000B32E3">
        <w:rPr>
          <w:sz w:val="24"/>
          <w:szCs w:val="24"/>
        </w:rPr>
        <w:t>Successful movement of change in an organization requires leadership support of a planned improvement process in a stable environment (Shirey, 2013).  Nurse leaders who eliminate barriers of cost and time  and</w:t>
      </w:r>
      <w:r>
        <w:rPr>
          <w:sz w:val="24"/>
          <w:szCs w:val="24"/>
        </w:rPr>
        <w:t xml:space="preserve"> provide opportunity for education enhance the adoption of best practices as it relates to culturally competent care (Ogbolu, Scrandis, &amp; Fitzpatrick, 2018). </w:t>
      </w:r>
      <w:r>
        <w:rPr>
          <w:rFonts w:eastAsia="Calibri"/>
          <w:sz w:val="24"/>
          <w:szCs w:val="24"/>
        </w:rPr>
        <w:t xml:space="preserve">It is also recommended that the education module offerings are open to all employees at the same time to allow for interaction between all levels of employees and all professions.  </w:t>
      </w:r>
    </w:p>
    <w:p w14:paraId="00F95DFF" w14:textId="7C368E17" w:rsidR="005736AA" w:rsidRDefault="005736AA" w:rsidP="005736AA">
      <w:pPr>
        <w:contextualSpacing/>
        <w:rPr>
          <w:rFonts w:eastAsia="Calibri"/>
          <w:sz w:val="24"/>
          <w:szCs w:val="24"/>
        </w:rPr>
      </w:pPr>
      <w:r>
        <w:rPr>
          <w:rFonts w:eastAsia="Calibri"/>
          <w:sz w:val="24"/>
          <w:szCs w:val="24"/>
        </w:rPr>
        <w:tab/>
        <w:t xml:space="preserve">Additional recommendations include projects to be developed to include a community outreach and educational programs to LGBTQ communities focusing on serious illness, patient advocacy and support, and end of life care.  By the organization reaching out to LGBTQ communities and cultivating relationships, this population can recognize the organization as a safe space to receive end of life care. </w:t>
      </w:r>
    </w:p>
    <w:p w14:paraId="4E1AD60D" w14:textId="529503D1" w:rsidR="005736AA" w:rsidRDefault="005736AA" w:rsidP="005736AA">
      <w:pPr>
        <w:contextualSpacing/>
        <w:rPr>
          <w:rFonts w:eastAsia="Calibri"/>
          <w:b/>
          <w:sz w:val="24"/>
          <w:szCs w:val="24"/>
        </w:rPr>
      </w:pPr>
      <w:r w:rsidRPr="00EC7EA5">
        <w:rPr>
          <w:rFonts w:eastAsia="Calibri"/>
          <w:b/>
          <w:sz w:val="24"/>
          <w:szCs w:val="24"/>
        </w:rPr>
        <w:t xml:space="preserve">Final </w:t>
      </w:r>
      <w:r>
        <w:rPr>
          <w:rFonts w:eastAsia="Calibri"/>
          <w:b/>
          <w:sz w:val="24"/>
          <w:szCs w:val="24"/>
        </w:rPr>
        <w:t xml:space="preserve">Summary </w:t>
      </w:r>
    </w:p>
    <w:p w14:paraId="76928038" w14:textId="7A74200B" w:rsidR="005736AA" w:rsidRDefault="005736AA" w:rsidP="005736AA">
      <w:pPr>
        <w:contextualSpacing/>
        <w:rPr>
          <w:rFonts w:eastAsia="Calibri"/>
          <w:sz w:val="24"/>
          <w:szCs w:val="24"/>
        </w:rPr>
      </w:pPr>
      <w:r>
        <w:rPr>
          <w:rFonts w:eastAsia="Calibri"/>
          <w:b/>
          <w:sz w:val="24"/>
          <w:szCs w:val="24"/>
        </w:rPr>
        <w:tab/>
      </w:r>
      <w:r w:rsidRPr="00EB3BCA">
        <w:rPr>
          <w:rFonts w:eastAsia="Calibri"/>
          <w:sz w:val="24"/>
          <w:szCs w:val="24"/>
        </w:rPr>
        <w:t>This DNP project started as implementation of an education module to inpatient hospice home staff with the purpose of increasing use of inclusive language to create a safe space for LGBTQ persons in the inpatient hospice setting.  This project has evolved into much more than that. After a year, the organization</w:t>
      </w:r>
      <w:r w:rsidR="0025098C">
        <w:rPr>
          <w:rFonts w:eastAsia="Calibri"/>
          <w:sz w:val="24"/>
          <w:szCs w:val="24"/>
        </w:rPr>
        <w:t>,</w:t>
      </w:r>
      <w:r w:rsidRPr="00EB3BCA">
        <w:rPr>
          <w:rFonts w:eastAsia="Calibri"/>
          <w:sz w:val="24"/>
          <w:szCs w:val="24"/>
        </w:rPr>
        <w:t xml:space="preserve"> which has </w:t>
      </w:r>
      <w:r>
        <w:rPr>
          <w:rFonts w:eastAsia="Calibri"/>
          <w:sz w:val="24"/>
          <w:szCs w:val="24"/>
        </w:rPr>
        <w:t>had limited</w:t>
      </w:r>
      <w:r w:rsidRPr="00EB3BCA">
        <w:rPr>
          <w:rFonts w:eastAsia="Calibri"/>
          <w:sz w:val="24"/>
          <w:szCs w:val="24"/>
        </w:rPr>
        <w:t xml:space="preserve"> education on care of LGBTQ populations, now has inclusive language as part of their orientation </w:t>
      </w:r>
      <w:r>
        <w:rPr>
          <w:rFonts w:eastAsia="Calibri"/>
          <w:sz w:val="24"/>
          <w:szCs w:val="24"/>
        </w:rPr>
        <w:t>and</w:t>
      </w:r>
      <w:r w:rsidRPr="00EB3BCA">
        <w:rPr>
          <w:rFonts w:eastAsia="Calibri"/>
          <w:sz w:val="24"/>
          <w:szCs w:val="24"/>
        </w:rPr>
        <w:t xml:space="preserve"> plans to provide </w:t>
      </w:r>
      <w:r>
        <w:rPr>
          <w:rFonts w:eastAsia="Calibri"/>
          <w:sz w:val="24"/>
          <w:szCs w:val="24"/>
        </w:rPr>
        <w:t xml:space="preserve">the </w:t>
      </w:r>
      <w:r w:rsidRPr="00EB3BCA">
        <w:rPr>
          <w:rFonts w:eastAsia="Calibri"/>
          <w:sz w:val="24"/>
          <w:szCs w:val="24"/>
        </w:rPr>
        <w:t xml:space="preserve">education module to all </w:t>
      </w:r>
      <w:r>
        <w:rPr>
          <w:rFonts w:eastAsia="Calibri"/>
          <w:sz w:val="24"/>
          <w:szCs w:val="24"/>
        </w:rPr>
        <w:t>employees</w:t>
      </w:r>
      <w:r w:rsidR="0025098C">
        <w:rPr>
          <w:rFonts w:eastAsia="Calibri"/>
          <w:sz w:val="24"/>
          <w:szCs w:val="24"/>
        </w:rPr>
        <w:t xml:space="preserve"> and volunteer staff</w:t>
      </w:r>
      <w:r>
        <w:rPr>
          <w:rFonts w:eastAsia="Calibri"/>
          <w:sz w:val="24"/>
          <w:szCs w:val="24"/>
        </w:rPr>
        <w:t xml:space="preserve">. There are also plans to provide the education module to </w:t>
      </w:r>
      <w:r w:rsidRPr="00EB3BCA">
        <w:rPr>
          <w:rFonts w:eastAsia="Calibri"/>
          <w:sz w:val="24"/>
          <w:szCs w:val="24"/>
        </w:rPr>
        <w:t>external stakeholders f</w:t>
      </w:r>
      <w:r>
        <w:rPr>
          <w:rFonts w:eastAsia="Calibri"/>
          <w:sz w:val="24"/>
          <w:szCs w:val="24"/>
        </w:rPr>
        <w:t>ro</w:t>
      </w:r>
      <w:r w:rsidRPr="00EB3BCA">
        <w:rPr>
          <w:rFonts w:eastAsia="Calibri"/>
          <w:sz w:val="24"/>
          <w:szCs w:val="24"/>
        </w:rPr>
        <w:t xml:space="preserve">m the community.  </w:t>
      </w:r>
      <w:r>
        <w:rPr>
          <w:rFonts w:eastAsia="Calibri"/>
          <w:sz w:val="24"/>
          <w:szCs w:val="24"/>
        </w:rPr>
        <w:t xml:space="preserve">These stakeholders include long term care facilities and assisted living facilities which care for the patients enrolled in the agency’s hospice services. </w:t>
      </w:r>
      <w:r w:rsidRPr="00EB3BCA">
        <w:rPr>
          <w:rFonts w:eastAsia="Calibri"/>
          <w:sz w:val="24"/>
          <w:szCs w:val="24"/>
        </w:rPr>
        <w:t>The</w:t>
      </w:r>
      <w:r>
        <w:rPr>
          <w:rFonts w:eastAsia="Calibri"/>
          <w:sz w:val="24"/>
          <w:szCs w:val="24"/>
        </w:rPr>
        <w:t xml:space="preserve"> inclusion committee has made </w:t>
      </w:r>
      <w:r w:rsidRPr="00EB3BCA">
        <w:rPr>
          <w:rFonts w:eastAsia="Calibri"/>
          <w:sz w:val="24"/>
          <w:szCs w:val="24"/>
        </w:rPr>
        <w:t>reaching out to LGBTQ communit</w:t>
      </w:r>
      <w:r>
        <w:rPr>
          <w:rFonts w:eastAsia="Calibri"/>
          <w:sz w:val="24"/>
          <w:szCs w:val="24"/>
        </w:rPr>
        <w:t>ies</w:t>
      </w:r>
      <w:r w:rsidRPr="00EB3BCA">
        <w:rPr>
          <w:rFonts w:eastAsia="Calibri"/>
          <w:sz w:val="24"/>
          <w:szCs w:val="24"/>
        </w:rPr>
        <w:t xml:space="preserve"> to educate on serious illnesses and end of life care</w:t>
      </w:r>
      <w:r>
        <w:rPr>
          <w:rFonts w:eastAsia="Calibri"/>
          <w:sz w:val="24"/>
          <w:szCs w:val="24"/>
        </w:rPr>
        <w:t xml:space="preserve"> a priority</w:t>
      </w:r>
      <w:r w:rsidRPr="00EB3BCA">
        <w:rPr>
          <w:rFonts w:eastAsia="Calibri"/>
          <w:sz w:val="24"/>
          <w:szCs w:val="24"/>
        </w:rPr>
        <w:t xml:space="preserve">.  This project lays a </w:t>
      </w:r>
      <w:r w:rsidRPr="00EB3BCA">
        <w:rPr>
          <w:rFonts w:eastAsia="Calibri"/>
          <w:sz w:val="24"/>
          <w:szCs w:val="24"/>
        </w:rPr>
        <w:lastRenderedPageBreak/>
        <w:t>foundation for an ev</w:t>
      </w:r>
      <w:r>
        <w:rPr>
          <w:rFonts w:eastAsia="Calibri"/>
          <w:sz w:val="24"/>
          <w:szCs w:val="24"/>
        </w:rPr>
        <w:t>e</w:t>
      </w:r>
      <w:r w:rsidRPr="00EB3BCA">
        <w:rPr>
          <w:rFonts w:eastAsia="Calibri"/>
          <w:sz w:val="24"/>
          <w:szCs w:val="24"/>
        </w:rPr>
        <w:t xml:space="preserve">n larger </w:t>
      </w:r>
      <w:r>
        <w:rPr>
          <w:rFonts w:eastAsia="Calibri"/>
          <w:sz w:val="24"/>
          <w:szCs w:val="24"/>
        </w:rPr>
        <w:t>impact</w:t>
      </w:r>
      <w:r w:rsidRPr="00EB3BCA">
        <w:rPr>
          <w:rFonts w:eastAsia="Calibri"/>
          <w:sz w:val="24"/>
          <w:szCs w:val="24"/>
        </w:rPr>
        <w:t xml:space="preserve"> of LGBTQ persons</w:t>
      </w:r>
      <w:r>
        <w:rPr>
          <w:rFonts w:eastAsia="Calibri"/>
          <w:sz w:val="24"/>
          <w:szCs w:val="24"/>
        </w:rPr>
        <w:t xml:space="preserve"> and families</w:t>
      </w:r>
      <w:r w:rsidRPr="00EB3BCA">
        <w:rPr>
          <w:rFonts w:eastAsia="Calibri"/>
          <w:sz w:val="24"/>
          <w:szCs w:val="24"/>
        </w:rPr>
        <w:t xml:space="preserve"> </w:t>
      </w:r>
      <w:r>
        <w:rPr>
          <w:rFonts w:eastAsia="Calibri"/>
          <w:sz w:val="24"/>
          <w:szCs w:val="24"/>
        </w:rPr>
        <w:t xml:space="preserve">to </w:t>
      </w:r>
      <w:r w:rsidRPr="00EB3BCA">
        <w:rPr>
          <w:rFonts w:eastAsia="Calibri"/>
          <w:sz w:val="24"/>
          <w:szCs w:val="24"/>
        </w:rPr>
        <w:t xml:space="preserve">not </w:t>
      </w:r>
      <w:r>
        <w:rPr>
          <w:rFonts w:eastAsia="Calibri"/>
          <w:sz w:val="24"/>
          <w:szCs w:val="24"/>
        </w:rPr>
        <w:t xml:space="preserve">feel </w:t>
      </w:r>
      <w:r w:rsidR="0025098C">
        <w:rPr>
          <w:rFonts w:eastAsia="Calibri"/>
          <w:sz w:val="24"/>
          <w:szCs w:val="24"/>
        </w:rPr>
        <w:t>the</w:t>
      </w:r>
      <w:r>
        <w:rPr>
          <w:rFonts w:eastAsia="Calibri"/>
          <w:sz w:val="24"/>
          <w:szCs w:val="24"/>
        </w:rPr>
        <w:t xml:space="preserve"> need </w:t>
      </w:r>
      <w:r w:rsidRPr="00EB3BCA">
        <w:rPr>
          <w:rFonts w:eastAsia="Calibri"/>
          <w:sz w:val="24"/>
          <w:szCs w:val="24"/>
        </w:rPr>
        <w:t xml:space="preserve">to </w:t>
      </w:r>
      <w:r>
        <w:rPr>
          <w:rFonts w:eastAsia="Calibri"/>
          <w:sz w:val="24"/>
          <w:szCs w:val="24"/>
        </w:rPr>
        <w:t>“</w:t>
      </w:r>
      <w:r w:rsidRPr="00EB3BCA">
        <w:rPr>
          <w:rFonts w:eastAsia="Calibri"/>
          <w:sz w:val="24"/>
          <w:szCs w:val="24"/>
        </w:rPr>
        <w:t>go back into the closet</w:t>
      </w:r>
      <w:r>
        <w:rPr>
          <w:rFonts w:eastAsia="Calibri"/>
          <w:sz w:val="24"/>
          <w:szCs w:val="24"/>
        </w:rPr>
        <w:t>”,</w:t>
      </w:r>
      <w:r w:rsidRPr="00EB3BCA">
        <w:rPr>
          <w:rFonts w:eastAsia="Calibri"/>
          <w:sz w:val="24"/>
          <w:szCs w:val="24"/>
        </w:rPr>
        <w:t xml:space="preserve">  </w:t>
      </w:r>
      <w:r w:rsidR="0025098C">
        <w:rPr>
          <w:rFonts w:eastAsia="Calibri"/>
          <w:sz w:val="24"/>
          <w:szCs w:val="24"/>
        </w:rPr>
        <w:t xml:space="preserve">rather </w:t>
      </w:r>
      <w:r>
        <w:rPr>
          <w:rFonts w:eastAsia="Calibri"/>
          <w:sz w:val="24"/>
          <w:szCs w:val="24"/>
        </w:rPr>
        <w:t xml:space="preserve">to </w:t>
      </w:r>
      <w:r w:rsidRPr="00EB3BCA">
        <w:rPr>
          <w:rFonts w:eastAsia="Calibri"/>
          <w:sz w:val="24"/>
          <w:szCs w:val="24"/>
        </w:rPr>
        <w:t xml:space="preserve">feel safe and </w:t>
      </w:r>
      <w:r>
        <w:rPr>
          <w:rFonts w:eastAsia="Calibri"/>
          <w:sz w:val="24"/>
          <w:szCs w:val="24"/>
        </w:rPr>
        <w:t xml:space="preserve">to feel </w:t>
      </w:r>
      <w:r w:rsidRPr="00EB3BCA">
        <w:rPr>
          <w:rFonts w:eastAsia="Calibri"/>
          <w:sz w:val="24"/>
          <w:szCs w:val="24"/>
        </w:rPr>
        <w:t>welcomed</w:t>
      </w:r>
      <w:r>
        <w:rPr>
          <w:rFonts w:eastAsia="Calibri"/>
          <w:sz w:val="24"/>
          <w:szCs w:val="24"/>
        </w:rPr>
        <w:t xml:space="preserve"> during the end of life journey. </w:t>
      </w:r>
    </w:p>
    <w:p w14:paraId="6D4DD9D4" w14:textId="77777777" w:rsidR="005736AA" w:rsidRPr="00EB3BCA" w:rsidRDefault="005736AA" w:rsidP="005736AA">
      <w:pPr>
        <w:contextualSpacing/>
        <w:rPr>
          <w:sz w:val="24"/>
          <w:szCs w:val="24"/>
        </w:rPr>
      </w:pPr>
      <w:r>
        <w:rPr>
          <w:rFonts w:eastAsia="Calibri"/>
          <w:sz w:val="24"/>
          <w:szCs w:val="24"/>
        </w:rPr>
        <w:tab/>
      </w:r>
    </w:p>
    <w:p w14:paraId="5EAA9306" w14:textId="77777777" w:rsidR="005736AA" w:rsidRPr="00EC7EA5" w:rsidRDefault="005736AA" w:rsidP="005736AA">
      <w:pPr>
        <w:contextualSpacing/>
        <w:rPr>
          <w:rFonts w:eastAsia="Calibri"/>
          <w:b/>
          <w:sz w:val="24"/>
          <w:szCs w:val="24"/>
        </w:rPr>
      </w:pPr>
    </w:p>
    <w:p w14:paraId="0B53F735" w14:textId="4BC0E994" w:rsidR="00EC7EA5" w:rsidRPr="00EC7EA5" w:rsidRDefault="00EC7EA5" w:rsidP="004E2C26">
      <w:pPr>
        <w:contextualSpacing/>
        <w:rPr>
          <w:rFonts w:eastAsia="Calibri"/>
          <w:b/>
          <w:sz w:val="24"/>
          <w:szCs w:val="24"/>
        </w:rPr>
      </w:pPr>
    </w:p>
    <w:p w14:paraId="55DE5647" w14:textId="77777777" w:rsidR="00867185" w:rsidRDefault="00867185" w:rsidP="00473BDB">
      <w:pPr>
        <w:pStyle w:val="APAHeadingCenterIncludedInTOC"/>
        <w:rPr>
          <w:rFonts w:eastAsiaTheme="minorHAnsi"/>
          <w:b/>
          <w:szCs w:val="24"/>
          <w:highlight w:val="yellow"/>
        </w:rPr>
      </w:pPr>
    </w:p>
    <w:p w14:paraId="35CFE7D6" w14:textId="77777777" w:rsidR="00EC7EA5" w:rsidRDefault="00EC7EA5" w:rsidP="00473BDB">
      <w:pPr>
        <w:pStyle w:val="APAHeadingCenterIncludedInTOC"/>
      </w:pPr>
    </w:p>
    <w:p w14:paraId="1A08ECA6" w14:textId="77777777" w:rsidR="004E2C26" w:rsidRDefault="004E2C26" w:rsidP="00473BDB">
      <w:pPr>
        <w:pStyle w:val="APAHeadingCenterIncludedInTOC"/>
      </w:pPr>
    </w:p>
    <w:p w14:paraId="636B5FF7" w14:textId="77777777" w:rsidR="004E2C26" w:rsidRDefault="004E2C26" w:rsidP="00473BDB">
      <w:pPr>
        <w:pStyle w:val="APAHeadingCenterIncludedInTOC"/>
      </w:pPr>
    </w:p>
    <w:p w14:paraId="294D6165" w14:textId="284AB1D3" w:rsidR="004E2C26" w:rsidRDefault="004E2C26" w:rsidP="00473BDB">
      <w:pPr>
        <w:pStyle w:val="APAHeadingCenterIncludedInTOC"/>
      </w:pPr>
    </w:p>
    <w:p w14:paraId="5494BDB3" w14:textId="29DDC763" w:rsidR="00575A27" w:rsidRDefault="00575A27" w:rsidP="00C31289">
      <w:pPr>
        <w:pStyle w:val="APA"/>
      </w:pPr>
    </w:p>
    <w:p w14:paraId="73B95527" w14:textId="77777777" w:rsidR="00997FFD" w:rsidRDefault="00997FFD" w:rsidP="00942BE1">
      <w:pPr>
        <w:pStyle w:val="APAHeadingCenterIncludedInTOC"/>
      </w:pPr>
    </w:p>
    <w:p w14:paraId="3E976129" w14:textId="77777777" w:rsidR="00A543DF" w:rsidRDefault="00A543DF" w:rsidP="00942BE1">
      <w:pPr>
        <w:pStyle w:val="APAHeadingCenterIncludedInTOC"/>
      </w:pPr>
    </w:p>
    <w:p w14:paraId="09E22579" w14:textId="77777777" w:rsidR="00A543DF" w:rsidRDefault="00A543DF" w:rsidP="00942BE1">
      <w:pPr>
        <w:pStyle w:val="APAHeadingCenterIncludedInTOC"/>
      </w:pPr>
    </w:p>
    <w:p w14:paraId="5A6A7208" w14:textId="77777777" w:rsidR="00A543DF" w:rsidRDefault="00A543DF" w:rsidP="00942BE1">
      <w:pPr>
        <w:pStyle w:val="APAHeadingCenterIncludedInTOC"/>
      </w:pPr>
    </w:p>
    <w:p w14:paraId="288F7AA0" w14:textId="77777777" w:rsidR="00A543DF" w:rsidRDefault="00A543DF" w:rsidP="00942BE1">
      <w:pPr>
        <w:pStyle w:val="APAHeadingCenterIncludedInTOC"/>
      </w:pPr>
    </w:p>
    <w:p w14:paraId="3AB4455E" w14:textId="77777777" w:rsidR="00A543DF" w:rsidRDefault="00A543DF" w:rsidP="00942BE1">
      <w:pPr>
        <w:pStyle w:val="APAHeadingCenterIncludedInTOC"/>
      </w:pPr>
    </w:p>
    <w:p w14:paraId="1DAE730D" w14:textId="77777777" w:rsidR="00A543DF" w:rsidRDefault="00A543DF" w:rsidP="00942BE1">
      <w:pPr>
        <w:pStyle w:val="APAHeadingCenterIncludedInTOC"/>
      </w:pPr>
    </w:p>
    <w:p w14:paraId="015495EE" w14:textId="77777777" w:rsidR="00A543DF" w:rsidRDefault="00A543DF" w:rsidP="00942BE1">
      <w:pPr>
        <w:pStyle w:val="APAHeadingCenterIncludedInTOC"/>
      </w:pPr>
    </w:p>
    <w:p w14:paraId="4F87EB0E" w14:textId="77777777" w:rsidR="00A543DF" w:rsidRDefault="00A543DF" w:rsidP="00942BE1">
      <w:pPr>
        <w:pStyle w:val="APAHeadingCenterIncludedInTOC"/>
      </w:pPr>
    </w:p>
    <w:p w14:paraId="45102645" w14:textId="77777777" w:rsidR="00A543DF" w:rsidRDefault="00A543DF" w:rsidP="00942BE1">
      <w:pPr>
        <w:pStyle w:val="APAHeadingCenterIncludedInTOC"/>
      </w:pPr>
    </w:p>
    <w:p w14:paraId="64E20BA8" w14:textId="77777777" w:rsidR="00A543DF" w:rsidRDefault="00A543DF" w:rsidP="00942BE1">
      <w:pPr>
        <w:pStyle w:val="APAHeadingCenterIncludedInTOC"/>
      </w:pPr>
    </w:p>
    <w:p w14:paraId="6C16EFAD" w14:textId="77777777" w:rsidR="00A543DF" w:rsidRDefault="00A543DF" w:rsidP="00942BE1">
      <w:pPr>
        <w:pStyle w:val="APAHeadingCenterIncludedInTOC"/>
      </w:pPr>
    </w:p>
    <w:p w14:paraId="657ED1C2" w14:textId="4EE61741" w:rsidR="00942BE1" w:rsidRPr="008038F2" w:rsidRDefault="00942BE1" w:rsidP="00942BE1">
      <w:pPr>
        <w:pStyle w:val="APAHeadingCenterIncludedInTOC"/>
      </w:pPr>
      <w:r w:rsidRPr="008038F2">
        <w:lastRenderedPageBreak/>
        <w:t>References</w:t>
      </w:r>
    </w:p>
    <w:p w14:paraId="4D41DABD" w14:textId="47C29FAF" w:rsidR="00942BE1" w:rsidRPr="008038F2" w:rsidRDefault="00942BE1" w:rsidP="009D1BBC">
      <w:pPr>
        <w:ind w:left="720" w:hanging="720"/>
        <w:rPr>
          <w:rFonts w:eastAsiaTheme="minorEastAsia"/>
          <w:sz w:val="24"/>
          <w:szCs w:val="24"/>
        </w:rPr>
      </w:pPr>
      <w:r w:rsidRPr="008038F2">
        <w:rPr>
          <w:rFonts w:eastAsiaTheme="minorEastAsia"/>
          <w:sz w:val="24"/>
          <w:szCs w:val="24"/>
        </w:rPr>
        <w:t xml:space="preserve">Acquaviva, K.D. (2017). </w:t>
      </w:r>
      <w:r w:rsidRPr="008038F2">
        <w:rPr>
          <w:rFonts w:eastAsiaTheme="minorEastAsia"/>
          <w:i/>
          <w:iCs/>
          <w:sz w:val="24"/>
          <w:szCs w:val="24"/>
        </w:rPr>
        <w:t>LGBTQ-Inclusive hospice and palliative care: A Practical guide to transforming professional practice</w:t>
      </w:r>
      <w:r w:rsidRPr="008038F2">
        <w:rPr>
          <w:rFonts w:eastAsiaTheme="minorEastAsia"/>
          <w:sz w:val="24"/>
          <w:szCs w:val="24"/>
        </w:rPr>
        <w:t>. New York: New York Harrington Park Press.</w:t>
      </w:r>
    </w:p>
    <w:p w14:paraId="1F178BDA" w14:textId="151FC163" w:rsidR="009D1BBC" w:rsidRPr="008038F2" w:rsidRDefault="009D1BBC" w:rsidP="009D1BBC">
      <w:pPr>
        <w:ind w:left="720" w:hanging="720"/>
        <w:rPr>
          <w:sz w:val="24"/>
          <w:szCs w:val="24"/>
        </w:rPr>
      </w:pPr>
      <w:r w:rsidRPr="008038F2">
        <w:rPr>
          <w:sz w:val="24"/>
          <w:szCs w:val="24"/>
        </w:rPr>
        <w:t xml:space="preserve">American Association of Colleges of Nursing (AACN). (2019). </w:t>
      </w:r>
      <w:r w:rsidRPr="008038F2">
        <w:rPr>
          <w:i/>
          <w:sz w:val="24"/>
          <w:szCs w:val="24"/>
        </w:rPr>
        <w:t xml:space="preserve">DNP Essentials: </w:t>
      </w:r>
      <w:r w:rsidRPr="008038F2">
        <w:rPr>
          <w:rStyle w:val="Strong"/>
          <w:b w:val="0"/>
          <w:i/>
          <w:iCs/>
          <w:sz w:val="24"/>
          <w:szCs w:val="24"/>
          <w:bdr w:val="none" w:sz="0" w:space="0" w:color="auto" w:frame="1"/>
        </w:rPr>
        <w:t>The Essentials of doctoral education for advanced nursing practice</w:t>
      </w:r>
      <w:r w:rsidRPr="008038F2">
        <w:rPr>
          <w:rStyle w:val="Strong"/>
          <w:b w:val="0"/>
          <w:iCs/>
          <w:sz w:val="24"/>
          <w:szCs w:val="24"/>
          <w:bdr w:val="none" w:sz="0" w:space="0" w:color="auto" w:frame="1"/>
        </w:rPr>
        <w:t xml:space="preserve"> (2006). Retrieved from https://www.aacnnursing.org/DNP/DNP-Essentials</w:t>
      </w:r>
    </w:p>
    <w:p w14:paraId="727167A3" w14:textId="77777777" w:rsidR="00942BE1" w:rsidRPr="008038F2" w:rsidRDefault="00942BE1" w:rsidP="009D1BBC">
      <w:pPr>
        <w:ind w:left="720" w:hanging="720"/>
        <w:rPr>
          <w:sz w:val="24"/>
          <w:szCs w:val="24"/>
        </w:rPr>
      </w:pPr>
      <w:r w:rsidRPr="008038F2">
        <w:rPr>
          <w:sz w:val="24"/>
          <w:szCs w:val="24"/>
        </w:rPr>
        <w:t>Barrett, N., &amp; Wholihan, D. (2016). Providing palliative care to LGBTQ patients. </w:t>
      </w:r>
      <w:r w:rsidRPr="008038F2">
        <w:rPr>
          <w:i/>
          <w:sz w:val="24"/>
          <w:szCs w:val="24"/>
        </w:rPr>
        <w:t>The Nursing Clinics of North America, 51</w:t>
      </w:r>
      <w:r w:rsidRPr="008038F2">
        <w:rPr>
          <w:sz w:val="24"/>
          <w:szCs w:val="24"/>
        </w:rPr>
        <w:t>(3), 501-511. doi:10.1016/j.cnur.2016.05.001</w:t>
      </w:r>
    </w:p>
    <w:p w14:paraId="03A1D666" w14:textId="77777777" w:rsidR="00942BE1" w:rsidRPr="008038F2" w:rsidRDefault="00942BE1" w:rsidP="00942BE1">
      <w:pPr>
        <w:ind w:left="720" w:hanging="720"/>
        <w:rPr>
          <w:sz w:val="24"/>
          <w:szCs w:val="24"/>
        </w:rPr>
      </w:pPr>
      <w:r w:rsidRPr="008038F2">
        <w:rPr>
          <w:sz w:val="24"/>
          <w:szCs w:val="24"/>
        </w:rPr>
        <w:t xml:space="preserve">Bishop, S.  (2015). Theories of organizational behavior and leadership. In J.B. Butts, &amp; K.L. Rich (Eds.).  </w:t>
      </w:r>
      <w:r w:rsidRPr="008038F2">
        <w:rPr>
          <w:i/>
          <w:sz w:val="24"/>
          <w:szCs w:val="24"/>
        </w:rPr>
        <w:t>Philosophies and theories for advanced nursing practice</w:t>
      </w:r>
      <w:r w:rsidRPr="008038F2">
        <w:rPr>
          <w:sz w:val="24"/>
          <w:szCs w:val="24"/>
        </w:rPr>
        <w:t xml:space="preserve"> (pp. 339-354). Burlington, MA: Jones &amp; Bartlett Learning.</w:t>
      </w:r>
    </w:p>
    <w:p w14:paraId="72AAB608" w14:textId="77777777" w:rsidR="00942BE1" w:rsidRPr="008038F2" w:rsidRDefault="00942BE1" w:rsidP="00942BE1">
      <w:pPr>
        <w:ind w:left="720" w:hanging="720"/>
        <w:rPr>
          <w:sz w:val="24"/>
          <w:szCs w:val="24"/>
        </w:rPr>
      </w:pPr>
      <w:r w:rsidRPr="008038F2">
        <w:rPr>
          <w:sz w:val="24"/>
          <w:szCs w:val="24"/>
        </w:rPr>
        <w:t>Boulder County Area Agency on Aging, Project Visibility. (2013). Training manual: An Awareness and sensitivity training manual for service providers of lesbian, gay, bisexual, and transgender elders. Boulder, CO.</w:t>
      </w:r>
    </w:p>
    <w:p w14:paraId="1A164CD7" w14:textId="77777777" w:rsidR="00942BE1" w:rsidRPr="008038F2" w:rsidRDefault="00942BE1" w:rsidP="00942BE1">
      <w:pPr>
        <w:ind w:left="720" w:hanging="720"/>
        <w:rPr>
          <w:sz w:val="24"/>
          <w:szCs w:val="24"/>
        </w:rPr>
      </w:pPr>
      <w:r w:rsidRPr="008038F2">
        <w:rPr>
          <w:sz w:val="24"/>
          <w:szCs w:val="24"/>
        </w:rPr>
        <w:t xml:space="preserve">Brotman, S., Ryan, B., &amp; Cormier, R. (2003). The health and social service needs of gay and lesbian elders and their families in Canada. </w:t>
      </w:r>
      <w:r w:rsidRPr="008038F2">
        <w:rPr>
          <w:i/>
          <w:sz w:val="24"/>
          <w:szCs w:val="24"/>
        </w:rPr>
        <w:t>The Gerontologist</w:t>
      </w:r>
      <w:r w:rsidRPr="008038F2">
        <w:rPr>
          <w:sz w:val="24"/>
          <w:szCs w:val="24"/>
        </w:rPr>
        <w:t xml:space="preserve">, 43(2), 192-202. </w:t>
      </w:r>
    </w:p>
    <w:p w14:paraId="648E985D" w14:textId="77777777" w:rsidR="00942BE1" w:rsidRPr="008038F2" w:rsidRDefault="00942BE1" w:rsidP="00942BE1">
      <w:pPr>
        <w:ind w:left="720" w:hanging="720"/>
        <w:rPr>
          <w:sz w:val="24"/>
          <w:szCs w:val="24"/>
        </w:rPr>
      </w:pPr>
      <w:r w:rsidRPr="008038F2">
        <w:rPr>
          <w:sz w:val="24"/>
          <w:szCs w:val="24"/>
        </w:rPr>
        <w:t>Campinha-Bacote, J. (1999). A model and instrument for addressing cultural competence in health care. </w:t>
      </w:r>
      <w:r w:rsidRPr="008038F2">
        <w:rPr>
          <w:i/>
          <w:sz w:val="24"/>
          <w:szCs w:val="24"/>
        </w:rPr>
        <w:t>Journal of Nursing Education, 38</w:t>
      </w:r>
      <w:r w:rsidRPr="008038F2">
        <w:rPr>
          <w:sz w:val="24"/>
          <w:szCs w:val="24"/>
        </w:rPr>
        <w:t>(5), 203-207.</w:t>
      </w:r>
    </w:p>
    <w:p w14:paraId="4D7813D5" w14:textId="77777777" w:rsidR="00942BE1" w:rsidRPr="008038F2" w:rsidRDefault="00942BE1" w:rsidP="00942BE1">
      <w:pPr>
        <w:ind w:left="720" w:hanging="720"/>
        <w:rPr>
          <w:sz w:val="24"/>
          <w:szCs w:val="24"/>
        </w:rPr>
      </w:pPr>
      <w:r w:rsidRPr="008038F2">
        <w:rPr>
          <w:sz w:val="24"/>
          <w:szCs w:val="24"/>
        </w:rPr>
        <w:t>Campinha-Bacote, J. (2002). The process of cultural competence in the delivery of healthcare services: A model of care. </w:t>
      </w:r>
      <w:r w:rsidRPr="008038F2">
        <w:rPr>
          <w:i/>
          <w:sz w:val="24"/>
          <w:szCs w:val="24"/>
        </w:rPr>
        <w:t>Journal of Transcultural Nursing, 13</w:t>
      </w:r>
      <w:r w:rsidRPr="008038F2">
        <w:rPr>
          <w:sz w:val="24"/>
          <w:szCs w:val="24"/>
        </w:rPr>
        <w:t>(3), 181-184. doi:10.1177/10459602013003003</w:t>
      </w:r>
    </w:p>
    <w:p w14:paraId="129DA960" w14:textId="77777777" w:rsidR="00942BE1" w:rsidRPr="008038F2" w:rsidRDefault="00942BE1" w:rsidP="00942BE1">
      <w:pPr>
        <w:ind w:left="720" w:hanging="720"/>
        <w:rPr>
          <w:sz w:val="24"/>
          <w:szCs w:val="24"/>
        </w:rPr>
      </w:pPr>
      <w:r w:rsidRPr="008038F2">
        <w:rPr>
          <w:sz w:val="24"/>
          <w:szCs w:val="24"/>
        </w:rPr>
        <w:lastRenderedPageBreak/>
        <w:t>Campinha-Bacote, J. (2011). Delivering patient-centered care in the midst of a cultural conflict: The role of cultural competence. </w:t>
      </w:r>
      <w:r w:rsidRPr="008038F2">
        <w:rPr>
          <w:i/>
          <w:sz w:val="24"/>
          <w:szCs w:val="24"/>
        </w:rPr>
        <w:t>Online Journal of Issues in Nursing, 16</w:t>
      </w:r>
      <w:r w:rsidRPr="008038F2">
        <w:rPr>
          <w:sz w:val="24"/>
          <w:szCs w:val="24"/>
        </w:rPr>
        <w:t>(2), 5.</w:t>
      </w:r>
    </w:p>
    <w:p w14:paraId="457776EE" w14:textId="77777777" w:rsidR="00942BE1" w:rsidRPr="008038F2" w:rsidRDefault="00942BE1" w:rsidP="00942BE1">
      <w:pPr>
        <w:ind w:left="720" w:hanging="720"/>
        <w:rPr>
          <w:sz w:val="24"/>
          <w:szCs w:val="24"/>
        </w:rPr>
      </w:pPr>
      <w:r w:rsidRPr="008038F2">
        <w:rPr>
          <w:sz w:val="24"/>
          <w:szCs w:val="24"/>
        </w:rPr>
        <w:t>Carabez, R., Pellegrini, M., Mankovitz, A., Eliason, M., Ciano, M., &amp; Scott, M. (2015). "never in all my years. ": Nurses' education about LGBT health</w:t>
      </w:r>
      <w:r w:rsidRPr="008038F2">
        <w:rPr>
          <w:i/>
          <w:sz w:val="24"/>
          <w:szCs w:val="24"/>
        </w:rPr>
        <w:t>. Journal of Professional Nursing: Official Journal of the American Association of Colleges of Nursing, 31</w:t>
      </w:r>
      <w:r w:rsidRPr="008038F2">
        <w:rPr>
          <w:sz w:val="24"/>
          <w:szCs w:val="24"/>
        </w:rPr>
        <w:t>(4), 323.</w:t>
      </w:r>
    </w:p>
    <w:p w14:paraId="131A6500" w14:textId="77777777" w:rsidR="00942BE1" w:rsidRPr="008038F2" w:rsidRDefault="00942BE1" w:rsidP="00942BE1">
      <w:pPr>
        <w:ind w:left="720" w:hanging="720"/>
        <w:rPr>
          <w:sz w:val="24"/>
          <w:szCs w:val="24"/>
        </w:rPr>
      </w:pPr>
      <w:r w:rsidRPr="008038F2">
        <w:rPr>
          <w:sz w:val="24"/>
          <w:szCs w:val="24"/>
        </w:rPr>
        <w:t>Cartwright, C., Hughes, M., &amp; Lienert, T. (2012). End-of-life care for gay, lesbian, bisexual and transgender people. </w:t>
      </w:r>
      <w:r w:rsidRPr="008038F2">
        <w:rPr>
          <w:i/>
          <w:sz w:val="24"/>
          <w:szCs w:val="24"/>
        </w:rPr>
        <w:t>Culture, Health &amp; Sexuality, 14</w:t>
      </w:r>
      <w:r w:rsidRPr="008038F2">
        <w:rPr>
          <w:sz w:val="24"/>
          <w:szCs w:val="24"/>
        </w:rPr>
        <w:t>(5), 537-548. doi:10.1080/13691058.2012.673639</w:t>
      </w:r>
    </w:p>
    <w:p w14:paraId="2A787865" w14:textId="23E9F4DF" w:rsidR="00942BE1" w:rsidRPr="008038F2" w:rsidRDefault="00942BE1" w:rsidP="00942BE1">
      <w:pPr>
        <w:ind w:left="720" w:hanging="720"/>
        <w:rPr>
          <w:rStyle w:val="Hyperlink"/>
          <w:color w:val="auto"/>
          <w:sz w:val="24"/>
          <w:szCs w:val="24"/>
        </w:rPr>
      </w:pPr>
      <w:r w:rsidRPr="008038F2">
        <w:rPr>
          <w:sz w:val="24"/>
          <w:szCs w:val="24"/>
        </w:rPr>
        <w:t xml:space="preserve">Choi, S.K. &amp; Meyer, I.H. (2016). </w:t>
      </w:r>
      <w:r w:rsidRPr="008038F2">
        <w:rPr>
          <w:i/>
          <w:sz w:val="24"/>
          <w:szCs w:val="24"/>
        </w:rPr>
        <w:t>LGBT Aging: A Review of research findings, needs, and policy implications.</w:t>
      </w:r>
      <w:r w:rsidRPr="008038F2">
        <w:rPr>
          <w:sz w:val="24"/>
          <w:szCs w:val="24"/>
        </w:rPr>
        <w:t xml:space="preserve"> Los Angeles: The Williams Institute. Retrieved from The Williams Institute </w:t>
      </w:r>
      <w:r w:rsidR="00456C63" w:rsidRPr="008038F2">
        <w:rPr>
          <w:sz w:val="24"/>
          <w:szCs w:val="24"/>
        </w:rPr>
        <w:t>https://williamsinstitute.law.ucla.edu/research/lgbt-older-adults-highlighting-isolation-discrimination/</w:t>
      </w:r>
    </w:p>
    <w:p w14:paraId="6AAF967A" w14:textId="77777777" w:rsidR="00942BE1" w:rsidRPr="008038F2" w:rsidRDefault="00942BE1" w:rsidP="00942BE1">
      <w:pPr>
        <w:ind w:left="720" w:hanging="720"/>
        <w:rPr>
          <w:rStyle w:val="Hyperlink"/>
          <w:color w:val="auto"/>
          <w:sz w:val="24"/>
          <w:szCs w:val="24"/>
        </w:rPr>
      </w:pPr>
      <w:r w:rsidRPr="008038F2">
        <w:rPr>
          <w:sz w:val="24"/>
          <w:szCs w:val="24"/>
        </w:rPr>
        <w:t>Colley, S. (2003). Nursing theory: Its importance to practice. </w:t>
      </w:r>
      <w:r w:rsidRPr="008038F2">
        <w:rPr>
          <w:i/>
          <w:sz w:val="24"/>
          <w:szCs w:val="24"/>
        </w:rPr>
        <w:t>Nursing Standard</w:t>
      </w:r>
      <w:r w:rsidRPr="008038F2">
        <w:rPr>
          <w:sz w:val="24"/>
          <w:szCs w:val="24"/>
        </w:rPr>
        <w:t>, </w:t>
      </w:r>
      <w:r w:rsidRPr="008038F2">
        <w:rPr>
          <w:i/>
          <w:sz w:val="24"/>
          <w:szCs w:val="24"/>
        </w:rPr>
        <w:t>17</w:t>
      </w:r>
      <w:r w:rsidRPr="008038F2">
        <w:rPr>
          <w:sz w:val="24"/>
          <w:szCs w:val="24"/>
        </w:rPr>
        <w:t>(46), 33-37. doi:10.7748/ns.17.46.33.s56</w:t>
      </w:r>
    </w:p>
    <w:p w14:paraId="6D2CB3B7" w14:textId="77777777" w:rsidR="00942BE1" w:rsidRPr="008038F2" w:rsidRDefault="00942BE1" w:rsidP="00942BE1">
      <w:pPr>
        <w:ind w:left="720" w:hanging="720"/>
        <w:rPr>
          <w:sz w:val="24"/>
          <w:szCs w:val="24"/>
        </w:rPr>
      </w:pPr>
      <w:r w:rsidRPr="008038F2">
        <w:rPr>
          <w:sz w:val="24"/>
          <w:szCs w:val="24"/>
        </w:rPr>
        <w:t xml:space="preserve">Fredriksen-Goldsen, K.I., Kim, H.J., Emlet, C.A., Muraco, A., Erosheva, E.A., Hoy-Ellis, C.P., … Petry, H. (2011). </w:t>
      </w:r>
      <w:r w:rsidRPr="008038F2">
        <w:rPr>
          <w:i/>
          <w:sz w:val="24"/>
          <w:szCs w:val="24"/>
        </w:rPr>
        <w:t>The Aging and health report disparities and resilience among lesbian, gay, bisexual, and transgender older adults.</w:t>
      </w:r>
      <w:r w:rsidRPr="008038F2">
        <w:rPr>
          <w:sz w:val="24"/>
          <w:szCs w:val="24"/>
        </w:rPr>
        <w:t xml:space="preserve"> Retrieved from LGBT Aging Center website:  https://www.lgbtagingcenter.org/resources/pdfs/LGBT%20Aging%20and%20Health%20Report_final.pdf</w:t>
      </w:r>
    </w:p>
    <w:p w14:paraId="66F754CF" w14:textId="77777777" w:rsidR="00942BE1" w:rsidRPr="008038F2" w:rsidRDefault="00942BE1" w:rsidP="00942BE1">
      <w:pPr>
        <w:ind w:left="720" w:hanging="720"/>
        <w:rPr>
          <w:sz w:val="24"/>
          <w:szCs w:val="24"/>
        </w:rPr>
      </w:pPr>
      <w:r w:rsidRPr="008038F2">
        <w:rPr>
          <w:sz w:val="24"/>
          <w:szCs w:val="24"/>
        </w:rPr>
        <w:lastRenderedPageBreak/>
        <w:t xml:space="preserve">Fredriksen-Goldsen, K.I., Kim, H-J., Shiu, C., Goldsen, J. &amp; Emlet, C.A. (2014). Successful aging amongst LGBT older adults: Physical and mental health-related quality of life by age group. </w:t>
      </w:r>
      <w:r w:rsidRPr="008038F2">
        <w:rPr>
          <w:i/>
          <w:iCs/>
          <w:sz w:val="24"/>
          <w:szCs w:val="24"/>
          <w:shd w:val="clear" w:color="auto" w:fill="FFFFFF"/>
        </w:rPr>
        <w:t>The Gerontologist</w:t>
      </w:r>
      <w:r w:rsidRPr="008038F2">
        <w:rPr>
          <w:sz w:val="24"/>
          <w:szCs w:val="24"/>
          <w:shd w:val="clear" w:color="auto" w:fill="FFFFFF"/>
        </w:rPr>
        <w:t>, </w:t>
      </w:r>
      <w:r w:rsidRPr="008038F2">
        <w:rPr>
          <w:i/>
          <w:iCs/>
          <w:sz w:val="24"/>
          <w:szCs w:val="24"/>
          <w:shd w:val="clear" w:color="auto" w:fill="FFFFFF"/>
        </w:rPr>
        <w:t>55</w:t>
      </w:r>
      <w:r w:rsidRPr="008038F2">
        <w:rPr>
          <w:sz w:val="24"/>
          <w:szCs w:val="24"/>
          <w:shd w:val="clear" w:color="auto" w:fill="FFFFFF"/>
        </w:rPr>
        <w:t>(1), 154–168. http://doi.org/10.1093/geront/gnu081</w:t>
      </w:r>
      <w:r w:rsidRPr="008038F2">
        <w:rPr>
          <w:sz w:val="24"/>
          <w:szCs w:val="24"/>
        </w:rPr>
        <w:t xml:space="preserve"> </w:t>
      </w:r>
    </w:p>
    <w:p w14:paraId="397D879B" w14:textId="318FF346" w:rsidR="00942BE1" w:rsidRPr="008038F2" w:rsidRDefault="00942BE1" w:rsidP="00942BE1">
      <w:pPr>
        <w:ind w:left="720" w:hanging="720"/>
        <w:rPr>
          <w:rStyle w:val="Hyperlink"/>
          <w:color w:val="auto"/>
          <w:sz w:val="24"/>
          <w:szCs w:val="24"/>
          <w:shd w:val="clear" w:color="auto" w:fill="FFFFFF"/>
        </w:rPr>
      </w:pPr>
      <w:r w:rsidRPr="008038F2">
        <w:rPr>
          <w:sz w:val="24"/>
          <w:szCs w:val="24"/>
          <w:shd w:val="clear" w:color="auto" w:fill="FFFFFF"/>
        </w:rPr>
        <w:t>Fredriksen-Goldsen, K. L., Hoy-Ellis, C. P., Goldsen, J., Emlet, C. A., &amp; Hooyman, N. R. (2014a). Creating a vision for the future: Key competencies and strategies for culturally competent practice with lesbian, gay, bisexual, and transgender (LGBT) older adults in the health and human services. </w:t>
      </w:r>
      <w:r w:rsidRPr="008038F2">
        <w:rPr>
          <w:i/>
          <w:iCs/>
          <w:sz w:val="24"/>
          <w:szCs w:val="24"/>
          <w:shd w:val="clear" w:color="auto" w:fill="FFFFFF"/>
        </w:rPr>
        <w:t>Journal of Gerontological Social Work</w:t>
      </w:r>
      <w:r w:rsidRPr="008038F2">
        <w:rPr>
          <w:sz w:val="24"/>
          <w:szCs w:val="24"/>
          <w:shd w:val="clear" w:color="auto" w:fill="FFFFFF"/>
        </w:rPr>
        <w:t>, </w:t>
      </w:r>
      <w:r w:rsidRPr="008038F2">
        <w:rPr>
          <w:i/>
          <w:iCs/>
          <w:sz w:val="24"/>
          <w:szCs w:val="24"/>
          <w:shd w:val="clear" w:color="auto" w:fill="FFFFFF"/>
        </w:rPr>
        <w:t>57</w:t>
      </w:r>
      <w:r w:rsidRPr="008038F2">
        <w:rPr>
          <w:sz w:val="24"/>
          <w:szCs w:val="24"/>
          <w:shd w:val="clear" w:color="auto" w:fill="FFFFFF"/>
        </w:rPr>
        <w:t xml:space="preserve">(0), 80–107. </w:t>
      </w:r>
      <w:r w:rsidR="00456C63" w:rsidRPr="008038F2">
        <w:rPr>
          <w:sz w:val="24"/>
          <w:szCs w:val="24"/>
          <w:shd w:val="clear" w:color="auto" w:fill="FFFFFF"/>
        </w:rPr>
        <w:t>http://doi.org/10.1080/01634372.2014.890690</w:t>
      </w:r>
    </w:p>
    <w:p w14:paraId="58158C5E" w14:textId="77777777" w:rsidR="00942BE1" w:rsidRPr="008038F2" w:rsidRDefault="00942BE1" w:rsidP="00942BE1">
      <w:pPr>
        <w:ind w:left="720" w:hanging="720"/>
        <w:rPr>
          <w:sz w:val="24"/>
          <w:szCs w:val="24"/>
        </w:rPr>
      </w:pPr>
      <w:r w:rsidRPr="008038F2">
        <w:rPr>
          <w:sz w:val="24"/>
          <w:szCs w:val="24"/>
        </w:rPr>
        <w:t>Garneau, A. B., &amp; Pepin, J. (2015). Cultural competence: A constructivist definition. </w:t>
      </w:r>
      <w:r w:rsidRPr="008038F2">
        <w:rPr>
          <w:i/>
          <w:sz w:val="24"/>
          <w:szCs w:val="24"/>
        </w:rPr>
        <w:t>Journal of</w:t>
      </w:r>
      <w:r w:rsidRPr="008038F2">
        <w:rPr>
          <w:sz w:val="24"/>
          <w:szCs w:val="24"/>
        </w:rPr>
        <w:t xml:space="preserve"> </w:t>
      </w:r>
      <w:r w:rsidRPr="008038F2">
        <w:rPr>
          <w:i/>
          <w:sz w:val="24"/>
          <w:szCs w:val="24"/>
        </w:rPr>
        <w:t>Transcultural Nursing, 26</w:t>
      </w:r>
      <w:r w:rsidRPr="008038F2">
        <w:rPr>
          <w:sz w:val="24"/>
          <w:szCs w:val="24"/>
        </w:rPr>
        <w:t>(1), 9-15. doi:10.1177/1043659614541294</w:t>
      </w:r>
    </w:p>
    <w:p w14:paraId="4DB6DDBF" w14:textId="77777777" w:rsidR="00942BE1" w:rsidRPr="008038F2" w:rsidRDefault="00942BE1" w:rsidP="00942BE1">
      <w:pPr>
        <w:ind w:left="720" w:hanging="720"/>
        <w:rPr>
          <w:sz w:val="24"/>
          <w:szCs w:val="24"/>
        </w:rPr>
      </w:pPr>
      <w:r w:rsidRPr="008038F2">
        <w:rPr>
          <w:sz w:val="24"/>
          <w:szCs w:val="24"/>
        </w:rPr>
        <w:t>Griebling, T. L. (2016). Sexuality and aging: A focus on lesbian, gay, bisexual, and transgender (LGBT) needs in palliative and end of life care. </w:t>
      </w:r>
      <w:r w:rsidRPr="008038F2">
        <w:rPr>
          <w:i/>
          <w:sz w:val="24"/>
          <w:szCs w:val="24"/>
        </w:rPr>
        <w:t>Current Opinion in Supportive and Palliative Care, 10</w:t>
      </w:r>
      <w:r w:rsidRPr="008038F2">
        <w:rPr>
          <w:sz w:val="24"/>
          <w:szCs w:val="24"/>
        </w:rPr>
        <w:t>(1), 95-101. doi:10.1097/SPC.0000000000000196</w:t>
      </w:r>
    </w:p>
    <w:p w14:paraId="7B65BBEE" w14:textId="77777777" w:rsidR="00942BE1" w:rsidRPr="008038F2" w:rsidRDefault="00942BE1" w:rsidP="00942BE1">
      <w:pPr>
        <w:ind w:left="720" w:hanging="720"/>
        <w:rPr>
          <w:sz w:val="24"/>
          <w:szCs w:val="24"/>
        </w:rPr>
      </w:pPr>
      <w:r w:rsidRPr="008038F2">
        <w:rPr>
          <w:sz w:val="24"/>
          <w:szCs w:val="24"/>
        </w:rPr>
        <w:t xml:space="preserve">Hughes, A.K., Harold, R.D., &amp; Boyer, J.M. (2011). Awareness of LGBT aging issues among aging services network providers. </w:t>
      </w:r>
      <w:r w:rsidRPr="008038F2">
        <w:rPr>
          <w:i/>
          <w:sz w:val="24"/>
          <w:szCs w:val="24"/>
        </w:rPr>
        <w:t>Journal of Gerontology &amp; Social Work</w:t>
      </w:r>
      <w:r w:rsidRPr="008038F2">
        <w:rPr>
          <w:sz w:val="24"/>
          <w:szCs w:val="24"/>
        </w:rPr>
        <w:t>, 54(7): 659-677.</w:t>
      </w:r>
    </w:p>
    <w:p w14:paraId="08E7879C" w14:textId="77777777" w:rsidR="00942BE1" w:rsidRPr="008038F2" w:rsidRDefault="00942BE1" w:rsidP="00942BE1">
      <w:pPr>
        <w:ind w:left="720" w:hanging="720"/>
        <w:rPr>
          <w:sz w:val="24"/>
          <w:szCs w:val="24"/>
        </w:rPr>
      </w:pPr>
      <w:r w:rsidRPr="008038F2">
        <w:rPr>
          <w:sz w:val="24"/>
          <w:szCs w:val="24"/>
        </w:rPr>
        <w:t>Hussain, S. T., Lei, S., Akram, T., Haider, M. J., Hussain, S. H., &amp; Ali, M. (2016). Kurt Lewin's process model for organizational change: The role of leadership and employee involvement: A critical review. </w:t>
      </w:r>
      <w:r w:rsidRPr="008038F2">
        <w:rPr>
          <w:i/>
          <w:sz w:val="24"/>
          <w:szCs w:val="24"/>
        </w:rPr>
        <w:t xml:space="preserve">Journal of Innovation &amp; Knowledge, </w:t>
      </w:r>
      <w:r w:rsidRPr="008038F2">
        <w:rPr>
          <w:sz w:val="24"/>
          <w:szCs w:val="24"/>
        </w:rPr>
        <w:t>doi:10.1016/j.jik.2016.07.002</w:t>
      </w:r>
    </w:p>
    <w:p w14:paraId="354A1FBF" w14:textId="77777777" w:rsidR="00942BE1" w:rsidRPr="008038F2" w:rsidRDefault="00942BE1" w:rsidP="00942BE1">
      <w:pPr>
        <w:ind w:left="720" w:hanging="720"/>
        <w:rPr>
          <w:sz w:val="24"/>
          <w:szCs w:val="24"/>
        </w:rPr>
      </w:pPr>
      <w:r w:rsidRPr="008038F2">
        <w:rPr>
          <w:sz w:val="24"/>
          <w:szCs w:val="24"/>
        </w:rPr>
        <w:t>Jones-Schenk, J. (2018). Creating LGBTQ-inclusive care and work environments. </w:t>
      </w:r>
      <w:r w:rsidRPr="008038F2">
        <w:rPr>
          <w:i/>
          <w:sz w:val="24"/>
          <w:szCs w:val="24"/>
        </w:rPr>
        <w:t>The Journal of Continuing Education in Nursing, 49</w:t>
      </w:r>
      <w:r w:rsidRPr="008038F2">
        <w:rPr>
          <w:sz w:val="24"/>
          <w:szCs w:val="24"/>
        </w:rPr>
        <w:t>(4), 151-153.</w:t>
      </w:r>
    </w:p>
    <w:p w14:paraId="77B0C570" w14:textId="54B97B1C" w:rsidR="00942BE1" w:rsidRPr="008038F2" w:rsidRDefault="00942BE1" w:rsidP="00942BE1">
      <w:pPr>
        <w:ind w:left="720" w:hanging="720"/>
        <w:rPr>
          <w:sz w:val="24"/>
          <w:szCs w:val="24"/>
        </w:rPr>
      </w:pPr>
      <w:r w:rsidRPr="008038F2">
        <w:rPr>
          <w:sz w:val="24"/>
          <w:szCs w:val="24"/>
        </w:rPr>
        <w:lastRenderedPageBreak/>
        <w:t>Knochel, K.A., Croghan, C.F., Moone, R.P., Quam, J.K. (2010). Ready to serve? The Aging network of LGB and T older adults. Retrieved from</w:t>
      </w:r>
      <w:r w:rsidR="008038F2">
        <w:rPr>
          <w:sz w:val="24"/>
          <w:szCs w:val="24"/>
        </w:rPr>
        <w:t xml:space="preserve"> </w:t>
      </w:r>
      <w:r w:rsidR="00456C63" w:rsidRPr="008038F2">
        <w:rPr>
          <w:sz w:val="24"/>
          <w:szCs w:val="24"/>
        </w:rPr>
        <w:t>http://www.lgbtagingcenter.org/resources/pdfs/ReadyToServe.pdf</w:t>
      </w:r>
    </w:p>
    <w:p w14:paraId="53935ED6" w14:textId="77777777" w:rsidR="00942BE1" w:rsidRPr="008038F2" w:rsidRDefault="00942BE1" w:rsidP="00942BE1">
      <w:pPr>
        <w:ind w:left="720" w:hanging="720"/>
        <w:rPr>
          <w:sz w:val="24"/>
          <w:szCs w:val="24"/>
        </w:rPr>
      </w:pPr>
      <w:r w:rsidRPr="008038F2">
        <w:rPr>
          <w:sz w:val="24"/>
          <w:szCs w:val="24"/>
        </w:rPr>
        <w:t>Lim, F. A., Brown, D. V., &amp; Justin Kim, S. M. (2014). CE: Addressing health care disparities in the lesbian, gay, bisexual, and transgender population. </w:t>
      </w:r>
      <w:r w:rsidRPr="008038F2">
        <w:rPr>
          <w:i/>
          <w:sz w:val="24"/>
          <w:szCs w:val="24"/>
        </w:rPr>
        <w:t>American Journal of Nursing, 114</w:t>
      </w:r>
      <w:r w:rsidRPr="008038F2">
        <w:rPr>
          <w:sz w:val="24"/>
          <w:szCs w:val="24"/>
        </w:rPr>
        <w:t>(6), 24-34. doi:10.1097/01.NAJ.0000450423.89759.36</w:t>
      </w:r>
    </w:p>
    <w:p w14:paraId="57AA090A" w14:textId="4A02685B" w:rsidR="00942BE1" w:rsidRPr="008038F2" w:rsidRDefault="00942BE1" w:rsidP="00942BE1">
      <w:pPr>
        <w:ind w:left="720" w:hanging="720"/>
        <w:rPr>
          <w:sz w:val="24"/>
          <w:szCs w:val="24"/>
        </w:rPr>
      </w:pPr>
      <w:r w:rsidRPr="008038F2">
        <w:rPr>
          <w:sz w:val="24"/>
          <w:szCs w:val="24"/>
        </w:rPr>
        <w:t xml:space="preserve">Mann, C.B. (2017). Cultural competence and the lesbian, gay, bisexual, transgender and queer (LGBTQ) patient. </w:t>
      </w:r>
      <w:r w:rsidRPr="008038F2">
        <w:rPr>
          <w:i/>
          <w:sz w:val="24"/>
          <w:szCs w:val="24"/>
        </w:rPr>
        <w:t>Care Management 23</w:t>
      </w:r>
      <w:r w:rsidRPr="008038F2">
        <w:rPr>
          <w:sz w:val="24"/>
          <w:szCs w:val="24"/>
        </w:rPr>
        <w:t>(1), 30-34.</w:t>
      </w:r>
    </w:p>
    <w:p w14:paraId="5BA00BB6" w14:textId="36ED3C31" w:rsidR="008D15BD" w:rsidRPr="008038F2" w:rsidRDefault="008D15BD" w:rsidP="008D15BD">
      <w:pPr>
        <w:ind w:left="720" w:hanging="720"/>
        <w:rPr>
          <w:rFonts w:eastAsia="Calibri"/>
          <w:sz w:val="24"/>
          <w:szCs w:val="24"/>
        </w:rPr>
      </w:pPr>
      <w:r w:rsidRPr="008038F2">
        <w:rPr>
          <w:sz w:val="24"/>
          <w:szCs w:val="24"/>
        </w:rPr>
        <w:t xml:space="preserve">Manzer, D., O'Sullivan, L. F., &amp; Doucet, S. (2018). Myths, misunderstandings, and missing information: Experiences of nurse practitioners providing primary care to lesbian, gay, bisexual, and transgender patients. </w:t>
      </w:r>
      <w:r w:rsidRPr="008038F2">
        <w:rPr>
          <w:i/>
          <w:sz w:val="24"/>
          <w:szCs w:val="24"/>
        </w:rPr>
        <w:t>The Canadian Journal of Human Sexuality, 27</w:t>
      </w:r>
      <w:r w:rsidRPr="008038F2">
        <w:rPr>
          <w:sz w:val="24"/>
          <w:szCs w:val="24"/>
        </w:rPr>
        <w:t>(2), 157-170. Retrieved from http://link.galegroup.com.jproxy.lib.ecu.edu/apps/doc/A558814171/AONE?u=ncliveecu&amp;sid=AONE&amp;xid=5b054ef8</w:t>
      </w:r>
    </w:p>
    <w:p w14:paraId="3129A18C" w14:textId="77777777" w:rsidR="00942BE1" w:rsidRPr="008038F2" w:rsidRDefault="00942BE1" w:rsidP="00942BE1">
      <w:pPr>
        <w:ind w:left="720" w:hanging="720"/>
        <w:rPr>
          <w:sz w:val="24"/>
          <w:szCs w:val="24"/>
        </w:rPr>
      </w:pPr>
      <w:r w:rsidRPr="008038F2">
        <w:rPr>
          <w:sz w:val="24"/>
          <w:szCs w:val="24"/>
        </w:rPr>
        <w:t>Martin, E. M., &amp; Barkley, J., Thomas W. (2016). Improving cultural competence in end-of-life pain management. </w:t>
      </w:r>
      <w:r w:rsidRPr="008038F2">
        <w:rPr>
          <w:i/>
          <w:sz w:val="24"/>
          <w:szCs w:val="24"/>
        </w:rPr>
        <w:t>Nursing, 46</w:t>
      </w:r>
      <w:r w:rsidRPr="008038F2">
        <w:rPr>
          <w:sz w:val="24"/>
          <w:szCs w:val="24"/>
        </w:rPr>
        <w:t>(1), 32-41. doi:10.1097/01.NURSE.0000475480.75266.9a</w:t>
      </w:r>
    </w:p>
    <w:p w14:paraId="25273454" w14:textId="77777777" w:rsidR="00942BE1" w:rsidRPr="008038F2" w:rsidRDefault="00942BE1" w:rsidP="00942BE1">
      <w:pPr>
        <w:ind w:left="720" w:hanging="720"/>
        <w:rPr>
          <w:sz w:val="24"/>
          <w:szCs w:val="24"/>
        </w:rPr>
      </w:pPr>
      <w:r w:rsidRPr="008038F2">
        <w:rPr>
          <w:sz w:val="24"/>
          <w:szCs w:val="24"/>
        </w:rPr>
        <w:t>Mehta, S. (2017). Making the healthcare needs of LGBT patients a priority. </w:t>
      </w:r>
      <w:r w:rsidRPr="008038F2">
        <w:rPr>
          <w:i/>
          <w:sz w:val="24"/>
          <w:szCs w:val="24"/>
        </w:rPr>
        <w:t>Primary Health Care, 27</w:t>
      </w:r>
      <w:r w:rsidRPr="008038F2">
        <w:rPr>
          <w:sz w:val="24"/>
          <w:szCs w:val="24"/>
        </w:rPr>
        <w:t>(4), 30-33. doi:10.7748/phc.2017.e1233</w:t>
      </w:r>
    </w:p>
    <w:p w14:paraId="6C0F4464" w14:textId="7E4AADA1" w:rsidR="00942BE1" w:rsidRPr="008038F2" w:rsidRDefault="00942BE1" w:rsidP="00942BE1">
      <w:pPr>
        <w:ind w:left="720" w:hanging="720"/>
        <w:rPr>
          <w:rStyle w:val="Hyperlink"/>
          <w:color w:val="auto"/>
          <w:sz w:val="24"/>
          <w:szCs w:val="24"/>
        </w:rPr>
      </w:pPr>
      <w:r w:rsidRPr="008038F2">
        <w:rPr>
          <w:sz w:val="24"/>
          <w:szCs w:val="24"/>
        </w:rPr>
        <w:t xml:space="preserve">Metlife Mature Market Institute, &amp; American Society on Aging (2010). </w:t>
      </w:r>
      <w:r w:rsidRPr="008038F2">
        <w:rPr>
          <w:i/>
          <w:sz w:val="24"/>
          <w:szCs w:val="24"/>
        </w:rPr>
        <w:t>Still out, still aging: The Metlife study of lesbian, gay, bisexual, and transgender baby boomers.</w:t>
      </w:r>
      <w:r w:rsidRPr="008038F2">
        <w:rPr>
          <w:sz w:val="24"/>
          <w:szCs w:val="24"/>
        </w:rPr>
        <w:t xml:space="preserve"> New York: Metlife Mature Market Institute and American Society on Aging. Retrieved from </w:t>
      </w:r>
      <w:r w:rsidR="00C76E1E" w:rsidRPr="008038F2">
        <w:rPr>
          <w:sz w:val="24"/>
          <w:szCs w:val="24"/>
        </w:rPr>
        <w:t>http://www.metlife.com/mmi/research/still-out-still-aging.html#findings</w:t>
      </w:r>
    </w:p>
    <w:p w14:paraId="20BFB447" w14:textId="0FBABDF4" w:rsidR="00942BE1" w:rsidRPr="008038F2" w:rsidRDefault="00942BE1" w:rsidP="00942BE1">
      <w:pPr>
        <w:ind w:left="720" w:hanging="720"/>
        <w:rPr>
          <w:sz w:val="24"/>
          <w:szCs w:val="24"/>
        </w:rPr>
      </w:pPr>
      <w:r w:rsidRPr="008038F2">
        <w:rPr>
          <w:sz w:val="24"/>
          <w:szCs w:val="24"/>
        </w:rPr>
        <w:lastRenderedPageBreak/>
        <w:t>National Hospice and Palliative Care Organization (</w:t>
      </w:r>
      <w:r w:rsidR="00222187" w:rsidRPr="008038F2">
        <w:rPr>
          <w:sz w:val="24"/>
          <w:szCs w:val="24"/>
        </w:rPr>
        <w:t>NHPCO</w:t>
      </w:r>
      <w:r w:rsidRPr="008038F2">
        <w:rPr>
          <w:sz w:val="24"/>
          <w:szCs w:val="24"/>
        </w:rPr>
        <w:t xml:space="preserve">). (2017). Hospice care. Retrieved from https://www.nhpco.org/about/hospice-care  </w:t>
      </w:r>
    </w:p>
    <w:p w14:paraId="7573DCAF" w14:textId="77777777" w:rsidR="00942BE1" w:rsidRPr="008038F2" w:rsidRDefault="00942BE1" w:rsidP="00942BE1">
      <w:pPr>
        <w:ind w:left="720" w:hanging="720"/>
        <w:rPr>
          <w:sz w:val="24"/>
          <w:szCs w:val="24"/>
        </w:rPr>
      </w:pPr>
      <w:r w:rsidRPr="008038F2">
        <w:rPr>
          <w:sz w:val="24"/>
          <w:szCs w:val="24"/>
        </w:rPr>
        <w:t>Ogbolu, Y., Scrandis, D. A., &amp; Fitzpatrick, G. (2018). Barriers and facilitators of care for diverse patients: Nurse leader perspectives and nurse manager implications. </w:t>
      </w:r>
      <w:r w:rsidRPr="008038F2">
        <w:rPr>
          <w:i/>
          <w:sz w:val="24"/>
          <w:szCs w:val="24"/>
        </w:rPr>
        <w:t>Journal of Nursing Management, 26</w:t>
      </w:r>
      <w:r w:rsidRPr="008038F2">
        <w:rPr>
          <w:sz w:val="24"/>
          <w:szCs w:val="24"/>
        </w:rPr>
        <w:t>(1), 3-10. doi:10.1111/jonm.12498</w:t>
      </w:r>
    </w:p>
    <w:p w14:paraId="78E61E0E" w14:textId="77777777" w:rsidR="00942BE1" w:rsidRPr="008038F2" w:rsidRDefault="00942BE1" w:rsidP="00942BE1">
      <w:pPr>
        <w:ind w:left="720" w:hanging="720"/>
        <w:rPr>
          <w:sz w:val="24"/>
          <w:szCs w:val="24"/>
        </w:rPr>
      </w:pPr>
      <w:r w:rsidRPr="008038F2">
        <w:rPr>
          <w:sz w:val="24"/>
          <w:szCs w:val="24"/>
        </w:rPr>
        <w:t>O’Mara, S. K., &amp; Zborovskaya, Y. (2016). End-of-life care in the hispanic community. </w:t>
      </w:r>
      <w:r w:rsidRPr="008038F2">
        <w:rPr>
          <w:i/>
          <w:sz w:val="24"/>
          <w:szCs w:val="24"/>
        </w:rPr>
        <w:t>Journal of Hospice &amp; Palliative Nursing, 18</w:t>
      </w:r>
      <w:r w:rsidRPr="008038F2">
        <w:rPr>
          <w:sz w:val="24"/>
          <w:szCs w:val="24"/>
        </w:rPr>
        <w:t>(1), 53-59. doi:10.1097/NJH.0000000000000210</w:t>
      </w:r>
    </w:p>
    <w:p w14:paraId="2F1C0249" w14:textId="77777777" w:rsidR="00942BE1" w:rsidRPr="008038F2" w:rsidRDefault="00942BE1" w:rsidP="00942BE1">
      <w:pPr>
        <w:ind w:left="720" w:hanging="720"/>
        <w:rPr>
          <w:sz w:val="24"/>
          <w:szCs w:val="24"/>
        </w:rPr>
      </w:pPr>
      <w:r w:rsidRPr="008038F2">
        <w:rPr>
          <w:sz w:val="24"/>
          <w:szCs w:val="24"/>
        </w:rPr>
        <w:t>O'Reilly, P., &amp; Stewart, K. (2017). Exploring the attitudes, knowledge and beliefs of nurses and midwives of the healthcare needs of the LGBTQ population: An integrative review. </w:t>
      </w:r>
      <w:r w:rsidRPr="008038F2">
        <w:rPr>
          <w:i/>
          <w:sz w:val="24"/>
          <w:szCs w:val="24"/>
        </w:rPr>
        <w:t>Nurse Education Today, 53</w:t>
      </w:r>
      <w:r w:rsidRPr="008038F2">
        <w:rPr>
          <w:sz w:val="24"/>
          <w:szCs w:val="24"/>
        </w:rPr>
        <w:t>, 67.</w:t>
      </w:r>
    </w:p>
    <w:p w14:paraId="60908674" w14:textId="77777777" w:rsidR="00942BE1" w:rsidRPr="008038F2" w:rsidRDefault="00942BE1" w:rsidP="00942BE1">
      <w:pPr>
        <w:ind w:left="720" w:hanging="720"/>
        <w:rPr>
          <w:sz w:val="24"/>
          <w:szCs w:val="24"/>
        </w:rPr>
      </w:pPr>
      <w:r w:rsidRPr="008038F2">
        <w:rPr>
          <w:sz w:val="24"/>
          <w:szCs w:val="24"/>
        </w:rPr>
        <w:t>Orr, P., &amp; Davenport, D. (2015). Embracing change. </w:t>
      </w:r>
      <w:r w:rsidRPr="008038F2">
        <w:rPr>
          <w:i/>
          <w:sz w:val="24"/>
          <w:szCs w:val="24"/>
        </w:rPr>
        <w:t>The Nursing Clinics of North America</w:t>
      </w:r>
      <w:r w:rsidRPr="008038F2">
        <w:rPr>
          <w:sz w:val="24"/>
          <w:szCs w:val="24"/>
        </w:rPr>
        <w:t>, 50(1), 1-18. doi:10.1016/j.cnur.2014.10.001</w:t>
      </w:r>
    </w:p>
    <w:p w14:paraId="23830B7A" w14:textId="77777777" w:rsidR="00942BE1" w:rsidRPr="008038F2" w:rsidRDefault="00942BE1" w:rsidP="00942BE1">
      <w:pPr>
        <w:ind w:left="720" w:hanging="720"/>
        <w:rPr>
          <w:sz w:val="24"/>
          <w:szCs w:val="24"/>
        </w:rPr>
      </w:pPr>
      <w:r w:rsidRPr="008038F2">
        <w:rPr>
          <w:sz w:val="24"/>
          <w:szCs w:val="24"/>
        </w:rPr>
        <w:t>Quinn, G.P., Sanchez, J.A., Sutton, S.K., Vadaparampil, S.T., Nguyen, G.T. Green, B.L., … Schabath</w:t>
      </w:r>
      <w:bookmarkStart w:id="7" w:name="_GoBack"/>
      <w:bookmarkEnd w:id="7"/>
      <w:r w:rsidRPr="008038F2">
        <w:rPr>
          <w:sz w:val="24"/>
          <w:szCs w:val="24"/>
        </w:rPr>
        <w:t xml:space="preserve">, M.B. (2015). Cancer and lesbian, gay, bisexual, transgender/transsexual, and queer/questioning (LGBTQ) populations. </w:t>
      </w:r>
      <w:r w:rsidRPr="008038F2">
        <w:rPr>
          <w:i/>
          <w:sz w:val="24"/>
          <w:szCs w:val="24"/>
        </w:rPr>
        <w:t>CA: A Cancer Journal for Clinicians,</w:t>
      </w:r>
      <w:r w:rsidRPr="008038F2">
        <w:rPr>
          <w:sz w:val="24"/>
          <w:szCs w:val="24"/>
        </w:rPr>
        <w:t xml:space="preserve"> 65(5), 384-400.</w:t>
      </w:r>
    </w:p>
    <w:p w14:paraId="755BFA0B" w14:textId="77777777" w:rsidR="00942BE1" w:rsidRPr="008038F2" w:rsidRDefault="00942BE1" w:rsidP="00942BE1">
      <w:pPr>
        <w:ind w:left="720" w:hanging="720"/>
        <w:rPr>
          <w:sz w:val="24"/>
          <w:szCs w:val="24"/>
        </w:rPr>
      </w:pPr>
      <w:r w:rsidRPr="008038F2">
        <w:rPr>
          <w:sz w:val="24"/>
          <w:szCs w:val="24"/>
        </w:rPr>
        <w:t>Reese, D. J., &amp; Beckwith, S. K. (2015). Organizational barriers to cultural competence in hospice. </w:t>
      </w:r>
      <w:r w:rsidRPr="008038F2">
        <w:rPr>
          <w:i/>
          <w:sz w:val="24"/>
          <w:szCs w:val="24"/>
        </w:rPr>
        <w:t>American Journal of Hospice and Palliative Medicine, 32</w:t>
      </w:r>
      <w:r w:rsidRPr="008038F2">
        <w:rPr>
          <w:sz w:val="24"/>
          <w:szCs w:val="24"/>
        </w:rPr>
        <w:t>(7), 685-694. doi:10.1177/1049909113520614</w:t>
      </w:r>
    </w:p>
    <w:p w14:paraId="64947713" w14:textId="77777777" w:rsidR="00942BE1" w:rsidRPr="008038F2" w:rsidRDefault="00942BE1" w:rsidP="00942BE1">
      <w:pPr>
        <w:ind w:left="720" w:hanging="720"/>
        <w:rPr>
          <w:sz w:val="24"/>
          <w:szCs w:val="24"/>
        </w:rPr>
      </w:pPr>
      <w:r w:rsidRPr="008038F2">
        <w:rPr>
          <w:sz w:val="24"/>
          <w:szCs w:val="24"/>
        </w:rPr>
        <w:t xml:space="preserve">Rising, M. L. (2017). Truth telling as an element of culturally competent care at end of life. </w:t>
      </w:r>
      <w:r w:rsidRPr="008038F2">
        <w:rPr>
          <w:i/>
          <w:sz w:val="24"/>
          <w:szCs w:val="24"/>
        </w:rPr>
        <w:t>Journal of Transcultural Nursing, 28</w:t>
      </w:r>
      <w:r w:rsidRPr="008038F2">
        <w:rPr>
          <w:sz w:val="24"/>
          <w:szCs w:val="24"/>
        </w:rPr>
        <w:t>(1), 48-55. doi:10.1177/1043659615606203</w:t>
      </w:r>
    </w:p>
    <w:p w14:paraId="2EA8F024" w14:textId="77777777" w:rsidR="00942BE1" w:rsidRPr="008038F2" w:rsidRDefault="00942BE1" w:rsidP="00942BE1">
      <w:pPr>
        <w:ind w:left="720" w:hanging="720"/>
        <w:rPr>
          <w:sz w:val="24"/>
          <w:szCs w:val="24"/>
        </w:rPr>
      </w:pPr>
      <w:r w:rsidRPr="008038F2">
        <w:rPr>
          <w:sz w:val="24"/>
          <w:szCs w:val="24"/>
        </w:rPr>
        <w:lastRenderedPageBreak/>
        <w:t>Shirey, M. R. (2013). Lewin's theory of planned change as a strategic resource. </w:t>
      </w:r>
      <w:r w:rsidRPr="008038F2">
        <w:rPr>
          <w:i/>
          <w:sz w:val="24"/>
          <w:szCs w:val="24"/>
        </w:rPr>
        <w:t>The Journal of Nursing Administration</w:t>
      </w:r>
      <w:r w:rsidRPr="008038F2">
        <w:rPr>
          <w:sz w:val="24"/>
          <w:szCs w:val="24"/>
        </w:rPr>
        <w:t>, 43(2), 69.</w:t>
      </w:r>
    </w:p>
    <w:p w14:paraId="22115F8F" w14:textId="7F631D29" w:rsidR="00942BE1" w:rsidRPr="008038F2" w:rsidRDefault="00942BE1" w:rsidP="00942BE1">
      <w:pPr>
        <w:ind w:left="720" w:hanging="720"/>
        <w:rPr>
          <w:sz w:val="24"/>
          <w:szCs w:val="24"/>
        </w:rPr>
      </w:pPr>
      <w:r w:rsidRPr="008038F2">
        <w:rPr>
          <w:sz w:val="24"/>
          <w:szCs w:val="24"/>
        </w:rPr>
        <w:t xml:space="preserve">Somerville, C. (2015). </w:t>
      </w:r>
      <w:r w:rsidRPr="008038F2">
        <w:rPr>
          <w:i/>
          <w:sz w:val="24"/>
          <w:szCs w:val="24"/>
        </w:rPr>
        <w:t>Unhealthy attitudes:</w:t>
      </w:r>
      <w:r w:rsidRPr="008038F2">
        <w:rPr>
          <w:sz w:val="24"/>
          <w:szCs w:val="24"/>
        </w:rPr>
        <w:t xml:space="preserve"> </w:t>
      </w:r>
      <w:r w:rsidRPr="008038F2">
        <w:rPr>
          <w:i/>
          <w:sz w:val="24"/>
          <w:szCs w:val="24"/>
        </w:rPr>
        <w:t>The Treatment of LGBT people within health and social care services.</w:t>
      </w:r>
      <w:r w:rsidRPr="008038F2">
        <w:rPr>
          <w:sz w:val="24"/>
          <w:szCs w:val="24"/>
        </w:rPr>
        <w:t xml:space="preserve"> Retrieved from </w:t>
      </w:r>
      <w:r w:rsidR="00C76E1E" w:rsidRPr="008038F2">
        <w:rPr>
          <w:sz w:val="24"/>
          <w:szCs w:val="24"/>
        </w:rPr>
        <w:t>https://www.stonewall.org.uk/sites/default/files/unhealthy_attitudes.pdf</w:t>
      </w:r>
    </w:p>
    <w:p w14:paraId="0F8BB98F" w14:textId="77777777" w:rsidR="00942BE1" w:rsidRPr="008038F2" w:rsidRDefault="00942BE1" w:rsidP="00942BE1">
      <w:pPr>
        <w:ind w:left="720" w:hanging="720"/>
        <w:rPr>
          <w:sz w:val="24"/>
          <w:szCs w:val="24"/>
        </w:rPr>
      </w:pPr>
      <w:r w:rsidRPr="008038F2">
        <w:rPr>
          <w:sz w:val="24"/>
          <w:szCs w:val="24"/>
        </w:rPr>
        <w:t xml:space="preserve">Stein, G.L., Beckerman, N.L., &amp; Sherman, P.A. (2010). Lesbian and gay elders and long-term care: Identifying the unique psychosocial perspectives and challenges. </w:t>
      </w:r>
      <w:r w:rsidRPr="008038F2">
        <w:rPr>
          <w:i/>
          <w:sz w:val="24"/>
          <w:szCs w:val="24"/>
        </w:rPr>
        <w:t>Journal of Gerontology of Social Work</w:t>
      </w:r>
      <w:r w:rsidRPr="008038F2">
        <w:rPr>
          <w:sz w:val="24"/>
          <w:szCs w:val="24"/>
        </w:rPr>
        <w:t>, 53(5), 421-35.</w:t>
      </w:r>
    </w:p>
    <w:p w14:paraId="6AC0C49F" w14:textId="4D3B5E42" w:rsidR="00942BE1" w:rsidRPr="008038F2" w:rsidRDefault="00942BE1" w:rsidP="00942BE1">
      <w:pPr>
        <w:ind w:left="720" w:hanging="720"/>
        <w:rPr>
          <w:sz w:val="24"/>
          <w:szCs w:val="24"/>
        </w:rPr>
      </w:pPr>
      <w:r w:rsidRPr="008038F2">
        <w:rPr>
          <w:sz w:val="24"/>
          <w:szCs w:val="24"/>
        </w:rPr>
        <w:t xml:space="preserve">U.S. Department of Health and Human Services, Healthy People 2020. (2018). Lesbian, gay, bisexual, and transgender health. Retrieved from </w:t>
      </w:r>
      <w:r w:rsidR="00C76E1E" w:rsidRPr="008038F2">
        <w:rPr>
          <w:sz w:val="24"/>
          <w:szCs w:val="24"/>
        </w:rPr>
        <w:t>https://www.healthypeople.gov/2020/topics-objectives/topic/lesbian-gay-bisexual-and-transgender-health</w:t>
      </w:r>
    </w:p>
    <w:p w14:paraId="0043F2FD" w14:textId="1B24F21E" w:rsidR="00942BE1" w:rsidRPr="008038F2" w:rsidRDefault="00942BE1" w:rsidP="00942BE1">
      <w:pPr>
        <w:ind w:left="720" w:hanging="720"/>
        <w:rPr>
          <w:rStyle w:val="Hyperlink"/>
          <w:color w:val="auto"/>
          <w:sz w:val="24"/>
          <w:szCs w:val="24"/>
        </w:rPr>
      </w:pPr>
      <w:r w:rsidRPr="008038F2">
        <w:rPr>
          <w:sz w:val="24"/>
          <w:szCs w:val="24"/>
        </w:rPr>
        <w:t xml:space="preserve">U. S. Department of Health and Human Services, National Institute on Aging. (2017). End of life: What is end of life care? Retrieved from </w:t>
      </w:r>
      <w:r w:rsidR="00C76E1E" w:rsidRPr="008038F2">
        <w:rPr>
          <w:sz w:val="24"/>
          <w:szCs w:val="24"/>
        </w:rPr>
        <w:t>https://www.nia.nih.gov/health/what-end-life-care</w:t>
      </w:r>
    </w:p>
    <w:p w14:paraId="7B382F94" w14:textId="77777777" w:rsidR="00480D9D" w:rsidRPr="008038F2" w:rsidRDefault="00480D9D" w:rsidP="00942BE1">
      <w:pPr>
        <w:ind w:left="720" w:hanging="720"/>
        <w:rPr>
          <w:rStyle w:val="Hyperlink"/>
          <w:color w:val="auto"/>
          <w:sz w:val="24"/>
          <w:szCs w:val="24"/>
        </w:rPr>
      </w:pPr>
    </w:p>
    <w:p w14:paraId="4AE48B5A" w14:textId="77777777" w:rsidR="009F3B75" w:rsidRDefault="009F3B75">
      <w:pPr>
        <w:sectPr w:rsidR="009F3B75" w:rsidSect="00787E65">
          <w:pgSz w:w="12240" w:h="15840" w:code="1"/>
          <w:pgMar w:top="1440" w:right="1440" w:bottom="1440" w:left="1440" w:header="720" w:footer="720" w:gutter="0"/>
          <w:cols w:space="720"/>
          <w:titlePg/>
          <w:docGrid w:linePitch="360"/>
        </w:sectPr>
      </w:pPr>
    </w:p>
    <w:p w14:paraId="0C5F4B58" w14:textId="7C926ACF" w:rsidR="002155CB" w:rsidRPr="009F3B75" w:rsidRDefault="006C7814" w:rsidP="009F3B75">
      <w:pPr>
        <w:jc w:val="center"/>
        <w:rPr>
          <w:sz w:val="24"/>
          <w:szCs w:val="24"/>
        </w:rPr>
      </w:pPr>
      <w:r w:rsidRPr="009F3B75">
        <w:rPr>
          <w:sz w:val="24"/>
          <w:szCs w:val="24"/>
        </w:rPr>
        <w:lastRenderedPageBreak/>
        <w:t>A</w:t>
      </w:r>
      <w:r w:rsidR="002155CB" w:rsidRPr="009F3B75">
        <w:rPr>
          <w:sz w:val="24"/>
          <w:szCs w:val="24"/>
        </w:rPr>
        <w:t xml:space="preserve">ppendix </w:t>
      </w:r>
      <w:r w:rsidR="00787E65">
        <w:rPr>
          <w:sz w:val="24"/>
          <w:szCs w:val="24"/>
        </w:rPr>
        <w:t>A</w:t>
      </w:r>
    </w:p>
    <w:p w14:paraId="3399F66B" w14:textId="6891C085" w:rsidR="002A599C" w:rsidRDefault="002A599C" w:rsidP="00662DA7">
      <w:pPr>
        <w:contextualSpacing/>
        <w:jc w:val="center"/>
        <w:rPr>
          <w:sz w:val="24"/>
          <w:szCs w:val="24"/>
        </w:rPr>
      </w:pPr>
      <w:r w:rsidRPr="00663231">
        <w:rPr>
          <w:sz w:val="24"/>
          <w:szCs w:val="24"/>
        </w:rPr>
        <w:t>10 Core Competencies and Strategies to Providing Health and Human Services to LGBT Older Adults (Fredriksen-Goldsen et al., 2014)</w:t>
      </w:r>
    </w:p>
    <w:p w14:paraId="348F2344" w14:textId="0FD528EB" w:rsidR="002A599C" w:rsidRDefault="002A599C" w:rsidP="002A599C">
      <w:pPr>
        <w:contextualSpacing/>
        <w:rPr>
          <w:sz w:val="24"/>
          <w:szCs w:val="24"/>
        </w:rPr>
      </w:pPr>
      <w:r w:rsidRPr="00663231">
        <w:rPr>
          <w:sz w:val="24"/>
          <w:szCs w:val="24"/>
        </w:rPr>
        <w:t xml:space="preserve">1. Critically analyze personal and professional attitudes toward sexual orientation, gender identity and age, and understand how factors such as culture, religion, media, and health and human service systems influence attitudes and ethical decision making. </w:t>
      </w:r>
    </w:p>
    <w:p w14:paraId="720D5BF3" w14:textId="77777777" w:rsidR="002A599C" w:rsidRDefault="002A599C" w:rsidP="002A599C">
      <w:pPr>
        <w:contextualSpacing/>
        <w:rPr>
          <w:sz w:val="24"/>
          <w:szCs w:val="24"/>
        </w:rPr>
      </w:pPr>
      <w:r w:rsidRPr="00663231">
        <w:rPr>
          <w:sz w:val="24"/>
          <w:szCs w:val="24"/>
        </w:rPr>
        <w:t>2. Understand and articulate the ways that larger social and cultural contexts may have negatively impacted LGBT older adults as a historically disadvantaged population</w:t>
      </w:r>
      <w:r>
        <w:rPr>
          <w:sz w:val="24"/>
          <w:szCs w:val="24"/>
        </w:rPr>
        <w:t>.</w:t>
      </w:r>
    </w:p>
    <w:p w14:paraId="5FC58847" w14:textId="0411A6D4" w:rsidR="002A599C" w:rsidRDefault="002A599C" w:rsidP="002A599C">
      <w:pPr>
        <w:contextualSpacing/>
        <w:rPr>
          <w:sz w:val="24"/>
          <w:szCs w:val="24"/>
        </w:rPr>
      </w:pPr>
      <w:r w:rsidRPr="00663231">
        <w:rPr>
          <w:sz w:val="24"/>
          <w:szCs w:val="24"/>
        </w:rPr>
        <w:t xml:space="preserve"> 3. Distinguish similarities and differences within the subgroups of LGBT older adults, as well as their intersecting identities (such as age, gender, race, and health status) to develop tailored and responsive health strategies</w:t>
      </w:r>
      <w:r>
        <w:rPr>
          <w:sz w:val="24"/>
          <w:szCs w:val="24"/>
        </w:rPr>
        <w:t>.</w:t>
      </w:r>
    </w:p>
    <w:p w14:paraId="76C52E97" w14:textId="7A17293C" w:rsidR="002A599C" w:rsidRDefault="002A599C" w:rsidP="0051742B">
      <w:pPr>
        <w:tabs>
          <w:tab w:val="left" w:pos="3150"/>
        </w:tabs>
        <w:contextualSpacing/>
        <w:rPr>
          <w:sz w:val="24"/>
          <w:szCs w:val="24"/>
        </w:rPr>
      </w:pPr>
      <w:r w:rsidRPr="00663231">
        <w:rPr>
          <w:sz w:val="24"/>
          <w:szCs w:val="24"/>
        </w:rPr>
        <w:t xml:space="preserve"> 4. Apply theories of aging and social and health perspectives and the most up-to-date knowledge available to engage in culturally competent practice with LGBT older adults</w:t>
      </w:r>
      <w:r>
        <w:rPr>
          <w:sz w:val="24"/>
          <w:szCs w:val="24"/>
        </w:rPr>
        <w:t>.</w:t>
      </w:r>
    </w:p>
    <w:p w14:paraId="30087BA4" w14:textId="31E8003E" w:rsidR="002A599C" w:rsidRDefault="002A599C" w:rsidP="002A599C">
      <w:pPr>
        <w:contextualSpacing/>
        <w:rPr>
          <w:sz w:val="24"/>
          <w:szCs w:val="24"/>
        </w:rPr>
      </w:pPr>
      <w:r w:rsidRPr="00663231">
        <w:rPr>
          <w:sz w:val="24"/>
          <w:szCs w:val="24"/>
        </w:rPr>
        <w:t xml:space="preserve"> 5. When conducting a comprehensive biopsychosocial assessment, attend to the ways that the larger social context and structural and environmental risks and resources may impact LGBT older adults</w:t>
      </w:r>
      <w:r>
        <w:rPr>
          <w:sz w:val="24"/>
          <w:szCs w:val="24"/>
        </w:rPr>
        <w:t>.</w:t>
      </w:r>
    </w:p>
    <w:p w14:paraId="226EE3DA" w14:textId="1584C69B" w:rsidR="002A599C" w:rsidRDefault="002A599C" w:rsidP="002A599C">
      <w:pPr>
        <w:contextualSpacing/>
        <w:rPr>
          <w:sz w:val="24"/>
          <w:szCs w:val="24"/>
        </w:rPr>
      </w:pPr>
      <w:r w:rsidRPr="00663231">
        <w:rPr>
          <w:sz w:val="24"/>
          <w:szCs w:val="24"/>
        </w:rPr>
        <w:t xml:space="preserve"> 6. When using empathy and sensitive interviewing skills during assessment and intervention, ensure the use of language is appropriate for working with LGBT older adults to establish and build rapport</w:t>
      </w:r>
      <w:r>
        <w:rPr>
          <w:sz w:val="24"/>
          <w:szCs w:val="24"/>
        </w:rPr>
        <w:t>.</w:t>
      </w:r>
    </w:p>
    <w:p w14:paraId="13389392" w14:textId="21C3DD36" w:rsidR="002A599C" w:rsidRDefault="002A599C" w:rsidP="002A599C">
      <w:pPr>
        <w:contextualSpacing/>
        <w:rPr>
          <w:sz w:val="24"/>
          <w:szCs w:val="24"/>
        </w:rPr>
      </w:pPr>
      <w:r w:rsidRPr="00663231">
        <w:rPr>
          <w:sz w:val="24"/>
          <w:szCs w:val="24"/>
        </w:rPr>
        <w:t xml:space="preserve"> 7. Understand and articular the ways in which agency, program, and service policies do or do not marginalize and discriminate against LGBT older adults</w:t>
      </w:r>
      <w:r>
        <w:rPr>
          <w:sz w:val="24"/>
          <w:szCs w:val="24"/>
        </w:rPr>
        <w:t>.</w:t>
      </w:r>
    </w:p>
    <w:p w14:paraId="6400581C" w14:textId="720A1D3B" w:rsidR="002A599C" w:rsidRDefault="002A599C" w:rsidP="002A599C">
      <w:pPr>
        <w:contextualSpacing/>
        <w:rPr>
          <w:sz w:val="24"/>
          <w:szCs w:val="24"/>
        </w:rPr>
      </w:pPr>
      <w:r w:rsidRPr="00663231">
        <w:rPr>
          <w:sz w:val="24"/>
          <w:szCs w:val="24"/>
        </w:rPr>
        <w:t xml:space="preserve"> 8. Understand and articulate the ways that local, state, and federal laws negatively and positively impact LGBT older adults, to advocate on their behalf</w:t>
      </w:r>
      <w:r>
        <w:rPr>
          <w:sz w:val="24"/>
          <w:szCs w:val="24"/>
        </w:rPr>
        <w:t>.</w:t>
      </w:r>
    </w:p>
    <w:p w14:paraId="375E208B" w14:textId="09105E9E" w:rsidR="002A599C" w:rsidRDefault="002A599C" w:rsidP="002A599C">
      <w:pPr>
        <w:contextualSpacing/>
        <w:rPr>
          <w:sz w:val="24"/>
          <w:szCs w:val="24"/>
        </w:rPr>
      </w:pPr>
      <w:r w:rsidRPr="00663231">
        <w:rPr>
          <w:sz w:val="24"/>
          <w:szCs w:val="24"/>
        </w:rPr>
        <w:lastRenderedPageBreak/>
        <w:t xml:space="preserve"> 9. Provide sensitive and appropriate outreach to LGBT older adults, their families, caregivers and other supports to identify and address service gaps, fragmentation, and barriers that impact LGBT older adults</w:t>
      </w:r>
      <w:r>
        <w:rPr>
          <w:sz w:val="24"/>
          <w:szCs w:val="24"/>
        </w:rPr>
        <w:t>.</w:t>
      </w:r>
    </w:p>
    <w:p w14:paraId="18775FFB" w14:textId="540A8261" w:rsidR="002A599C" w:rsidRPr="00663231" w:rsidRDefault="002A599C" w:rsidP="002A599C">
      <w:pPr>
        <w:contextualSpacing/>
        <w:rPr>
          <w:sz w:val="24"/>
          <w:szCs w:val="24"/>
        </w:rPr>
      </w:pPr>
      <w:r w:rsidRPr="00663231">
        <w:rPr>
          <w:sz w:val="24"/>
          <w:szCs w:val="24"/>
        </w:rPr>
        <w:t xml:space="preserve"> 10. Enhance the capacity of LGBT older adults and their families, caregivers, and other supports to navigate aging, social, and health services</w:t>
      </w:r>
      <w:r>
        <w:rPr>
          <w:sz w:val="24"/>
          <w:szCs w:val="24"/>
        </w:rPr>
        <w:t>.</w:t>
      </w:r>
    </w:p>
    <w:p w14:paraId="7B6C880C" w14:textId="193375FB" w:rsidR="00F53F16" w:rsidRDefault="00F53F16" w:rsidP="004D108E">
      <w:pPr>
        <w:pStyle w:val="APAReference"/>
        <w:contextualSpacing/>
        <w:jc w:val="center"/>
      </w:pPr>
      <w:r>
        <w:br w:type="page"/>
      </w:r>
      <w:r w:rsidR="004D108E">
        <w:lastRenderedPageBreak/>
        <w:t xml:space="preserve">Appendix </w:t>
      </w:r>
      <w:r w:rsidR="00787E65">
        <w:t>B</w:t>
      </w:r>
    </w:p>
    <w:p w14:paraId="448AF513" w14:textId="2E8080B4" w:rsidR="007257CD" w:rsidRDefault="009C25D6" w:rsidP="007257CD">
      <w:pPr>
        <w:pStyle w:val="APAReference"/>
        <w:ind w:left="0" w:firstLine="0"/>
        <w:jc w:val="center"/>
      </w:pPr>
      <w:r>
        <w:t>Standard CNE Evaluation Form</w:t>
      </w:r>
    </w:p>
    <w:p w14:paraId="1ABEED29" w14:textId="77777777" w:rsidR="009C25D6" w:rsidRPr="008038F2" w:rsidRDefault="009C25D6" w:rsidP="00083C38">
      <w:pPr>
        <w:tabs>
          <w:tab w:val="left" w:pos="-36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uto"/>
        <w:ind w:left="60"/>
        <w:rPr>
          <w:b/>
          <w:sz w:val="24"/>
          <w:szCs w:val="24"/>
        </w:rPr>
      </w:pPr>
      <w:r w:rsidRPr="008038F2">
        <w:rPr>
          <w:b/>
          <w:sz w:val="24"/>
          <w:szCs w:val="24"/>
        </w:rPr>
        <w:t xml:space="preserve">Program Title:  Creating a Welcoming Space for LBGTQ Clients and Families at End of Life in the Hospice Setting. </w:t>
      </w:r>
    </w:p>
    <w:p w14:paraId="299CF98A" w14:textId="77777777" w:rsidR="009C25D6" w:rsidRPr="00083C38" w:rsidRDefault="009C25D6" w:rsidP="00083C38">
      <w:pPr>
        <w:tabs>
          <w:tab w:val="left" w:pos="-36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uto"/>
        <w:ind w:left="60"/>
        <w:rPr>
          <w:rFonts w:ascii="Calibri" w:hAnsi="Calibri"/>
          <w:b/>
          <w:sz w:val="24"/>
          <w:szCs w:val="24"/>
        </w:rPr>
      </w:pPr>
      <w:r w:rsidRPr="008038F2">
        <w:rPr>
          <w:b/>
          <w:sz w:val="24"/>
          <w:szCs w:val="24"/>
        </w:rPr>
        <w:t xml:space="preserve">Date:  </w:t>
      </w:r>
      <w:r w:rsidRPr="008038F2">
        <w:rPr>
          <w:b/>
          <w:sz w:val="24"/>
          <w:szCs w:val="24"/>
        </w:rPr>
        <w:tab/>
        <w:t>September 24</w:t>
      </w:r>
      <w:r w:rsidRPr="008038F2">
        <w:rPr>
          <w:b/>
          <w:sz w:val="24"/>
          <w:szCs w:val="24"/>
          <w:vertAlign w:val="superscript"/>
        </w:rPr>
        <w:t xml:space="preserve">th  </w:t>
      </w:r>
      <w:r w:rsidRPr="008038F2">
        <w:rPr>
          <w:b/>
          <w:sz w:val="24"/>
          <w:szCs w:val="24"/>
        </w:rPr>
        <w:t>and 25th, 2018</w:t>
      </w:r>
      <w:r w:rsidRPr="008038F2">
        <w:rPr>
          <w:b/>
          <w:sz w:val="24"/>
          <w:szCs w:val="24"/>
        </w:rPr>
        <w:tab/>
      </w:r>
      <w:r w:rsidRPr="00083C38">
        <w:rPr>
          <w:rFonts w:ascii="Calibri" w:hAnsi="Calibri"/>
          <w:b/>
          <w:sz w:val="24"/>
          <w:szCs w:val="24"/>
        </w:rPr>
        <w:tab/>
      </w:r>
      <w:r w:rsidRPr="00083C38">
        <w:rPr>
          <w:rFonts w:ascii="Calibri" w:hAnsi="Calibri"/>
          <w:b/>
          <w:sz w:val="24"/>
          <w:szCs w:val="24"/>
        </w:rPr>
        <w:tab/>
      </w:r>
      <w:r w:rsidRPr="00083C38">
        <w:rPr>
          <w:rFonts w:ascii="Calibri" w:hAnsi="Calibri"/>
          <w:b/>
          <w:sz w:val="24"/>
          <w:szCs w:val="24"/>
        </w:rPr>
        <w:tab/>
        <w:t xml:space="preserve"> </w:t>
      </w:r>
    </w:p>
    <w:p w14:paraId="061DED17" w14:textId="1D47BF90" w:rsidR="009C25D6" w:rsidRPr="00083C38" w:rsidRDefault="009C25D6" w:rsidP="00083C38">
      <w:pPr>
        <w:tabs>
          <w:tab w:val="left" w:pos="-36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uto"/>
        <w:rPr>
          <w:b/>
          <w:sz w:val="24"/>
          <w:szCs w:val="24"/>
        </w:rPr>
      </w:pPr>
    </w:p>
    <w:p w14:paraId="451D498C" w14:textId="77777777" w:rsidR="009C25D6" w:rsidRPr="008038F2" w:rsidRDefault="009C25D6" w:rsidP="00083C38">
      <w:pPr>
        <w:tabs>
          <w:tab w:val="left" w:pos="-360"/>
          <w:tab w:val="left" w:pos="180"/>
          <w:tab w:val="left" w:pos="54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uto"/>
        <w:ind w:left="60"/>
        <w:rPr>
          <w:sz w:val="24"/>
          <w:szCs w:val="24"/>
        </w:rPr>
      </w:pPr>
      <w:r w:rsidRPr="00083C38">
        <w:rPr>
          <w:rFonts w:ascii="Calibri" w:hAnsi="Calibri" w:cs="Arial"/>
          <w:b/>
          <w:sz w:val="24"/>
          <w:szCs w:val="24"/>
        </w:rPr>
        <w:tab/>
      </w:r>
      <w:r w:rsidRPr="008038F2">
        <w:rPr>
          <w:b/>
          <w:sz w:val="24"/>
          <w:szCs w:val="24"/>
        </w:rPr>
        <w:t xml:space="preserve">Please rate the following: </w:t>
      </w:r>
    </w:p>
    <w:tbl>
      <w:tblPr>
        <w:tblW w:w="10710" w:type="dxa"/>
        <w:tblInd w:w="-285" w:type="dxa"/>
        <w:tblBorders>
          <w:top w:val="single" w:sz="12" w:space="0" w:color="000000"/>
          <w:left w:val="single" w:sz="12" w:space="0" w:color="000000"/>
          <w:bottom w:val="single" w:sz="4" w:space="0" w:color="000000"/>
          <w:right w:val="single" w:sz="12" w:space="0" w:color="000000"/>
          <w:insideH w:val="single" w:sz="4" w:space="0" w:color="000000"/>
          <w:insideV w:val="single" w:sz="4" w:space="0" w:color="000000"/>
        </w:tblBorders>
        <w:tblLayout w:type="fixed"/>
        <w:tblCellMar>
          <w:left w:w="136" w:type="dxa"/>
          <w:right w:w="136" w:type="dxa"/>
        </w:tblCellMar>
        <w:tblLook w:val="0000" w:firstRow="0" w:lastRow="0" w:firstColumn="0" w:lastColumn="0" w:noHBand="0" w:noVBand="0"/>
      </w:tblPr>
      <w:tblGrid>
        <w:gridCol w:w="6541"/>
        <w:gridCol w:w="1109"/>
        <w:gridCol w:w="900"/>
        <w:gridCol w:w="1080"/>
        <w:gridCol w:w="1080"/>
      </w:tblGrid>
      <w:tr w:rsidR="009C25D6" w:rsidRPr="008038F2" w14:paraId="00FBA7E3" w14:textId="77777777" w:rsidTr="00D62996">
        <w:tc>
          <w:tcPr>
            <w:tcW w:w="6541" w:type="dxa"/>
            <w:tcBorders>
              <w:top w:val="single" w:sz="12" w:space="0" w:color="000000"/>
              <w:right w:val="single" w:sz="12" w:space="0" w:color="auto"/>
            </w:tcBorders>
            <w:shd w:val="pct10" w:color="000000" w:fill="auto"/>
          </w:tcPr>
          <w:p w14:paraId="0F9B508F" w14:textId="77777777" w:rsidR="009C25D6" w:rsidRPr="008038F2" w:rsidRDefault="009C25D6" w:rsidP="00E80247">
            <w:pPr>
              <w:tabs>
                <w:tab w:val="left" w:pos="360"/>
                <w:tab w:val="left" w:pos="720"/>
                <w:tab w:val="left" w:pos="1080"/>
              </w:tabs>
              <w:spacing w:line="201" w:lineRule="exact"/>
              <w:rPr>
                <w:b/>
                <w:bCs/>
                <w:sz w:val="22"/>
              </w:rPr>
            </w:pPr>
          </w:p>
          <w:p w14:paraId="546E497A" w14:textId="77777777" w:rsidR="009C25D6" w:rsidRPr="008038F2" w:rsidRDefault="009C25D6" w:rsidP="00E80247">
            <w:pPr>
              <w:tabs>
                <w:tab w:val="left" w:pos="360"/>
                <w:tab w:val="left" w:pos="720"/>
                <w:tab w:val="left" w:pos="1080"/>
                <w:tab w:val="center" w:pos="1574"/>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ind w:left="60"/>
              <w:jc w:val="center"/>
              <w:rPr>
                <w:b/>
                <w:sz w:val="22"/>
              </w:rPr>
            </w:pPr>
            <w:r w:rsidRPr="008038F2">
              <w:rPr>
                <w:b/>
                <w:sz w:val="22"/>
              </w:rPr>
              <w:t xml:space="preserve">Upon completion of this class: </w:t>
            </w:r>
          </w:p>
        </w:tc>
        <w:tc>
          <w:tcPr>
            <w:tcW w:w="1109" w:type="dxa"/>
            <w:tcBorders>
              <w:top w:val="single" w:sz="12" w:space="0" w:color="000000"/>
              <w:left w:val="single" w:sz="12" w:space="0" w:color="auto"/>
              <w:right w:val="single" w:sz="12" w:space="0" w:color="auto"/>
            </w:tcBorders>
            <w:shd w:val="pct10" w:color="000000" w:fill="auto"/>
          </w:tcPr>
          <w:p w14:paraId="2605AAC2" w14:textId="77777777" w:rsidR="009C25D6" w:rsidRPr="008038F2" w:rsidRDefault="009C25D6" w:rsidP="00E80247">
            <w:pPr>
              <w:tabs>
                <w:tab w:val="left" w:pos="360"/>
                <w:tab w:val="left" w:pos="720"/>
                <w:tab w:val="left" w:pos="1080"/>
              </w:tabs>
              <w:spacing w:line="201" w:lineRule="exact"/>
              <w:ind w:left="60"/>
              <w:jc w:val="center"/>
              <w:rPr>
                <w:b/>
              </w:rPr>
            </w:pPr>
            <w:r w:rsidRPr="008038F2">
              <w:rPr>
                <w:b/>
              </w:rPr>
              <w:t>Strongly Agree</w:t>
            </w:r>
          </w:p>
        </w:tc>
        <w:tc>
          <w:tcPr>
            <w:tcW w:w="900" w:type="dxa"/>
            <w:tcBorders>
              <w:top w:val="single" w:sz="12" w:space="0" w:color="000000"/>
              <w:left w:val="single" w:sz="12" w:space="0" w:color="auto"/>
              <w:right w:val="single" w:sz="12" w:space="0" w:color="auto"/>
            </w:tcBorders>
            <w:shd w:val="pct10" w:color="000000" w:fill="auto"/>
          </w:tcPr>
          <w:p w14:paraId="42749B5C" w14:textId="77777777" w:rsidR="009C25D6" w:rsidRPr="008038F2" w:rsidRDefault="009C25D6" w:rsidP="00E80247">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ind w:left="60"/>
              <w:jc w:val="center"/>
              <w:rPr>
                <w:b/>
              </w:rPr>
            </w:pPr>
            <w:r w:rsidRPr="008038F2">
              <w:rPr>
                <w:b/>
              </w:rPr>
              <w:t>Agree</w:t>
            </w:r>
          </w:p>
        </w:tc>
        <w:tc>
          <w:tcPr>
            <w:tcW w:w="1080" w:type="dxa"/>
            <w:tcBorders>
              <w:top w:val="single" w:sz="12" w:space="0" w:color="000000"/>
              <w:left w:val="single" w:sz="12" w:space="0" w:color="auto"/>
              <w:right w:val="single" w:sz="12" w:space="0" w:color="auto"/>
            </w:tcBorders>
            <w:shd w:val="pct10" w:color="000000" w:fill="auto"/>
          </w:tcPr>
          <w:p w14:paraId="0E78EBD2" w14:textId="77777777" w:rsidR="009C25D6" w:rsidRPr="008038F2" w:rsidRDefault="009C25D6" w:rsidP="00E80247">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ind w:left="60"/>
              <w:jc w:val="center"/>
              <w:rPr>
                <w:b/>
              </w:rPr>
            </w:pPr>
            <w:r w:rsidRPr="008038F2">
              <w:rPr>
                <w:b/>
              </w:rPr>
              <w:t>Disagree</w:t>
            </w:r>
          </w:p>
        </w:tc>
        <w:tc>
          <w:tcPr>
            <w:tcW w:w="1080" w:type="dxa"/>
            <w:tcBorders>
              <w:top w:val="single" w:sz="12" w:space="0" w:color="000000"/>
              <w:left w:val="single" w:sz="12" w:space="0" w:color="auto"/>
            </w:tcBorders>
            <w:shd w:val="pct10" w:color="000000" w:fill="auto"/>
          </w:tcPr>
          <w:p w14:paraId="4FFB9122" w14:textId="77777777" w:rsidR="009C25D6" w:rsidRPr="008038F2" w:rsidRDefault="009C25D6" w:rsidP="00E80247">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ind w:left="60"/>
              <w:jc w:val="center"/>
              <w:rPr>
                <w:b/>
              </w:rPr>
            </w:pPr>
            <w:r w:rsidRPr="008038F2">
              <w:rPr>
                <w:b/>
              </w:rPr>
              <w:t>Strongly disagree</w:t>
            </w:r>
          </w:p>
        </w:tc>
      </w:tr>
      <w:tr w:rsidR="009C25D6" w:rsidRPr="008038F2" w14:paraId="343564F9" w14:textId="77777777" w:rsidTr="00D62996">
        <w:trPr>
          <w:trHeight w:val="630"/>
        </w:trPr>
        <w:tc>
          <w:tcPr>
            <w:tcW w:w="6541" w:type="dxa"/>
            <w:tcBorders>
              <w:right w:val="single" w:sz="12" w:space="0" w:color="auto"/>
            </w:tcBorders>
          </w:tcPr>
          <w:p w14:paraId="51645D78" w14:textId="77777777" w:rsidR="009C25D6" w:rsidRPr="008038F2" w:rsidRDefault="009C25D6" w:rsidP="00083C38">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uto"/>
              <w:jc w:val="both"/>
              <w:rPr>
                <w:sz w:val="22"/>
                <w:szCs w:val="22"/>
              </w:rPr>
            </w:pPr>
            <w:r w:rsidRPr="008038F2">
              <w:rPr>
                <w:sz w:val="22"/>
                <w:szCs w:val="22"/>
              </w:rPr>
              <w:t xml:space="preserve">I have increased knowledge on what is inclusive language to use during admission process. </w:t>
            </w:r>
          </w:p>
        </w:tc>
        <w:tc>
          <w:tcPr>
            <w:tcW w:w="1109" w:type="dxa"/>
            <w:tcBorders>
              <w:left w:val="single" w:sz="12" w:space="0" w:color="auto"/>
              <w:right w:val="single" w:sz="12" w:space="0" w:color="auto"/>
            </w:tcBorders>
          </w:tcPr>
          <w:p w14:paraId="1262B2AB" w14:textId="77777777" w:rsidR="009C25D6" w:rsidRPr="008038F2" w:rsidRDefault="009C25D6" w:rsidP="00E80247">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line="360" w:lineRule="auto"/>
              <w:ind w:left="60"/>
              <w:jc w:val="both"/>
              <w:rPr>
                <w:b/>
              </w:rPr>
            </w:pPr>
          </w:p>
        </w:tc>
        <w:tc>
          <w:tcPr>
            <w:tcW w:w="900" w:type="dxa"/>
            <w:tcBorders>
              <w:left w:val="single" w:sz="12" w:space="0" w:color="auto"/>
              <w:right w:val="single" w:sz="12" w:space="0" w:color="auto"/>
            </w:tcBorders>
          </w:tcPr>
          <w:p w14:paraId="6F6D028A" w14:textId="77777777" w:rsidR="009C25D6" w:rsidRPr="008038F2" w:rsidRDefault="009C25D6" w:rsidP="00E80247">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line="360" w:lineRule="auto"/>
              <w:ind w:left="60"/>
              <w:jc w:val="both"/>
              <w:rPr>
                <w:b/>
              </w:rPr>
            </w:pPr>
          </w:p>
        </w:tc>
        <w:tc>
          <w:tcPr>
            <w:tcW w:w="1080" w:type="dxa"/>
            <w:tcBorders>
              <w:left w:val="single" w:sz="12" w:space="0" w:color="auto"/>
              <w:right w:val="single" w:sz="12" w:space="0" w:color="auto"/>
            </w:tcBorders>
          </w:tcPr>
          <w:p w14:paraId="44075FB8" w14:textId="77777777" w:rsidR="009C25D6" w:rsidRPr="008038F2" w:rsidRDefault="009C25D6" w:rsidP="00E80247">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line="360" w:lineRule="auto"/>
              <w:ind w:left="60"/>
              <w:jc w:val="both"/>
              <w:rPr>
                <w:b/>
              </w:rPr>
            </w:pPr>
          </w:p>
        </w:tc>
        <w:tc>
          <w:tcPr>
            <w:tcW w:w="1080" w:type="dxa"/>
            <w:tcBorders>
              <w:left w:val="single" w:sz="12" w:space="0" w:color="auto"/>
            </w:tcBorders>
          </w:tcPr>
          <w:p w14:paraId="69EFEBC9" w14:textId="77777777" w:rsidR="009C25D6" w:rsidRPr="008038F2" w:rsidRDefault="009C25D6" w:rsidP="00E80247">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60"/>
              <w:jc w:val="center"/>
              <w:rPr>
                <w:b/>
              </w:rPr>
            </w:pPr>
          </w:p>
        </w:tc>
      </w:tr>
      <w:tr w:rsidR="009C25D6" w:rsidRPr="008038F2" w14:paraId="232D21A7" w14:textId="77777777" w:rsidTr="00D62996">
        <w:trPr>
          <w:trHeight w:val="630"/>
        </w:trPr>
        <w:tc>
          <w:tcPr>
            <w:tcW w:w="6541" w:type="dxa"/>
            <w:tcBorders>
              <w:right w:val="single" w:sz="12" w:space="0" w:color="auto"/>
            </w:tcBorders>
          </w:tcPr>
          <w:p w14:paraId="7F6F6DF5" w14:textId="77777777" w:rsidR="009C25D6" w:rsidRPr="008038F2" w:rsidRDefault="009C25D6" w:rsidP="00083C38">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uto"/>
              <w:jc w:val="both"/>
              <w:rPr>
                <w:sz w:val="22"/>
                <w:szCs w:val="22"/>
              </w:rPr>
            </w:pPr>
            <w:r w:rsidRPr="008038F2">
              <w:rPr>
                <w:sz w:val="22"/>
                <w:szCs w:val="22"/>
              </w:rPr>
              <w:t xml:space="preserve">I can confidently and effectively incorporate inclusive language when admitted a patient to hospice care. </w:t>
            </w:r>
          </w:p>
        </w:tc>
        <w:tc>
          <w:tcPr>
            <w:tcW w:w="1109" w:type="dxa"/>
            <w:tcBorders>
              <w:left w:val="single" w:sz="12" w:space="0" w:color="auto"/>
              <w:right w:val="single" w:sz="12" w:space="0" w:color="auto"/>
            </w:tcBorders>
          </w:tcPr>
          <w:p w14:paraId="70DA5779" w14:textId="77777777" w:rsidR="009C25D6" w:rsidRPr="008038F2" w:rsidRDefault="009C25D6" w:rsidP="00E80247">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line="360" w:lineRule="auto"/>
              <w:ind w:left="60"/>
              <w:jc w:val="both"/>
              <w:rPr>
                <w:b/>
              </w:rPr>
            </w:pPr>
          </w:p>
        </w:tc>
        <w:tc>
          <w:tcPr>
            <w:tcW w:w="900" w:type="dxa"/>
            <w:tcBorders>
              <w:left w:val="single" w:sz="12" w:space="0" w:color="auto"/>
              <w:right w:val="single" w:sz="12" w:space="0" w:color="auto"/>
            </w:tcBorders>
          </w:tcPr>
          <w:p w14:paraId="035AA663" w14:textId="77777777" w:rsidR="009C25D6" w:rsidRPr="008038F2" w:rsidRDefault="009C25D6" w:rsidP="00E80247">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line="360" w:lineRule="auto"/>
              <w:ind w:left="60"/>
              <w:jc w:val="both"/>
              <w:rPr>
                <w:b/>
              </w:rPr>
            </w:pPr>
          </w:p>
        </w:tc>
        <w:tc>
          <w:tcPr>
            <w:tcW w:w="1080" w:type="dxa"/>
            <w:tcBorders>
              <w:left w:val="single" w:sz="12" w:space="0" w:color="auto"/>
              <w:right w:val="single" w:sz="12" w:space="0" w:color="auto"/>
            </w:tcBorders>
          </w:tcPr>
          <w:p w14:paraId="47ADC6F5" w14:textId="77777777" w:rsidR="009C25D6" w:rsidRPr="008038F2" w:rsidRDefault="009C25D6" w:rsidP="00E80247">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line="360" w:lineRule="auto"/>
              <w:ind w:left="60"/>
              <w:jc w:val="both"/>
              <w:rPr>
                <w:b/>
              </w:rPr>
            </w:pPr>
          </w:p>
        </w:tc>
        <w:tc>
          <w:tcPr>
            <w:tcW w:w="1080" w:type="dxa"/>
            <w:tcBorders>
              <w:left w:val="single" w:sz="12" w:space="0" w:color="auto"/>
            </w:tcBorders>
          </w:tcPr>
          <w:p w14:paraId="70B6782C" w14:textId="77777777" w:rsidR="009C25D6" w:rsidRPr="008038F2" w:rsidRDefault="009C25D6" w:rsidP="00E80247">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60"/>
              <w:jc w:val="center"/>
              <w:rPr>
                <w:b/>
              </w:rPr>
            </w:pPr>
          </w:p>
        </w:tc>
      </w:tr>
    </w:tbl>
    <w:p w14:paraId="1570CC47" w14:textId="77777777" w:rsidR="009C25D6" w:rsidRPr="008038F2" w:rsidRDefault="009C25D6" w:rsidP="009C25D6">
      <w:pPr>
        <w:tabs>
          <w:tab w:val="left" w:pos="-360"/>
          <w:tab w:val="left" w:pos="180"/>
          <w:tab w:val="left" w:pos="54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rPr>
          <w:sz w:val="22"/>
          <w:szCs w:val="22"/>
        </w:rPr>
      </w:pPr>
      <w:r w:rsidRPr="008038F2">
        <w:rPr>
          <w:b/>
          <w:sz w:val="22"/>
          <w:szCs w:val="22"/>
        </w:rPr>
        <w:t xml:space="preserve">   Please rate the instructor on the following:</w:t>
      </w:r>
    </w:p>
    <w:tbl>
      <w:tblPr>
        <w:tblW w:w="10710" w:type="dxa"/>
        <w:tblInd w:w="-285" w:type="dxa"/>
        <w:tblBorders>
          <w:top w:val="single" w:sz="12" w:space="0" w:color="000000"/>
          <w:left w:val="single" w:sz="12" w:space="0" w:color="000000"/>
          <w:bottom w:val="single" w:sz="4" w:space="0" w:color="000000"/>
          <w:right w:val="single" w:sz="12" w:space="0" w:color="000000"/>
          <w:insideH w:val="single" w:sz="4" w:space="0" w:color="000000"/>
          <w:insideV w:val="single" w:sz="4" w:space="0" w:color="000000"/>
        </w:tblBorders>
        <w:tblLayout w:type="fixed"/>
        <w:tblCellMar>
          <w:left w:w="136" w:type="dxa"/>
          <w:right w:w="136" w:type="dxa"/>
        </w:tblCellMar>
        <w:tblLook w:val="0000" w:firstRow="0" w:lastRow="0" w:firstColumn="0" w:lastColumn="0" w:noHBand="0" w:noVBand="0"/>
      </w:tblPr>
      <w:tblGrid>
        <w:gridCol w:w="6451"/>
        <w:gridCol w:w="1199"/>
        <w:gridCol w:w="900"/>
        <w:gridCol w:w="1080"/>
        <w:gridCol w:w="1080"/>
      </w:tblGrid>
      <w:tr w:rsidR="009C25D6" w:rsidRPr="008038F2" w14:paraId="0FB7A66B" w14:textId="77777777" w:rsidTr="00D62996">
        <w:tc>
          <w:tcPr>
            <w:tcW w:w="6451" w:type="dxa"/>
            <w:tcBorders>
              <w:top w:val="single" w:sz="12" w:space="0" w:color="000000"/>
              <w:right w:val="single" w:sz="12" w:space="0" w:color="auto"/>
            </w:tcBorders>
            <w:shd w:val="pct10" w:color="000000" w:fill="auto"/>
          </w:tcPr>
          <w:p w14:paraId="235973A5" w14:textId="17C83C03" w:rsidR="009C25D6" w:rsidRPr="00FC1E8A" w:rsidRDefault="009C25D6" w:rsidP="00E80247">
            <w:pPr>
              <w:tabs>
                <w:tab w:val="left" w:pos="360"/>
                <w:tab w:val="left" w:pos="720"/>
                <w:tab w:val="left" w:pos="1080"/>
                <w:tab w:val="center" w:pos="1574"/>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ind w:left="60"/>
              <w:jc w:val="center"/>
              <w:rPr>
                <w:b/>
                <w:sz w:val="22"/>
                <w:szCs w:val="22"/>
              </w:rPr>
            </w:pPr>
            <w:r w:rsidRPr="00FC1E8A">
              <w:rPr>
                <w:b/>
                <w:sz w:val="22"/>
                <w:szCs w:val="22"/>
              </w:rPr>
              <w:t xml:space="preserve">Joan </w:t>
            </w:r>
            <w:r w:rsidR="002F36A5" w:rsidRPr="00FC1E8A">
              <w:rPr>
                <w:b/>
                <w:sz w:val="22"/>
                <w:szCs w:val="22"/>
              </w:rPr>
              <w:t>Stanek</w:t>
            </w:r>
            <w:r w:rsidRPr="00FC1E8A">
              <w:rPr>
                <w:b/>
                <w:sz w:val="22"/>
                <w:szCs w:val="22"/>
              </w:rPr>
              <w:t>, MSN, RN, ARNP</w:t>
            </w:r>
          </w:p>
        </w:tc>
        <w:tc>
          <w:tcPr>
            <w:tcW w:w="1199" w:type="dxa"/>
            <w:tcBorders>
              <w:top w:val="single" w:sz="12" w:space="0" w:color="000000"/>
              <w:left w:val="single" w:sz="12" w:space="0" w:color="auto"/>
              <w:right w:val="single" w:sz="12" w:space="0" w:color="auto"/>
            </w:tcBorders>
            <w:shd w:val="pct10" w:color="000000" w:fill="auto"/>
          </w:tcPr>
          <w:p w14:paraId="39B64F18" w14:textId="77777777" w:rsidR="009C25D6" w:rsidRPr="008038F2" w:rsidRDefault="009C25D6" w:rsidP="00E80247">
            <w:pPr>
              <w:tabs>
                <w:tab w:val="left" w:pos="360"/>
                <w:tab w:val="left" w:pos="720"/>
                <w:tab w:val="left" w:pos="1080"/>
              </w:tabs>
              <w:spacing w:line="201" w:lineRule="exact"/>
              <w:ind w:left="60"/>
              <w:jc w:val="center"/>
              <w:rPr>
                <w:b/>
              </w:rPr>
            </w:pPr>
            <w:r w:rsidRPr="008038F2">
              <w:rPr>
                <w:b/>
              </w:rPr>
              <w:t>Strongly Agree</w:t>
            </w:r>
          </w:p>
        </w:tc>
        <w:tc>
          <w:tcPr>
            <w:tcW w:w="900" w:type="dxa"/>
            <w:tcBorders>
              <w:top w:val="single" w:sz="12" w:space="0" w:color="000000"/>
              <w:left w:val="single" w:sz="12" w:space="0" w:color="auto"/>
              <w:right w:val="single" w:sz="12" w:space="0" w:color="auto"/>
            </w:tcBorders>
            <w:shd w:val="pct10" w:color="000000" w:fill="auto"/>
          </w:tcPr>
          <w:p w14:paraId="22051081" w14:textId="77777777" w:rsidR="009C25D6" w:rsidRPr="008038F2" w:rsidRDefault="009C25D6" w:rsidP="00E80247">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ind w:left="60"/>
              <w:jc w:val="center"/>
              <w:rPr>
                <w:b/>
              </w:rPr>
            </w:pPr>
            <w:r w:rsidRPr="008038F2">
              <w:rPr>
                <w:b/>
              </w:rPr>
              <w:t>Agree</w:t>
            </w:r>
          </w:p>
        </w:tc>
        <w:tc>
          <w:tcPr>
            <w:tcW w:w="1080" w:type="dxa"/>
            <w:tcBorders>
              <w:top w:val="single" w:sz="12" w:space="0" w:color="000000"/>
              <w:left w:val="single" w:sz="12" w:space="0" w:color="auto"/>
              <w:right w:val="single" w:sz="12" w:space="0" w:color="auto"/>
            </w:tcBorders>
            <w:shd w:val="pct10" w:color="000000" w:fill="auto"/>
          </w:tcPr>
          <w:p w14:paraId="3756F4F6" w14:textId="77777777" w:rsidR="009C25D6" w:rsidRPr="008038F2" w:rsidRDefault="009C25D6" w:rsidP="00E80247">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ind w:left="60"/>
              <w:jc w:val="center"/>
              <w:rPr>
                <w:b/>
              </w:rPr>
            </w:pPr>
            <w:r w:rsidRPr="008038F2">
              <w:rPr>
                <w:b/>
              </w:rPr>
              <w:t>Disagree</w:t>
            </w:r>
          </w:p>
        </w:tc>
        <w:tc>
          <w:tcPr>
            <w:tcW w:w="1080" w:type="dxa"/>
            <w:tcBorders>
              <w:top w:val="single" w:sz="12" w:space="0" w:color="000000"/>
              <w:left w:val="single" w:sz="12" w:space="0" w:color="auto"/>
            </w:tcBorders>
            <w:shd w:val="pct10" w:color="000000" w:fill="auto"/>
          </w:tcPr>
          <w:p w14:paraId="1E0061E1" w14:textId="77777777" w:rsidR="009C25D6" w:rsidRPr="008038F2" w:rsidRDefault="009C25D6" w:rsidP="00E80247">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ind w:left="60"/>
              <w:jc w:val="center"/>
              <w:rPr>
                <w:b/>
              </w:rPr>
            </w:pPr>
            <w:r w:rsidRPr="008038F2">
              <w:rPr>
                <w:b/>
              </w:rPr>
              <w:t>Strongly disagree</w:t>
            </w:r>
          </w:p>
        </w:tc>
      </w:tr>
      <w:tr w:rsidR="009C25D6" w:rsidRPr="008038F2" w14:paraId="1DC95E10" w14:textId="77777777" w:rsidTr="00D62996">
        <w:tc>
          <w:tcPr>
            <w:tcW w:w="6451" w:type="dxa"/>
            <w:tcBorders>
              <w:right w:val="single" w:sz="12" w:space="0" w:color="auto"/>
            </w:tcBorders>
          </w:tcPr>
          <w:p w14:paraId="13781AC2" w14:textId="77777777" w:rsidR="009C25D6" w:rsidRPr="008038F2" w:rsidRDefault="009C25D6" w:rsidP="00083C38">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uto"/>
              <w:ind w:left="60"/>
              <w:jc w:val="both"/>
              <w:rPr>
                <w:sz w:val="22"/>
                <w:szCs w:val="22"/>
              </w:rPr>
            </w:pPr>
            <w:r w:rsidRPr="008038F2">
              <w:rPr>
                <w:sz w:val="22"/>
                <w:szCs w:val="22"/>
              </w:rPr>
              <w:t>The instructor was knowledgeable about the subject matter</w:t>
            </w:r>
          </w:p>
        </w:tc>
        <w:tc>
          <w:tcPr>
            <w:tcW w:w="1199" w:type="dxa"/>
            <w:tcBorders>
              <w:left w:val="single" w:sz="12" w:space="0" w:color="auto"/>
              <w:right w:val="single" w:sz="12" w:space="0" w:color="auto"/>
            </w:tcBorders>
          </w:tcPr>
          <w:p w14:paraId="01A74DB0" w14:textId="77777777" w:rsidR="009C25D6" w:rsidRPr="008038F2" w:rsidRDefault="009C25D6" w:rsidP="00E80247">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line="360" w:lineRule="auto"/>
              <w:ind w:left="60"/>
              <w:jc w:val="both"/>
              <w:rPr>
                <w:b/>
              </w:rPr>
            </w:pPr>
          </w:p>
        </w:tc>
        <w:tc>
          <w:tcPr>
            <w:tcW w:w="900" w:type="dxa"/>
            <w:tcBorders>
              <w:left w:val="single" w:sz="12" w:space="0" w:color="auto"/>
              <w:right w:val="single" w:sz="12" w:space="0" w:color="auto"/>
            </w:tcBorders>
          </w:tcPr>
          <w:p w14:paraId="0A5BF7D0" w14:textId="77777777" w:rsidR="009C25D6" w:rsidRPr="008038F2" w:rsidRDefault="009C25D6" w:rsidP="00E80247">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line="360" w:lineRule="auto"/>
              <w:ind w:left="60"/>
              <w:jc w:val="both"/>
              <w:rPr>
                <w:b/>
              </w:rPr>
            </w:pPr>
          </w:p>
        </w:tc>
        <w:tc>
          <w:tcPr>
            <w:tcW w:w="1080" w:type="dxa"/>
            <w:tcBorders>
              <w:left w:val="single" w:sz="12" w:space="0" w:color="auto"/>
              <w:right w:val="single" w:sz="12" w:space="0" w:color="auto"/>
            </w:tcBorders>
          </w:tcPr>
          <w:p w14:paraId="053E93C0" w14:textId="77777777" w:rsidR="009C25D6" w:rsidRPr="008038F2" w:rsidRDefault="009C25D6" w:rsidP="00E80247">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line="360" w:lineRule="auto"/>
              <w:ind w:left="60"/>
              <w:jc w:val="both"/>
              <w:rPr>
                <w:b/>
              </w:rPr>
            </w:pPr>
          </w:p>
        </w:tc>
        <w:tc>
          <w:tcPr>
            <w:tcW w:w="1080" w:type="dxa"/>
            <w:tcBorders>
              <w:left w:val="single" w:sz="12" w:space="0" w:color="auto"/>
            </w:tcBorders>
          </w:tcPr>
          <w:p w14:paraId="4CB6D9AB" w14:textId="77777777" w:rsidR="009C25D6" w:rsidRPr="008038F2" w:rsidRDefault="009C25D6" w:rsidP="00E80247">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60"/>
              <w:jc w:val="center"/>
              <w:rPr>
                <w:b/>
              </w:rPr>
            </w:pPr>
          </w:p>
        </w:tc>
      </w:tr>
      <w:tr w:rsidR="009C25D6" w:rsidRPr="008038F2" w14:paraId="3779FED9" w14:textId="77777777" w:rsidTr="00D62996">
        <w:tc>
          <w:tcPr>
            <w:tcW w:w="6451" w:type="dxa"/>
            <w:tcBorders>
              <w:right w:val="single" w:sz="12" w:space="0" w:color="auto"/>
            </w:tcBorders>
          </w:tcPr>
          <w:p w14:paraId="512A3B04" w14:textId="77777777" w:rsidR="009C25D6" w:rsidRPr="008038F2" w:rsidRDefault="009C25D6" w:rsidP="00083C38">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uto"/>
              <w:ind w:left="58"/>
              <w:jc w:val="both"/>
              <w:rPr>
                <w:sz w:val="22"/>
                <w:szCs w:val="22"/>
              </w:rPr>
            </w:pPr>
            <w:r w:rsidRPr="008038F2">
              <w:rPr>
                <w:sz w:val="22"/>
                <w:szCs w:val="22"/>
              </w:rPr>
              <w:t>I understood the material being presented</w:t>
            </w:r>
          </w:p>
        </w:tc>
        <w:tc>
          <w:tcPr>
            <w:tcW w:w="1199" w:type="dxa"/>
            <w:tcBorders>
              <w:left w:val="single" w:sz="12" w:space="0" w:color="auto"/>
              <w:right w:val="single" w:sz="12" w:space="0" w:color="auto"/>
            </w:tcBorders>
          </w:tcPr>
          <w:p w14:paraId="5C26F2ED" w14:textId="77777777" w:rsidR="009C25D6" w:rsidRPr="008038F2" w:rsidRDefault="009C25D6" w:rsidP="00E80247">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line="360" w:lineRule="auto"/>
              <w:ind w:left="60"/>
              <w:jc w:val="both"/>
              <w:rPr>
                <w:b/>
              </w:rPr>
            </w:pPr>
          </w:p>
        </w:tc>
        <w:tc>
          <w:tcPr>
            <w:tcW w:w="900" w:type="dxa"/>
            <w:tcBorders>
              <w:left w:val="single" w:sz="12" w:space="0" w:color="auto"/>
              <w:right w:val="single" w:sz="12" w:space="0" w:color="auto"/>
            </w:tcBorders>
          </w:tcPr>
          <w:p w14:paraId="5D424C35" w14:textId="77777777" w:rsidR="009C25D6" w:rsidRPr="008038F2" w:rsidRDefault="009C25D6" w:rsidP="00E80247">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60"/>
              <w:jc w:val="center"/>
              <w:rPr>
                <w:b/>
              </w:rPr>
            </w:pPr>
          </w:p>
        </w:tc>
        <w:tc>
          <w:tcPr>
            <w:tcW w:w="1080" w:type="dxa"/>
            <w:tcBorders>
              <w:left w:val="single" w:sz="12" w:space="0" w:color="auto"/>
              <w:right w:val="single" w:sz="12" w:space="0" w:color="auto"/>
            </w:tcBorders>
          </w:tcPr>
          <w:p w14:paraId="53726C7D" w14:textId="77777777" w:rsidR="009C25D6" w:rsidRPr="008038F2" w:rsidRDefault="009C25D6" w:rsidP="00E80247">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line="360" w:lineRule="auto"/>
              <w:ind w:left="60"/>
              <w:jc w:val="both"/>
              <w:rPr>
                <w:b/>
              </w:rPr>
            </w:pPr>
          </w:p>
        </w:tc>
        <w:tc>
          <w:tcPr>
            <w:tcW w:w="1080" w:type="dxa"/>
            <w:tcBorders>
              <w:left w:val="single" w:sz="12" w:space="0" w:color="auto"/>
            </w:tcBorders>
          </w:tcPr>
          <w:p w14:paraId="67B8CC14" w14:textId="77777777" w:rsidR="009C25D6" w:rsidRPr="008038F2" w:rsidRDefault="009C25D6" w:rsidP="00E80247">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60"/>
              <w:jc w:val="center"/>
              <w:rPr>
                <w:b/>
              </w:rPr>
            </w:pPr>
          </w:p>
        </w:tc>
      </w:tr>
    </w:tbl>
    <w:p w14:paraId="5E328DAB" w14:textId="3E496CE1" w:rsidR="009C25D6" w:rsidRPr="008038F2" w:rsidRDefault="009C25D6" w:rsidP="009C25D6">
      <w:pPr>
        <w:tabs>
          <w:tab w:val="left" w:pos="-360"/>
          <w:tab w:val="left" w:pos="180"/>
          <w:tab w:val="left" w:pos="360"/>
          <w:tab w:val="left" w:pos="54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60"/>
        <w:rPr>
          <w:b/>
          <w:sz w:val="22"/>
          <w:szCs w:val="22"/>
        </w:rPr>
      </w:pPr>
      <w:r w:rsidRPr="008038F2">
        <w:rPr>
          <w:b/>
          <w:sz w:val="22"/>
          <w:szCs w:val="22"/>
        </w:rPr>
        <w:t xml:space="preserve">  Please rate the following </w:t>
      </w:r>
    </w:p>
    <w:tbl>
      <w:tblPr>
        <w:tblW w:w="10710" w:type="dxa"/>
        <w:tblInd w:w="-285" w:type="dxa"/>
        <w:tblBorders>
          <w:top w:val="single" w:sz="12" w:space="0" w:color="000000"/>
          <w:left w:val="single" w:sz="12" w:space="0" w:color="000000"/>
          <w:bottom w:val="single" w:sz="4" w:space="0" w:color="000000"/>
          <w:right w:val="single" w:sz="12" w:space="0" w:color="000000"/>
          <w:insideH w:val="single" w:sz="4" w:space="0" w:color="000000"/>
          <w:insideV w:val="single" w:sz="4" w:space="0" w:color="000000"/>
        </w:tblBorders>
        <w:tblLayout w:type="fixed"/>
        <w:tblCellMar>
          <w:left w:w="136" w:type="dxa"/>
          <w:right w:w="136" w:type="dxa"/>
        </w:tblCellMar>
        <w:tblLook w:val="0000" w:firstRow="0" w:lastRow="0" w:firstColumn="0" w:lastColumn="0" w:noHBand="0" w:noVBand="0"/>
      </w:tblPr>
      <w:tblGrid>
        <w:gridCol w:w="6480"/>
        <w:gridCol w:w="1170"/>
        <w:gridCol w:w="900"/>
        <w:gridCol w:w="1080"/>
        <w:gridCol w:w="1080"/>
      </w:tblGrid>
      <w:tr w:rsidR="009C25D6" w:rsidRPr="008038F2" w14:paraId="080A6DA1" w14:textId="77777777" w:rsidTr="00D62996">
        <w:tc>
          <w:tcPr>
            <w:tcW w:w="6480" w:type="dxa"/>
            <w:tcBorders>
              <w:right w:val="single" w:sz="12" w:space="0" w:color="auto"/>
            </w:tcBorders>
          </w:tcPr>
          <w:p w14:paraId="5471B3DC" w14:textId="77777777" w:rsidR="009C25D6" w:rsidRPr="008038F2" w:rsidRDefault="009C25D6" w:rsidP="00083C38">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uto"/>
              <w:ind w:left="58"/>
              <w:jc w:val="both"/>
              <w:rPr>
                <w:sz w:val="22"/>
                <w:szCs w:val="22"/>
              </w:rPr>
            </w:pPr>
            <w:r w:rsidRPr="008038F2">
              <w:rPr>
                <w:sz w:val="22"/>
                <w:szCs w:val="22"/>
              </w:rPr>
              <w:t>Overall this program was informative and will be incorporated into my nursing or clinical  practice</w:t>
            </w:r>
          </w:p>
        </w:tc>
        <w:tc>
          <w:tcPr>
            <w:tcW w:w="1170" w:type="dxa"/>
            <w:tcBorders>
              <w:left w:val="single" w:sz="12" w:space="0" w:color="auto"/>
              <w:right w:val="single" w:sz="12" w:space="0" w:color="auto"/>
            </w:tcBorders>
          </w:tcPr>
          <w:p w14:paraId="290DD77D" w14:textId="77777777" w:rsidR="009C25D6" w:rsidRPr="008038F2" w:rsidRDefault="009C25D6" w:rsidP="00E80247">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line="360" w:lineRule="auto"/>
              <w:ind w:left="60"/>
              <w:jc w:val="both"/>
              <w:rPr>
                <w:b/>
              </w:rPr>
            </w:pPr>
          </w:p>
        </w:tc>
        <w:tc>
          <w:tcPr>
            <w:tcW w:w="900" w:type="dxa"/>
            <w:tcBorders>
              <w:left w:val="single" w:sz="12" w:space="0" w:color="auto"/>
              <w:right w:val="single" w:sz="12" w:space="0" w:color="auto"/>
            </w:tcBorders>
          </w:tcPr>
          <w:p w14:paraId="1310A4B7" w14:textId="77777777" w:rsidR="009C25D6" w:rsidRPr="008038F2" w:rsidRDefault="009C25D6" w:rsidP="00E80247">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60"/>
              <w:jc w:val="center"/>
              <w:rPr>
                <w:b/>
              </w:rPr>
            </w:pPr>
          </w:p>
        </w:tc>
        <w:tc>
          <w:tcPr>
            <w:tcW w:w="1080" w:type="dxa"/>
            <w:tcBorders>
              <w:left w:val="single" w:sz="12" w:space="0" w:color="auto"/>
              <w:right w:val="single" w:sz="12" w:space="0" w:color="auto"/>
            </w:tcBorders>
          </w:tcPr>
          <w:p w14:paraId="008BACD8" w14:textId="77777777" w:rsidR="009C25D6" w:rsidRPr="008038F2" w:rsidRDefault="009C25D6" w:rsidP="00E80247">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line="360" w:lineRule="auto"/>
              <w:ind w:left="60"/>
              <w:jc w:val="both"/>
              <w:rPr>
                <w:b/>
              </w:rPr>
            </w:pPr>
          </w:p>
        </w:tc>
        <w:tc>
          <w:tcPr>
            <w:tcW w:w="1080" w:type="dxa"/>
            <w:tcBorders>
              <w:left w:val="single" w:sz="12" w:space="0" w:color="auto"/>
            </w:tcBorders>
          </w:tcPr>
          <w:p w14:paraId="09727BF7" w14:textId="77777777" w:rsidR="009C25D6" w:rsidRPr="008038F2" w:rsidRDefault="009C25D6" w:rsidP="00E80247">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60"/>
              <w:jc w:val="center"/>
              <w:rPr>
                <w:b/>
              </w:rPr>
            </w:pPr>
          </w:p>
        </w:tc>
      </w:tr>
    </w:tbl>
    <w:p w14:paraId="131C6FA1" w14:textId="77777777" w:rsidR="009C25D6" w:rsidRPr="008038F2" w:rsidRDefault="009C25D6" w:rsidP="009C25D6">
      <w:pPr>
        <w:tabs>
          <w:tab w:val="left" w:pos="-360"/>
          <w:tab w:val="left" w:pos="54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rPr>
          <w:b/>
        </w:rPr>
      </w:pPr>
      <w:r w:rsidRPr="008038F2">
        <w:rPr>
          <w:b/>
        </w:rPr>
        <w:t xml:space="preserve">   </w:t>
      </w:r>
    </w:p>
    <w:p w14:paraId="44F31CD0" w14:textId="6057832A" w:rsidR="009C25D6" w:rsidRPr="008038F2" w:rsidRDefault="009C25D6" w:rsidP="00C31289">
      <w:pPr>
        <w:widowControl w:val="0"/>
        <w:tabs>
          <w:tab w:val="left" w:pos="-360"/>
          <w:tab w:val="left" w:pos="180"/>
          <w:tab w:val="left" w:pos="54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uto"/>
        <w:rPr>
          <w:b/>
          <w:sz w:val="24"/>
          <w:szCs w:val="24"/>
        </w:rPr>
      </w:pPr>
      <w:r w:rsidRPr="008038F2">
        <w:rPr>
          <w:b/>
          <w:sz w:val="24"/>
          <w:szCs w:val="24"/>
        </w:rPr>
        <w:t xml:space="preserve">Please describe how your practice will change when admitting a patient by incorporating inclusive language. If your practice will not change, please state why: </w:t>
      </w:r>
    </w:p>
    <w:p w14:paraId="27CF054F" w14:textId="77777777" w:rsidR="00083C38" w:rsidRPr="008038F2" w:rsidRDefault="00083C38" w:rsidP="00C31289">
      <w:pPr>
        <w:pStyle w:val="APAReference"/>
        <w:rPr>
          <w:b/>
          <w:szCs w:val="24"/>
        </w:rPr>
      </w:pPr>
    </w:p>
    <w:p w14:paraId="3669E5D1" w14:textId="02FFBBA9" w:rsidR="00083C38" w:rsidRPr="008038F2" w:rsidRDefault="009C25D6" w:rsidP="00083C38">
      <w:pPr>
        <w:pStyle w:val="APAReference"/>
        <w:rPr>
          <w:b/>
          <w:szCs w:val="24"/>
        </w:rPr>
      </w:pPr>
      <w:r w:rsidRPr="008038F2">
        <w:rPr>
          <w:b/>
          <w:szCs w:val="24"/>
        </w:rPr>
        <w:t>Additional comments and/or suggestions:</w:t>
      </w:r>
    </w:p>
    <w:p w14:paraId="1D9A2A63" w14:textId="77777777" w:rsidR="00083C38" w:rsidRDefault="00083C38" w:rsidP="003F06D5">
      <w:pPr>
        <w:pStyle w:val="APAReference"/>
        <w:jc w:val="center"/>
      </w:pPr>
    </w:p>
    <w:p w14:paraId="7E650AE3" w14:textId="396F1B34" w:rsidR="003F06D5" w:rsidRDefault="00083C38" w:rsidP="003F06D5">
      <w:pPr>
        <w:pStyle w:val="APAReference"/>
        <w:jc w:val="center"/>
      </w:pPr>
      <w:r>
        <w:lastRenderedPageBreak/>
        <w:t>A</w:t>
      </w:r>
      <w:r w:rsidR="00021E28">
        <w:t xml:space="preserve">ppendix </w:t>
      </w:r>
      <w:r w:rsidR="00787E65">
        <w:t>C</w:t>
      </w:r>
    </w:p>
    <w:p w14:paraId="1A79E5B9" w14:textId="77777777" w:rsidR="00E445C3" w:rsidRDefault="009C25D6" w:rsidP="00AC44BC">
      <w:pPr>
        <w:pStyle w:val="APAReference"/>
        <w:ind w:left="0" w:firstLine="0"/>
        <w:jc w:val="center"/>
      </w:pPr>
      <w:r>
        <w:t>Student Project Director Evaluation Form</w:t>
      </w:r>
    </w:p>
    <w:p w14:paraId="23C2CEDF" w14:textId="77777777" w:rsidR="00AC44BC" w:rsidRPr="00AC44BC" w:rsidRDefault="00AC44BC" w:rsidP="00AC44BC">
      <w:pPr>
        <w:numPr>
          <w:ilvl w:val="0"/>
          <w:numId w:val="8"/>
        </w:numPr>
        <w:ind w:left="-450" w:firstLine="0"/>
        <w:contextualSpacing/>
        <w:rPr>
          <w:sz w:val="24"/>
          <w:szCs w:val="24"/>
        </w:rPr>
      </w:pPr>
      <w:bookmarkStart w:id="8" w:name="_Hlk530744716"/>
      <w:r w:rsidRPr="00AC44BC">
        <w:rPr>
          <w:sz w:val="24"/>
          <w:szCs w:val="24"/>
        </w:rPr>
        <w:t>What is your current role?</w:t>
      </w:r>
    </w:p>
    <w:p w14:paraId="03870460" w14:textId="77777777" w:rsidR="00AC44BC" w:rsidRPr="00AC44BC" w:rsidRDefault="00AC44BC" w:rsidP="00AC44BC">
      <w:pPr>
        <w:ind w:left="720"/>
        <w:contextualSpacing/>
        <w:rPr>
          <w:sz w:val="24"/>
          <w:szCs w:val="24"/>
        </w:rPr>
      </w:pPr>
      <w:r w:rsidRPr="00AC44BC">
        <w:rPr>
          <w:sz w:val="24"/>
          <w:szCs w:val="24"/>
        </w:rPr>
        <w:t>__ CNA   __LPN   __RN   __Other___________</w:t>
      </w:r>
    </w:p>
    <w:tbl>
      <w:tblPr>
        <w:tblW w:w="11458" w:type="dxa"/>
        <w:tblInd w:w="-1005" w:type="dxa"/>
        <w:tblBorders>
          <w:top w:val="single" w:sz="12" w:space="0" w:color="000000"/>
          <w:left w:val="single" w:sz="12" w:space="0" w:color="000000"/>
          <w:bottom w:val="single" w:sz="4" w:space="0" w:color="000000"/>
          <w:right w:val="single" w:sz="12" w:space="0" w:color="000000"/>
          <w:insideH w:val="single" w:sz="4" w:space="0" w:color="000000"/>
          <w:insideV w:val="single" w:sz="4" w:space="0" w:color="000000"/>
        </w:tblBorders>
        <w:tblLayout w:type="fixed"/>
        <w:tblCellMar>
          <w:left w:w="136" w:type="dxa"/>
          <w:right w:w="136" w:type="dxa"/>
        </w:tblCellMar>
        <w:tblLook w:val="0000" w:firstRow="0" w:lastRow="0" w:firstColumn="0" w:lastColumn="0" w:noHBand="0" w:noVBand="0"/>
      </w:tblPr>
      <w:tblGrid>
        <w:gridCol w:w="5940"/>
        <w:gridCol w:w="1350"/>
        <w:gridCol w:w="1350"/>
        <w:gridCol w:w="1260"/>
        <w:gridCol w:w="1558"/>
      </w:tblGrid>
      <w:tr w:rsidR="00AC44BC" w:rsidRPr="00AC44BC" w14:paraId="7BA4425E" w14:textId="77777777" w:rsidTr="00E80247">
        <w:trPr>
          <w:trHeight w:val="487"/>
        </w:trPr>
        <w:tc>
          <w:tcPr>
            <w:tcW w:w="5940" w:type="dxa"/>
            <w:tcBorders>
              <w:top w:val="single" w:sz="12" w:space="0" w:color="000000"/>
              <w:right w:val="single" w:sz="12" w:space="0" w:color="auto"/>
            </w:tcBorders>
            <w:shd w:val="pct10" w:color="000000" w:fill="auto"/>
          </w:tcPr>
          <w:p w14:paraId="69DD7CD6" w14:textId="77777777" w:rsidR="00AC44BC" w:rsidRPr="00AC44BC" w:rsidRDefault="00AC44BC" w:rsidP="00AC44BC">
            <w:pPr>
              <w:tabs>
                <w:tab w:val="left" w:pos="360"/>
                <w:tab w:val="left" w:pos="720"/>
                <w:tab w:val="left" w:pos="1080"/>
                <w:tab w:val="center" w:pos="1574"/>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ind w:left="60"/>
              <w:jc w:val="center"/>
              <w:rPr>
                <w:b/>
                <w:sz w:val="24"/>
                <w:szCs w:val="24"/>
              </w:rPr>
            </w:pPr>
          </w:p>
        </w:tc>
        <w:tc>
          <w:tcPr>
            <w:tcW w:w="1350" w:type="dxa"/>
            <w:tcBorders>
              <w:top w:val="single" w:sz="12" w:space="0" w:color="000000"/>
              <w:left w:val="single" w:sz="12" w:space="0" w:color="auto"/>
              <w:right w:val="single" w:sz="12" w:space="0" w:color="auto"/>
            </w:tcBorders>
            <w:shd w:val="pct10" w:color="000000" w:fill="auto"/>
          </w:tcPr>
          <w:p w14:paraId="710B151A" w14:textId="77777777" w:rsidR="00AC44BC" w:rsidRPr="00AC44BC" w:rsidRDefault="00AC44BC" w:rsidP="00AC44BC">
            <w:pPr>
              <w:tabs>
                <w:tab w:val="left" w:pos="360"/>
                <w:tab w:val="left" w:pos="720"/>
                <w:tab w:val="left" w:pos="1080"/>
              </w:tabs>
              <w:spacing w:line="201" w:lineRule="exact"/>
              <w:ind w:left="60"/>
              <w:jc w:val="center"/>
              <w:rPr>
                <w:b/>
                <w:sz w:val="24"/>
                <w:szCs w:val="24"/>
              </w:rPr>
            </w:pPr>
          </w:p>
          <w:p w14:paraId="51356DD8" w14:textId="77777777" w:rsidR="00AC44BC" w:rsidRPr="00AC44BC" w:rsidRDefault="00AC44BC" w:rsidP="00AC44BC">
            <w:pPr>
              <w:tabs>
                <w:tab w:val="left" w:pos="360"/>
                <w:tab w:val="left" w:pos="720"/>
                <w:tab w:val="left" w:pos="1080"/>
              </w:tabs>
              <w:spacing w:line="201" w:lineRule="exact"/>
              <w:ind w:left="60"/>
              <w:jc w:val="center"/>
              <w:rPr>
                <w:b/>
                <w:sz w:val="24"/>
                <w:szCs w:val="24"/>
              </w:rPr>
            </w:pPr>
          </w:p>
          <w:p w14:paraId="09C3EAC9" w14:textId="77777777" w:rsidR="00AC44BC" w:rsidRPr="00AC44BC" w:rsidRDefault="00AC44BC" w:rsidP="00AC44BC">
            <w:pPr>
              <w:tabs>
                <w:tab w:val="left" w:pos="360"/>
                <w:tab w:val="left" w:pos="720"/>
                <w:tab w:val="left" w:pos="1080"/>
              </w:tabs>
              <w:spacing w:line="201" w:lineRule="exact"/>
              <w:ind w:left="60"/>
              <w:jc w:val="center"/>
              <w:rPr>
                <w:b/>
                <w:sz w:val="24"/>
                <w:szCs w:val="24"/>
              </w:rPr>
            </w:pPr>
            <w:r w:rsidRPr="00AC44BC">
              <w:rPr>
                <w:b/>
                <w:sz w:val="24"/>
                <w:szCs w:val="24"/>
              </w:rPr>
              <w:t>Strongly Agree</w:t>
            </w:r>
          </w:p>
          <w:p w14:paraId="3C12E967" w14:textId="77777777" w:rsidR="00AC44BC" w:rsidRPr="00AC44BC" w:rsidRDefault="00AC44BC" w:rsidP="00AC44BC">
            <w:pPr>
              <w:tabs>
                <w:tab w:val="left" w:pos="360"/>
                <w:tab w:val="left" w:pos="720"/>
                <w:tab w:val="left" w:pos="1080"/>
              </w:tabs>
              <w:spacing w:line="201" w:lineRule="exact"/>
              <w:ind w:left="60"/>
              <w:jc w:val="center"/>
              <w:rPr>
                <w:b/>
                <w:sz w:val="24"/>
                <w:szCs w:val="24"/>
              </w:rPr>
            </w:pPr>
          </w:p>
        </w:tc>
        <w:tc>
          <w:tcPr>
            <w:tcW w:w="1350" w:type="dxa"/>
            <w:tcBorders>
              <w:top w:val="single" w:sz="12" w:space="0" w:color="000000"/>
              <w:left w:val="single" w:sz="12" w:space="0" w:color="auto"/>
              <w:right w:val="single" w:sz="12" w:space="0" w:color="auto"/>
            </w:tcBorders>
            <w:shd w:val="pct10" w:color="000000" w:fill="auto"/>
          </w:tcPr>
          <w:p w14:paraId="3C90D9BA" w14:textId="77777777" w:rsidR="00AC44BC" w:rsidRPr="00AC44BC" w:rsidRDefault="00AC44BC" w:rsidP="00AC44BC">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ind w:left="60"/>
              <w:jc w:val="center"/>
              <w:rPr>
                <w:b/>
                <w:sz w:val="24"/>
                <w:szCs w:val="24"/>
              </w:rPr>
            </w:pPr>
          </w:p>
          <w:p w14:paraId="1BFD8F16" w14:textId="77777777" w:rsidR="00AC44BC" w:rsidRPr="00AC44BC" w:rsidRDefault="00AC44BC" w:rsidP="00AC44BC">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ind w:left="60"/>
              <w:jc w:val="center"/>
              <w:rPr>
                <w:b/>
                <w:sz w:val="24"/>
                <w:szCs w:val="24"/>
              </w:rPr>
            </w:pPr>
            <w:r w:rsidRPr="00AC44BC">
              <w:rPr>
                <w:b/>
                <w:sz w:val="24"/>
                <w:szCs w:val="24"/>
              </w:rPr>
              <w:t>Agree</w:t>
            </w:r>
          </w:p>
        </w:tc>
        <w:tc>
          <w:tcPr>
            <w:tcW w:w="1260" w:type="dxa"/>
            <w:tcBorders>
              <w:top w:val="single" w:sz="12" w:space="0" w:color="000000"/>
              <w:left w:val="single" w:sz="12" w:space="0" w:color="auto"/>
              <w:right w:val="single" w:sz="12" w:space="0" w:color="auto"/>
            </w:tcBorders>
            <w:shd w:val="pct10" w:color="000000" w:fill="auto"/>
          </w:tcPr>
          <w:p w14:paraId="696702A6" w14:textId="77777777" w:rsidR="00AC44BC" w:rsidRPr="00AC44BC" w:rsidRDefault="00AC44BC" w:rsidP="00AC44BC">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ind w:left="60"/>
              <w:jc w:val="center"/>
              <w:rPr>
                <w:b/>
                <w:sz w:val="24"/>
                <w:szCs w:val="24"/>
              </w:rPr>
            </w:pPr>
          </w:p>
          <w:p w14:paraId="2FDD9B55" w14:textId="77777777" w:rsidR="00AC44BC" w:rsidRPr="00AC44BC" w:rsidRDefault="00AC44BC" w:rsidP="00AC44BC">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ind w:left="60"/>
              <w:jc w:val="center"/>
              <w:rPr>
                <w:b/>
                <w:sz w:val="24"/>
                <w:szCs w:val="24"/>
              </w:rPr>
            </w:pPr>
            <w:r w:rsidRPr="00AC44BC">
              <w:rPr>
                <w:b/>
                <w:sz w:val="24"/>
                <w:szCs w:val="24"/>
              </w:rPr>
              <w:t>Disagree</w:t>
            </w:r>
          </w:p>
        </w:tc>
        <w:tc>
          <w:tcPr>
            <w:tcW w:w="1558" w:type="dxa"/>
            <w:tcBorders>
              <w:top w:val="single" w:sz="12" w:space="0" w:color="000000"/>
              <w:left w:val="single" w:sz="12" w:space="0" w:color="auto"/>
            </w:tcBorders>
            <w:shd w:val="pct10" w:color="000000" w:fill="auto"/>
          </w:tcPr>
          <w:p w14:paraId="639CDD79" w14:textId="77777777" w:rsidR="00AC44BC" w:rsidRPr="00AC44BC" w:rsidRDefault="00AC44BC" w:rsidP="00AC44BC">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ind w:left="60"/>
              <w:jc w:val="center"/>
              <w:rPr>
                <w:b/>
                <w:sz w:val="24"/>
                <w:szCs w:val="24"/>
              </w:rPr>
            </w:pPr>
          </w:p>
          <w:p w14:paraId="13E963BF" w14:textId="77777777" w:rsidR="00AC44BC" w:rsidRPr="00AC44BC" w:rsidRDefault="00AC44BC" w:rsidP="00AC44BC">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ind w:left="60"/>
              <w:jc w:val="center"/>
              <w:rPr>
                <w:b/>
                <w:sz w:val="24"/>
                <w:szCs w:val="24"/>
              </w:rPr>
            </w:pPr>
            <w:r w:rsidRPr="00AC44BC">
              <w:rPr>
                <w:b/>
                <w:sz w:val="24"/>
                <w:szCs w:val="24"/>
              </w:rPr>
              <w:t>Strongly Disagree</w:t>
            </w:r>
          </w:p>
        </w:tc>
      </w:tr>
      <w:tr w:rsidR="00AC44BC" w:rsidRPr="00AC44BC" w14:paraId="2FD96E1F" w14:textId="77777777" w:rsidTr="00E80247">
        <w:trPr>
          <w:trHeight w:val="595"/>
        </w:trPr>
        <w:tc>
          <w:tcPr>
            <w:tcW w:w="5940" w:type="dxa"/>
            <w:tcBorders>
              <w:right w:val="single" w:sz="12" w:space="0" w:color="auto"/>
            </w:tcBorders>
          </w:tcPr>
          <w:p w14:paraId="679301E3" w14:textId="77777777" w:rsidR="00AC44BC" w:rsidRPr="00AC44BC" w:rsidRDefault="00AC44BC" w:rsidP="00083C38">
            <w:pPr>
              <w:numPr>
                <w:ilvl w:val="0"/>
                <w:numId w:val="8"/>
              </w:numPr>
              <w:tabs>
                <w:tab w:val="left" w:pos="-360"/>
                <w:tab w:val="left" w:pos="180"/>
                <w:tab w:val="left" w:pos="360"/>
                <w:tab w:val="left" w:pos="72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240" w:lineRule="auto"/>
              <w:contextualSpacing/>
              <w:jc w:val="both"/>
              <w:rPr>
                <w:sz w:val="24"/>
                <w:szCs w:val="24"/>
              </w:rPr>
            </w:pPr>
            <w:r w:rsidRPr="00AC44BC">
              <w:rPr>
                <w:sz w:val="24"/>
                <w:szCs w:val="24"/>
              </w:rPr>
              <w:t xml:space="preserve"> Because of the education module, I will implement the use of inclusive language and terminology in the next two weeks. </w:t>
            </w:r>
          </w:p>
        </w:tc>
        <w:tc>
          <w:tcPr>
            <w:tcW w:w="1350" w:type="dxa"/>
            <w:tcBorders>
              <w:left w:val="single" w:sz="12" w:space="0" w:color="auto"/>
              <w:right w:val="single" w:sz="12" w:space="0" w:color="auto"/>
            </w:tcBorders>
          </w:tcPr>
          <w:p w14:paraId="0DBC577B" w14:textId="77777777" w:rsidR="00AC44BC" w:rsidRPr="00AC44BC" w:rsidRDefault="00AC44BC" w:rsidP="00AC44BC">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line="360" w:lineRule="auto"/>
              <w:ind w:left="60"/>
              <w:jc w:val="both"/>
              <w:rPr>
                <w:b/>
                <w:sz w:val="24"/>
                <w:szCs w:val="24"/>
              </w:rPr>
            </w:pPr>
          </w:p>
        </w:tc>
        <w:tc>
          <w:tcPr>
            <w:tcW w:w="1350" w:type="dxa"/>
            <w:tcBorders>
              <w:left w:val="single" w:sz="12" w:space="0" w:color="auto"/>
              <w:right w:val="single" w:sz="12" w:space="0" w:color="auto"/>
            </w:tcBorders>
          </w:tcPr>
          <w:p w14:paraId="0D74C062" w14:textId="77777777" w:rsidR="00AC44BC" w:rsidRPr="00AC44BC" w:rsidRDefault="00AC44BC" w:rsidP="00AC44BC">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line="360" w:lineRule="auto"/>
              <w:ind w:left="60"/>
              <w:jc w:val="both"/>
              <w:rPr>
                <w:b/>
                <w:sz w:val="24"/>
                <w:szCs w:val="24"/>
              </w:rPr>
            </w:pPr>
          </w:p>
        </w:tc>
        <w:tc>
          <w:tcPr>
            <w:tcW w:w="1260" w:type="dxa"/>
            <w:tcBorders>
              <w:left w:val="single" w:sz="12" w:space="0" w:color="auto"/>
              <w:right w:val="single" w:sz="12" w:space="0" w:color="auto"/>
            </w:tcBorders>
          </w:tcPr>
          <w:p w14:paraId="53053A01" w14:textId="77777777" w:rsidR="00AC44BC" w:rsidRPr="00AC44BC" w:rsidRDefault="00AC44BC" w:rsidP="00AC44BC">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line="360" w:lineRule="auto"/>
              <w:ind w:left="60"/>
              <w:jc w:val="both"/>
              <w:rPr>
                <w:b/>
                <w:sz w:val="24"/>
                <w:szCs w:val="24"/>
              </w:rPr>
            </w:pPr>
          </w:p>
        </w:tc>
        <w:tc>
          <w:tcPr>
            <w:tcW w:w="1558" w:type="dxa"/>
            <w:tcBorders>
              <w:left w:val="single" w:sz="12" w:space="0" w:color="auto"/>
            </w:tcBorders>
          </w:tcPr>
          <w:p w14:paraId="0A8F205E" w14:textId="77777777" w:rsidR="00AC44BC" w:rsidRPr="00AC44BC" w:rsidRDefault="00AC44BC" w:rsidP="00AC44BC">
            <w:pPr>
              <w:tabs>
                <w:tab w:val="left" w:pos="-360"/>
                <w:tab w:val="left" w:pos="180"/>
                <w:tab w:val="left" w:pos="360"/>
                <w:tab w:val="left" w:pos="720"/>
                <w:tab w:val="left" w:pos="1080"/>
                <w:tab w:val="left" w:pos="198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60"/>
              <w:jc w:val="center"/>
              <w:rPr>
                <w:b/>
                <w:sz w:val="24"/>
                <w:szCs w:val="24"/>
              </w:rPr>
            </w:pPr>
          </w:p>
        </w:tc>
      </w:tr>
    </w:tbl>
    <w:p w14:paraId="74B417E3" w14:textId="7FBC4F65" w:rsidR="00AC44BC" w:rsidRPr="00AC44BC" w:rsidRDefault="00AC44BC" w:rsidP="00AC44BC">
      <w:pPr>
        <w:numPr>
          <w:ilvl w:val="0"/>
          <w:numId w:val="8"/>
        </w:numPr>
        <w:ind w:left="0" w:hanging="450"/>
        <w:contextualSpacing/>
        <w:rPr>
          <w:sz w:val="24"/>
          <w:szCs w:val="24"/>
        </w:rPr>
      </w:pPr>
      <w:r w:rsidRPr="00AC44BC">
        <w:rPr>
          <w:sz w:val="24"/>
          <w:szCs w:val="24"/>
        </w:rPr>
        <w:t>Which employees do you think would benefit from this presentation? Check all that apply.</w:t>
      </w:r>
    </w:p>
    <w:p w14:paraId="3C056477" w14:textId="29F256DE" w:rsidR="00AC44BC" w:rsidRPr="00AC44BC" w:rsidRDefault="00AC44BC" w:rsidP="00083C38">
      <w:pPr>
        <w:spacing w:line="240" w:lineRule="auto"/>
        <w:ind w:left="720"/>
        <w:contextualSpacing/>
        <w:rPr>
          <w:sz w:val="24"/>
          <w:szCs w:val="24"/>
        </w:rPr>
      </w:pPr>
      <w:r w:rsidRPr="00AC44BC">
        <w:rPr>
          <w:sz w:val="24"/>
          <w:szCs w:val="24"/>
        </w:rPr>
        <w:tab/>
        <w:t xml:space="preserve">____No employees </w:t>
      </w:r>
    </w:p>
    <w:p w14:paraId="35EBEC98" w14:textId="50FB445C" w:rsidR="00AC44BC" w:rsidRPr="00AC44BC" w:rsidRDefault="00AC44BC" w:rsidP="00083C38">
      <w:pPr>
        <w:spacing w:line="240" w:lineRule="auto"/>
        <w:ind w:left="720"/>
        <w:contextualSpacing/>
        <w:rPr>
          <w:sz w:val="24"/>
          <w:szCs w:val="24"/>
        </w:rPr>
      </w:pPr>
      <w:r w:rsidRPr="00AC44BC">
        <w:rPr>
          <w:sz w:val="24"/>
          <w:szCs w:val="24"/>
        </w:rPr>
        <w:tab/>
        <w:t xml:space="preserve">___All employees </w:t>
      </w:r>
    </w:p>
    <w:p w14:paraId="36E04202" w14:textId="77777777" w:rsidR="00AC44BC" w:rsidRPr="00AC44BC" w:rsidRDefault="00AC44BC" w:rsidP="00083C38">
      <w:pPr>
        <w:spacing w:line="240" w:lineRule="auto"/>
        <w:rPr>
          <w:sz w:val="24"/>
          <w:szCs w:val="24"/>
        </w:rPr>
      </w:pPr>
      <w:r w:rsidRPr="00AC44BC">
        <w:rPr>
          <w:sz w:val="24"/>
          <w:szCs w:val="24"/>
        </w:rPr>
        <w:tab/>
        <w:t>Clinical Staff</w:t>
      </w:r>
    </w:p>
    <w:p w14:paraId="545128CF" w14:textId="77777777" w:rsidR="00AC44BC" w:rsidRPr="00AC44BC" w:rsidRDefault="00AC44BC" w:rsidP="00083C38">
      <w:pPr>
        <w:spacing w:line="240" w:lineRule="auto"/>
        <w:rPr>
          <w:sz w:val="24"/>
          <w:szCs w:val="24"/>
        </w:rPr>
      </w:pPr>
      <w:r w:rsidRPr="00AC44BC">
        <w:rPr>
          <w:sz w:val="24"/>
          <w:szCs w:val="24"/>
        </w:rPr>
        <w:tab/>
      </w:r>
      <w:r w:rsidRPr="00AC44BC">
        <w:rPr>
          <w:sz w:val="24"/>
          <w:szCs w:val="24"/>
        </w:rPr>
        <w:tab/>
        <w:t>___CNA</w:t>
      </w:r>
    </w:p>
    <w:p w14:paraId="48975E1F" w14:textId="77777777" w:rsidR="00AC44BC" w:rsidRPr="00AC44BC" w:rsidRDefault="00AC44BC" w:rsidP="00083C38">
      <w:pPr>
        <w:tabs>
          <w:tab w:val="left" w:pos="720"/>
          <w:tab w:val="left" w:pos="1440"/>
          <w:tab w:val="left" w:pos="2160"/>
          <w:tab w:val="left" w:pos="8143"/>
        </w:tabs>
        <w:spacing w:line="240" w:lineRule="auto"/>
        <w:rPr>
          <w:sz w:val="24"/>
          <w:szCs w:val="24"/>
        </w:rPr>
      </w:pPr>
      <w:r w:rsidRPr="00AC44BC">
        <w:rPr>
          <w:sz w:val="24"/>
          <w:szCs w:val="24"/>
        </w:rPr>
        <w:tab/>
      </w:r>
      <w:r w:rsidRPr="00AC44BC">
        <w:rPr>
          <w:sz w:val="24"/>
          <w:szCs w:val="24"/>
        </w:rPr>
        <w:tab/>
        <w:t>___HHA</w:t>
      </w:r>
      <w:r w:rsidRPr="00AC44BC">
        <w:rPr>
          <w:sz w:val="24"/>
          <w:szCs w:val="24"/>
        </w:rPr>
        <w:tab/>
      </w:r>
    </w:p>
    <w:p w14:paraId="7202ABB1" w14:textId="77777777" w:rsidR="00AC44BC" w:rsidRPr="00AC44BC" w:rsidRDefault="00AC44BC" w:rsidP="00083C38">
      <w:pPr>
        <w:spacing w:line="240" w:lineRule="auto"/>
        <w:rPr>
          <w:sz w:val="24"/>
          <w:szCs w:val="24"/>
        </w:rPr>
      </w:pPr>
      <w:r w:rsidRPr="00AC44BC">
        <w:rPr>
          <w:sz w:val="24"/>
          <w:szCs w:val="24"/>
        </w:rPr>
        <w:tab/>
      </w:r>
      <w:r w:rsidRPr="00AC44BC">
        <w:rPr>
          <w:sz w:val="24"/>
          <w:szCs w:val="24"/>
        </w:rPr>
        <w:tab/>
        <w:t>___LPN</w:t>
      </w:r>
    </w:p>
    <w:p w14:paraId="6B819CBC" w14:textId="77777777" w:rsidR="00AC44BC" w:rsidRPr="00AC44BC" w:rsidRDefault="00AC44BC" w:rsidP="00083C38">
      <w:pPr>
        <w:spacing w:line="240" w:lineRule="auto"/>
        <w:rPr>
          <w:sz w:val="24"/>
          <w:szCs w:val="24"/>
        </w:rPr>
      </w:pPr>
      <w:r w:rsidRPr="00AC44BC">
        <w:rPr>
          <w:sz w:val="24"/>
          <w:szCs w:val="24"/>
        </w:rPr>
        <w:tab/>
      </w:r>
      <w:r w:rsidRPr="00AC44BC">
        <w:rPr>
          <w:sz w:val="24"/>
          <w:szCs w:val="24"/>
        </w:rPr>
        <w:tab/>
        <w:t>___RN</w:t>
      </w:r>
    </w:p>
    <w:p w14:paraId="6666C6D0" w14:textId="77777777" w:rsidR="00AC44BC" w:rsidRPr="00AC44BC" w:rsidRDefault="00AC44BC" w:rsidP="00083C38">
      <w:pPr>
        <w:spacing w:line="240" w:lineRule="auto"/>
        <w:rPr>
          <w:sz w:val="24"/>
          <w:szCs w:val="24"/>
        </w:rPr>
      </w:pPr>
      <w:r w:rsidRPr="00AC44BC">
        <w:rPr>
          <w:sz w:val="24"/>
          <w:szCs w:val="24"/>
        </w:rPr>
        <w:tab/>
      </w:r>
      <w:r w:rsidRPr="00AC44BC">
        <w:rPr>
          <w:sz w:val="24"/>
          <w:szCs w:val="24"/>
        </w:rPr>
        <w:tab/>
        <w:t>___NP</w:t>
      </w:r>
    </w:p>
    <w:p w14:paraId="0FE616C5" w14:textId="77777777" w:rsidR="00AC44BC" w:rsidRPr="00AC44BC" w:rsidRDefault="00AC44BC" w:rsidP="00083C38">
      <w:pPr>
        <w:spacing w:line="240" w:lineRule="auto"/>
        <w:rPr>
          <w:sz w:val="24"/>
          <w:szCs w:val="24"/>
        </w:rPr>
      </w:pPr>
      <w:r w:rsidRPr="00AC44BC">
        <w:rPr>
          <w:sz w:val="24"/>
          <w:szCs w:val="24"/>
        </w:rPr>
        <w:tab/>
      </w:r>
      <w:r w:rsidRPr="00AC44BC">
        <w:rPr>
          <w:sz w:val="24"/>
          <w:szCs w:val="24"/>
        </w:rPr>
        <w:tab/>
        <w:t>___MD</w:t>
      </w:r>
    </w:p>
    <w:p w14:paraId="09044B0D" w14:textId="77777777" w:rsidR="00AC44BC" w:rsidRPr="00AC44BC" w:rsidRDefault="00AC44BC" w:rsidP="00083C38">
      <w:pPr>
        <w:spacing w:line="240" w:lineRule="auto"/>
        <w:rPr>
          <w:sz w:val="24"/>
          <w:szCs w:val="24"/>
        </w:rPr>
      </w:pPr>
      <w:r w:rsidRPr="00AC44BC">
        <w:rPr>
          <w:sz w:val="24"/>
          <w:szCs w:val="24"/>
        </w:rPr>
        <w:tab/>
      </w:r>
      <w:r w:rsidRPr="00AC44BC">
        <w:rPr>
          <w:sz w:val="24"/>
          <w:szCs w:val="24"/>
        </w:rPr>
        <w:tab/>
        <w:t>___Clinical Supervision</w:t>
      </w:r>
    </w:p>
    <w:p w14:paraId="04BFF024" w14:textId="77777777" w:rsidR="00AC44BC" w:rsidRPr="00AC44BC" w:rsidRDefault="00AC44BC" w:rsidP="00083C38">
      <w:pPr>
        <w:spacing w:line="240" w:lineRule="auto"/>
        <w:rPr>
          <w:sz w:val="24"/>
          <w:szCs w:val="24"/>
        </w:rPr>
      </w:pPr>
      <w:r w:rsidRPr="00AC44BC">
        <w:rPr>
          <w:sz w:val="24"/>
          <w:szCs w:val="24"/>
        </w:rPr>
        <w:tab/>
        <w:t>___Social Work</w:t>
      </w:r>
    </w:p>
    <w:p w14:paraId="526C5451" w14:textId="77777777" w:rsidR="00AC44BC" w:rsidRPr="00AC44BC" w:rsidRDefault="00AC44BC" w:rsidP="00083C38">
      <w:pPr>
        <w:spacing w:line="240" w:lineRule="auto"/>
        <w:rPr>
          <w:sz w:val="24"/>
          <w:szCs w:val="24"/>
        </w:rPr>
      </w:pPr>
      <w:r w:rsidRPr="00AC44BC">
        <w:rPr>
          <w:sz w:val="24"/>
          <w:szCs w:val="24"/>
        </w:rPr>
        <w:tab/>
        <w:t>___Bereavement</w:t>
      </w:r>
    </w:p>
    <w:p w14:paraId="20EB8CF5" w14:textId="77777777" w:rsidR="00AC44BC" w:rsidRPr="00AC44BC" w:rsidRDefault="00AC44BC" w:rsidP="00083C38">
      <w:pPr>
        <w:spacing w:line="240" w:lineRule="auto"/>
        <w:rPr>
          <w:sz w:val="24"/>
          <w:szCs w:val="24"/>
        </w:rPr>
      </w:pPr>
      <w:r w:rsidRPr="00AC44BC">
        <w:rPr>
          <w:sz w:val="24"/>
          <w:szCs w:val="24"/>
        </w:rPr>
        <w:tab/>
        <w:t>___Spiritual care counselors</w:t>
      </w:r>
    </w:p>
    <w:p w14:paraId="078B4B34" w14:textId="77777777" w:rsidR="00AC44BC" w:rsidRPr="00AC44BC" w:rsidRDefault="00AC44BC" w:rsidP="00083C38">
      <w:pPr>
        <w:spacing w:line="240" w:lineRule="auto"/>
        <w:rPr>
          <w:sz w:val="24"/>
          <w:szCs w:val="24"/>
        </w:rPr>
      </w:pPr>
      <w:r w:rsidRPr="00AC44BC">
        <w:rPr>
          <w:sz w:val="24"/>
          <w:szCs w:val="24"/>
        </w:rPr>
        <w:tab/>
        <w:t>___Volunteer Services</w:t>
      </w:r>
    </w:p>
    <w:p w14:paraId="05D0C636" w14:textId="77777777" w:rsidR="00AC44BC" w:rsidRPr="00AC44BC" w:rsidRDefault="00AC44BC" w:rsidP="00083C38">
      <w:pPr>
        <w:spacing w:line="240" w:lineRule="auto"/>
        <w:rPr>
          <w:sz w:val="24"/>
          <w:szCs w:val="24"/>
        </w:rPr>
      </w:pPr>
      <w:r w:rsidRPr="00AC44BC">
        <w:rPr>
          <w:sz w:val="24"/>
          <w:szCs w:val="24"/>
        </w:rPr>
        <w:tab/>
        <w:t>___Administrative Staff</w:t>
      </w:r>
    </w:p>
    <w:p w14:paraId="3550C190" w14:textId="77777777" w:rsidR="00AC44BC" w:rsidRPr="00AC44BC" w:rsidRDefault="00AC44BC" w:rsidP="00083C38">
      <w:pPr>
        <w:spacing w:line="240" w:lineRule="auto"/>
        <w:rPr>
          <w:sz w:val="24"/>
          <w:szCs w:val="24"/>
        </w:rPr>
      </w:pPr>
      <w:r w:rsidRPr="00AC44BC">
        <w:rPr>
          <w:sz w:val="24"/>
          <w:szCs w:val="24"/>
        </w:rPr>
        <w:tab/>
        <w:t>___Executive Team/Leadership team</w:t>
      </w:r>
    </w:p>
    <w:p w14:paraId="761E70C6" w14:textId="77777777" w:rsidR="00AC44BC" w:rsidRPr="00AC44BC" w:rsidRDefault="00AC44BC" w:rsidP="00083C38">
      <w:pPr>
        <w:spacing w:line="240" w:lineRule="auto"/>
        <w:rPr>
          <w:sz w:val="24"/>
          <w:szCs w:val="24"/>
        </w:rPr>
      </w:pPr>
      <w:r w:rsidRPr="00AC44BC">
        <w:rPr>
          <w:sz w:val="24"/>
          <w:szCs w:val="24"/>
        </w:rPr>
        <w:tab/>
        <w:t>___Other _______________________________________</w:t>
      </w:r>
    </w:p>
    <w:p w14:paraId="08D9565E" w14:textId="77777777" w:rsidR="00AC44BC" w:rsidRPr="00AC44BC" w:rsidRDefault="00AC44BC" w:rsidP="00AC44BC">
      <w:pPr>
        <w:rPr>
          <w:sz w:val="24"/>
          <w:szCs w:val="24"/>
        </w:rPr>
      </w:pPr>
      <w:r w:rsidRPr="00AC44BC">
        <w:rPr>
          <w:sz w:val="24"/>
          <w:szCs w:val="24"/>
        </w:rPr>
        <w:tab/>
      </w:r>
    </w:p>
    <w:p w14:paraId="14D30022" w14:textId="77777777" w:rsidR="00AC44BC" w:rsidRPr="00AC44BC" w:rsidRDefault="00AC44BC" w:rsidP="00AC44BC">
      <w:pPr>
        <w:numPr>
          <w:ilvl w:val="0"/>
          <w:numId w:val="8"/>
        </w:numPr>
        <w:contextualSpacing/>
        <w:rPr>
          <w:sz w:val="24"/>
          <w:szCs w:val="24"/>
        </w:rPr>
      </w:pPr>
      <w:r w:rsidRPr="00AC44BC">
        <w:rPr>
          <w:sz w:val="24"/>
          <w:szCs w:val="24"/>
        </w:rPr>
        <w:lastRenderedPageBreak/>
        <w:t>When do you think the education module should be provided to hospice employees?</w:t>
      </w:r>
    </w:p>
    <w:p w14:paraId="7DB8E3BA" w14:textId="77777777" w:rsidR="00AC44BC" w:rsidRPr="00AC44BC" w:rsidRDefault="00AC44BC" w:rsidP="00C31289">
      <w:pPr>
        <w:spacing w:line="240" w:lineRule="auto"/>
        <w:rPr>
          <w:sz w:val="24"/>
          <w:szCs w:val="24"/>
        </w:rPr>
      </w:pPr>
      <w:r w:rsidRPr="00AC44BC">
        <w:rPr>
          <w:sz w:val="24"/>
          <w:szCs w:val="24"/>
        </w:rPr>
        <w:t xml:space="preserve">  </w:t>
      </w:r>
      <w:r w:rsidRPr="00AC44BC">
        <w:rPr>
          <w:sz w:val="24"/>
          <w:szCs w:val="24"/>
        </w:rPr>
        <w:tab/>
      </w:r>
      <w:r w:rsidRPr="00AC44BC">
        <w:rPr>
          <w:sz w:val="24"/>
          <w:szCs w:val="24"/>
        </w:rPr>
        <w:tab/>
        <w:t>____ Never</w:t>
      </w:r>
    </w:p>
    <w:p w14:paraId="39054C6F" w14:textId="77777777" w:rsidR="00AC44BC" w:rsidRPr="00AC44BC" w:rsidRDefault="00AC44BC" w:rsidP="00C31289">
      <w:pPr>
        <w:spacing w:line="240" w:lineRule="auto"/>
        <w:rPr>
          <w:sz w:val="24"/>
          <w:szCs w:val="24"/>
        </w:rPr>
      </w:pPr>
      <w:r w:rsidRPr="00AC44BC">
        <w:rPr>
          <w:sz w:val="24"/>
          <w:szCs w:val="24"/>
        </w:rPr>
        <w:t xml:space="preserve">  </w:t>
      </w:r>
      <w:r w:rsidRPr="00AC44BC">
        <w:rPr>
          <w:sz w:val="24"/>
          <w:szCs w:val="24"/>
        </w:rPr>
        <w:tab/>
      </w:r>
      <w:r w:rsidRPr="00AC44BC">
        <w:rPr>
          <w:sz w:val="24"/>
          <w:szCs w:val="24"/>
        </w:rPr>
        <w:tab/>
        <w:t>___New hire orientation only</w:t>
      </w:r>
    </w:p>
    <w:p w14:paraId="1B520D87" w14:textId="77777777" w:rsidR="00AC44BC" w:rsidRPr="00AC44BC" w:rsidRDefault="00AC44BC" w:rsidP="00C31289">
      <w:pPr>
        <w:spacing w:line="240" w:lineRule="auto"/>
        <w:rPr>
          <w:sz w:val="24"/>
          <w:szCs w:val="24"/>
        </w:rPr>
      </w:pPr>
      <w:r w:rsidRPr="00AC44BC">
        <w:rPr>
          <w:sz w:val="24"/>
          <w:szCs w:val="24"/>
        </w:rPr>
        <w:tab/>
      </w:r>
      <w:r w:rsidRPr="00AC44BC">
        <w:rPr>
          <w:sz w:val="24"/>
          <w:szCs w:val="24"/>
        </w:rPr>
        <w:tab/>
        <w:t xml:space="preserve">___Annually only </w:t>
      </w:r>
    </w:p>
    <w:p w14:paraId="35DDA74B" w14:textId="77777777" w:rsidR="00AC44BC" w:rsidRPr="00AC44BC" w:rsidRDefault="00AC44BC" w:rsidP="00C31289">
      <w:pPr>
        <w:spacing w:line="240" w:lineRule="auto"/>
        <w:rPr>
          <w:sz w:val="24"/>
          <w:szCs w:val="24"/>
        </w:rPr>
      </w:pPr>
      <w:r w:rsidRPr="00AC44BC">
        <w:rPr>
          <w:sz w:val="24"/>
          <w:szCs w:val="24"/>
        </w:rPr>
        <w:tab/>
      </w:r>
      <w:r w:rsidRPr="00AC44BC">
        <w:rPr>
          <w:sz w:val="24"/>
          <w:szCs w:val="24"/>
        </w:rPr>
        <w:tab/>
        <w:t>___Both new hire and annually</w:t>
      </w:r>
    </w:p>
    <w:p w14:paraId="1367CB61" w14:textId="77777777" w:rsidR="00AC44BC" w:rsidRPr="00AC44BC" w:rsidRDefault="00AC44BC" w:rsidP="00AC44BC">
      <w:pPr>
        <w:rPr>
          <w:sz w:val="24"/>
          <w:szCs w:val="24"/>
        </w:rPr>
      </w:pPr>
    </w:p>
    <w:p w14:paraId="0FF207A2" w14:textId="77777777" w:rsidR="00AC44BC" w:rsidRPr="00AC44BC" w:rsidRDefault="00AC44BC" w:rsidP="00AC44BC">
      <w:pPr>
        <w:numPr>
          <w:ilvl w:val="0"/>
          <w:numId w:val="8"/>
        </w:numPr>
        <w:contextualSpacing/>
        <w:rPr>
          <w:sz w:val="24"/>
          <w:szCs w:val="24"/>
        </w:rPr>
      </w:pPr>
      <w:r w:rsidRPr="00AC44BC">
        <w:rPr>
          <w:sz w:val="24"/>
          <w:szCs w:val="24"/>
        </w:rPr>
        <w:t xml:space="preserve">Which parts of the presentation did you find most helpful? </w:t>
      </w:r>
    </w:p>
    <w:p w14:paraId="531B7897" w14:textId="77777777" w:rsidR="00AC44BC" w:rsidRPr="00AC44BC" w:rsidRDefault="00AC44BC" w:rsidP="00AC44BC">
      <w:pPr>
        <w:rPr>
          <w:sz w:val="24"/>
          <w:szCs w:val="24"/>
        </w:rPr>
      </w:pPr>
    </w:p>
    <w:p w14:paraId="5FEE0F2C" w14:textId="77777777" w:rsidR="00AC44BC" w:rsidRPr="00AC44BC" w:rsidRDefault="00AC44BC" w:rsidP="00AC44BC">
      <w:pPr>
        <w:numPr>
          <w:ilvl w:val="0"/>
          <w:numId w:val="8"/>
        </w:numPr>
        <w:contextualSpacing/>
        <w:rPr>
          <w:sz w:val="24"/>
          <w:szCs w:val="24"/>
        </w:rPr>
      </w:pPr>
      <w:r w:rsidRPr="00AC44BC">
        <w:rPr>
          <w:sz w:val="24"/>
          <w:szCs w:val="24"/>
        </w:rPr>
        <w:t xml:space="preserve">Which parts of the presentation did you find least helpful? </w:t>
      </w:r>
    </w:p>
    <w:p w14:paraId="4AC8EE6A" w14:textId="77777777" w:rsidR="00AC44BC" w:rsidRPr="00AC44BC" w:rsidRDefault="00AC44BC" w:rsidP="00AC44BC">
      <w:pPr>
        <w:ind w:left="900"/>
        <w:contextualSpacing/>
        <w:rPr>
          <w:sz w:val="24"/>
          <w:szCs w:val="24"/>
        </w:rPr>
      </w:pPr>
    </w:p>
    <w:p w14:paraId="196F33C6" w14:textId="77777777" w:rsidR="00AC44BC" w:rsidRPr="00AC44BC" w:rsidRDefault="00AC44BC" w:rsidP="00AC44BC">
      <w:pPr>
        <w:numPr>
          <w:ilvl w:val="0"/>
          <w:numId w:val="8"/>
        </w:numPr>
        <w:contextualSpacing/>
        <w:rPr>
          <w:sz w:val="24"/>
          <w:szCs w:val="24"/>
        </w:rPr>
      </w:pPr>
      <w:r w:rsidRPr="00AC44BC">
        <w:rPr>
          <w:sz w:val="24"/>
          <w:szCs w:val="24"/>
        </w:rPr>
        <w:t>Would you recommend this presentation to other employees?</w:t>
      </w:r>
    </w:p>
    <w:p w14:paraId="5A21EF8C" w14:textId="77777777" w:rsidR="00AC44BC" w:rsidRPr="00AC44BC" w:rsidRDefault="00AC44BC" w:rsidP="00AC44BC">
      <w:pPr>
        <w:ind w:left="900"/>
        <w:contextualSpacing/>
        <w:rPr>
          <w:sz w:val="24"/>
          <w:szCs w:val="24"/>
        </w:rPr>
      </w:pPr>
      <w:r w:rsidRPr="00AC44BC">
        <w:rPr>
          <w:sz w:val="24"/>
          <w:szCs w:val="24"/>
        </w:rPr>
        <w:tab/>
        <w:t>___yes</w:t>
      </w:r>
    </w:p>
    <w:p w14:paraId="62EFA5AC" w14:textId="77777777" w:rsidR="00AC44BC" w:rsidRPr="00AC44BC" w:rsidRDefault="00AC44BC" w:rsidP="00AC44BC">
      <w:pPr>
        <w:ind w:left="900"/>
        <w:contextualSpacing/>
        <w:rPr>
          <w:sz w:val="24"/>
          <w:szCs w:val="24"/>
        </w:rPr>
      </w:pPr>
      <w:r w:rsidRPr="00AC44BC">
        <w:rPr>
          <w:sz w:val="24"/>
          <w:szCs w:val="24"/>
        </w:rPr>
        <w:tab/>
        <w:t>___no</w:t>
      </w:r>
      <w:bookmarkEnd w:id="8"/>
    </w:p>
    <w:p w14:paraId="060DD185" w14:textId="0BBB4F64" w:rsidR="004603DC" w:rsidRDefault="004603DC" w:rsidP="00C31289">
      <w:pPr>
        <w:pStyle w:val="APAReference"/>
        <w:ind w:left="0" w:firstLine="0"/>
        <w:jc w:val="center"/>
      </w:pPr>
    </w:p>
    <w:sectPr w:rsidR="004603DC" w:rsidSect="0099059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3FBA2A" w14:textId="77777777" w:rsidR="002566A1" w:rsidRDefault="002566A1">
      <w:r>
        <w:separator/>
      </w:r>
    </w:p>
  </w:endnote>
  <w:endnote w:type="continuationSeparator" w:id="0">
    <w:p w14:paraId="0B895394" w14:textId="77777777" w:rsidR="002566A1" w:rsidRDefault="00256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A6B9A0" w14:textId="77777777" w:rsidR="002566A1" w:rsidRDefault="002566A1">
      <w:r>
        <w:separator/>
      </w:r>
    </w:p>
  </w:footnote>
  <w:footnote w:type="continuationSeparator" w:id="0">
    <w:p w14:paraId="00071EF6" w14:textId="77777777" w:rsidR="002566A1" w:rsidRDefault="00256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83E3C" w14:textId="413C5D1E" w:rsidR="004C3277" w:rsidRPr="0014356D" w:rsidRDefault="004C3277" w:rsidP="0014356D">
    <w:pPr>
      <w:pStyle w:val="APAPageHeading"/>
    </w:pPr>
    <w:r>
      <w:rPr>
        <w:szCs w:val="24"/>
      </w:rPr>
      <w:t>BEST PRACTICES IN PROVIDING CULTURALLY SENSITIVE CARE</w:t>
    </w:r>
    <w:r>
      <w:tab/>
    </w:r>
    <w:r>
      <w:fldChar w:fldCharType="begin"/>
    </w:r>
    <w:r>
      <w:instrText xml:space="preserve"> PAGE  \* MERGEFORMAT </w:instrText>
    </w:r>
    <w:r>
      <w:fldChar w:fldCharType="separate"/>
    </w:r>
    <w:r>
      <w:rPr>
        <w:noProof/>
      </w:rPr>
      <w:t>3</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83E3F" w14:textId="7BFF1A4A" w:rsidR="004C3277" w:rsidRPr="0014356D" w:rsidRDefault="004C3277" w:rsidP="0014356D">
    <w:pPr>
      <w:pStyle w:val="APAPageHeading"/>
    </w:pPr>
    <w:r>
      <w:t xml:space="preserve">Running head: </w:t>
    </w:r>
    <w:r>
      <w:rPr>
        <w:szCs w:val="24"/>
      </w:rPr>
      <w:t>BEST PRACTICES IN PROVIDING CULTURALLY SENSITIVE CARE</w:t>
    </w:r>
    <w:r>
      <w:rPr>
        <w:szCs w:val="24"/>
      </w:rPr>
      <w:tab/>
    </w:r>
    <w:r>
      <w:rPr>
        <w:szCs w:val="24"/>
      </w:rPr>
      <w:fldChar w:fldCharType="begin"/>
    </w:r>
    <w:r>
      <w:rPr>
        <w:szCs w:val="24"/>
      </w:rPr>
      <w:instrText xml:space="preserve"> PAGE  \* Arabic  \* MERGEFORMAT </w:instrText>
    </w:r>
    <w:r>
      <w:rPr>
        <w:szCs w:val="24"/>
      </w:rPr>
      <w:fldChar w:fldCharType="separate"/>
    </w:r>
    <w:r>
      <w:rPr>
        <w:noProof/>
        <w:szCs w:val="24"/>
      </w:rPr>
      <w:t>1</w:t>
    </w:r>
    <w:r>
      <w:rPr>
        <w:szCs w:val="24"/>
      </w:rPr>
      <w:fldChar w:fldCharType="end"/>
    </w:r>
    <w:r w:rsidRPr="00ED135F">
      <w:rPr>
        <w:szCs w:val="24"/>
      </w:rPr>
      <w:t xml:space="preserve">     </w:t>
    </w:r>
    <w:r>
      <w:rPr>
        <w:szCs w:val="24"/>
      </w:rPr>
      <w:t xml:space="preserve">               </w:t>
    </w:r>
    <w:r w:rsidRPr="00ED135F">
      <w:rPr>
        <w:szCs w:val="24"/>
      </w:rPr>
      <w:t xml:space="preserve">                                                            </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83E41" w14:textId="09F096E3" w:rsidR="004C3277" w:rsidRPr="0014356D" w:rsidRDefault="004C3277" w:rsidP="0014356D">
    <w:pPr>
      <w:pStyle w:val="APAPageHeading"/>
    </w:pPr>
    <w:r>
      <w:rPr>
        <w:szCs w:val="24"/>
      </w:rPr>
      <w:t>BEST PRACTICES IN PROVIDING CULTURALLY SENSITIVE CARE</w:t>
    </w:r>
    <w:r>
      <w:tab/>
    </w:r>
    <w:r>
      <w:fldChar w:fldCharType="begin"/>
    </w:r>
    <w:r>
      <w:instrText xml:space="preserve"> PAGE  \* MERGEFORMAT </w:instrText>
    </w:r>
    <w:r>
      <w:fldChar w:fldCharType="separate"/>
    </w:r>
    <w:r>
      <w:rPr>
        <w:noProof/>
      </w:rPr>
      <w:t>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E588A"/>
    <w:multiLevelType w:val="hybridMultilevel"/>
    <w:tmpl w:val="E968B7D4"/>
    <w:lvl w:ilvl="0" w:tplc="902E96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BD49D9"/>
    <w:multiLevelType w:val="hybridMultilevel"/>
    <w:tmpl w:val="E9CCE0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E52CCA"/>
    <w:multiLevelType w:val="hybridMultilevel"/>
    <w:tmpl w:val="E51049A0"/>
    <w:lvl w:ilvl="0" w:tplc="D9CE5B3E">
      <w:start w:val="1"/>
      <w:numFmt w:val="bullet"/>
      <w:lvlText w:val=""/>
      <w:lvlJc w:val="left"/>
      <w:pPr>
        <w:tabs>
          <w:tab w:val="num" w:pos="720"/>
        </w:tabs>
        <w:ind w:left="720" w:hanging="360"/>
      </w:pPr>
      <w:rPr>
        <w:rFonts w:ascii="Wingdings 2" w:hAnsi="Wingdings 2" w:hint="default"/>
      </w:rPr>
    </w:lvl>
    <w:lvl w:ilvl="1" w:tplc="EBFA6FAA" w:tentative="1">
      <w:start w:val="1"/>
      <w:numFmt w:val="bullet"/>
      <w:lvlText w:val=""/>
      <w:lvlJc w:val="left"/>
      <w:pPr>
        <w:tabs>
          <w:tab w:val="num" w:pos="1440"/>
        </w:tabs>
        <w:ind w:left="1440" w:hanging="360"/>
      </w:pPr>
      <w:rPr>
        <w:rFonts w:ascii="Wingdings 2" w:hAnsi="Wingdings 2" w:hint="default"/>
      </w:rPr>
    </w:lvl>
    <w:lvl w:ilvl="2" w:tplc="6C9AD8B4">
      <w:start w:val="1"/>
      <w:numFmt w:val="bullet"/>
      <w:lvlText w:val=""/>
      <w:lvlJc w:val="left"/>
      <w:pPr>
        <w:tabs>
          <w:tab w:val="num" w:pos="2160"/>
        </w:tabs>
        <w:ind w:left="2160" w:hanging="360"/>
      </w:pPr>
      <w:rPr>
        <w:rFonts w:ascii="Wingdings 2" w:hAnsi="Wingdings 2" w:hint="default"/>
      </w:rPr>
    </w:lvl>
    <w:lvl w:ilvl="3" w:tplc="ED0EBFD4" w:tentative="1">
      <w:start w:val="1"/>
      <w:numFmt w:val="bullet"/>
      <w:lvlText w:val=""/>
      <w:lvlJc w:val="left"/>
      <w:pPr>
        <w:tabs>
          <w:tab w:val="num" w:pos="2880"/>
        </w:tabs>
        <w:ind w:left="2880" w:hanging="360"/>
      </w:pPr>
      <w:rPr>
        <w:rFonts w:ascii="Wingdings 2" w:hAnsi="Wingdings 2" w:hint="default"/>
      </w:rPr>
    </w:lvl>
    <w:lvl w:ilvl="4" w:tplc="DB1A110C" w:tentative="1">
      <w:start w:val="1"/>
      <w:numFmt w:val="bullet"/>
      <w:lvlText w:val=""/>
      <w:lvlJc w:val="left"/>
      <w:pPr>
        <w:tabs>
          <w:tab w:val="num" w:pos="3600"/>
        </w:tabs>
        <w:ind w:left="3600" w:hanging="360"/>
      </w:pPr>
      <w:rPr>
        <w:rFonts w:ascii="Wingdings 2" w:hAnsi="Wingdings 2" w:hint="default"/>
      </w:rPr>
    </w:lvl>
    <w:lvl w:ilvl="5" w:tplc="35E85130" w:tentative="1">
      <w:start w:val="1"/>
      <w:numFmt w:val="bullet"/>
      <w:lvlText w:val=""/>
      <w:lvlJc w:val="left"/>
      <w:pPr>
        <w:tabs>
          <w:tab w:val="num" w:pos="4320"/>
        </w:tabs>
        <w:ind w:left="4320" w:hanging="360"/>
      </w:pPr>
      <w:rPr>
        <w:rFonts w:ascii="Wingdings 2" w:hAnsi="Wingdings 2" w:hint="default"/>
      </w:rPr>
    </w:lvl>
    <w:lvl w:ilvl="6" w:tplc="2EC49494" w:tentative="1">
      <w:start w:val="1"/>
      <w:numFmt w:val="bullet"/>
      <w:lvlText w:val=""/>
      <w:lvlJc w:val="left"/>
      <w:pPr>
        <w:tabs>
          <w:tab w:val="num" w:pos="5040"/>
        </w:tabs>
        <w:ind w:left="5040" w:hanging="360"/>
      </w:pPr>
      <w:rPr>
        <w:rFonts w:ascii="Wingdings 2" w:hAnsi="Wingdings 2" w:hint="default"/>
      </w:rPr>
    </w:lvl>
    <w:lvl w:ilvl="7" w:tplc="838286F2" w:tentative="1">
      <w:start w:val="1"/>
      <w:numFmt w:val="bullet"/>
      <w:lvlText w:val=""/>
      <w:lvlJc w:val="left"/>
      <w:pPr>
        <w:tabs>
          <w:tab w:val="num" w:pos="5760"/>
        </w:tabs>
        <w:ind w:left="5760" w:hanging="360"/>
      </w:pPr>
      <w:rPr>
        <w:rFonts w:ascii="Wingdings 2" w:hAnsi="Wingdings 2" w:hint="default"/>
      </w:rPr>
    </w:lvl>
    <w:lvl w:ilvl="8" w:tplc="63CA9BF6"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2210663F"/>
    <w:multiLevelType w:val="hybridMultilevel"/>
    <w:tmpl w:val="7722C6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AEF3CF4"/>
    <w:multiLevelType w:val="hybridMultilevel"/>
    <w:tmpl w:val="11FE9AF8"/>
    <w:lvl w:ilvl="0" w:tplc="791495D8">
      <w:start w:val="1"/>
      <w:numFmt w:val="decimal"/>
      <w:lvlText w:val="%1."/>
      <w:lvlJc w:val="left"/>
      <w:pPr>
        <w:ind w:left="9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7C54C4D"/>
    <w:multiLevelType w:val="hybridMultilevel"/>
    <w:tmpl w:val="B55622A8"/>
    <w:lvl w:ilvl="0" w:tplc="0B9CCB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ED31916"/>
    <w:multiLevelType w:val="hybridMultilevel"/>
    <w:tmpl w:val="0C0A1E9C"/>
    <w:lvl w:ilvl="0" w:tplc="85AC92E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9F35195"/>
    <w:multiLevelType w:val="hybridMultilevel"/>
    <w:tmpl w:val="2E282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E54091"/>
    <w:multiLevelType w:val="hybridMultilevel"/>
    <w:tmpl w:val="E9CCE0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2"/>
  </w:num>
  <w:num w:numId="4">
    <w:abstractNumId w:val="3"/>
  </w:num>
  <w:num w:numId="5">
    <w:abstractNumId w:val="6"/>
  </w:num>
  <w:num w:numId="6">
    <w:abstractNumId w:val="5"/>
  </w:num>
  <w:num w:numId="7">
    <w:abstractNumId w:val="0"/>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activeWritingStyle w:appName="MSWord" w:lang="en-US" w:vendorID="64" w:dllVersion="6" w:nlCheck="1" w:checkStyle="1"/>
  <w:activeWritingStyle w:appName="MSWord" w:lang="es-ES" w:vendorID="64" w:dllVersion="6" w:nlCheck="1" w:checkStyle="1"/>
  <w:activeWritingStyle w:appName="MSWord" w:lang="pt-BR"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0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411488656365741I007" w:val="*1,597˜11Bernadette~Mazurek~Melnyk~Ellen~~Fineout-Overholt~˜12032011˜15Evidence -based practice in nursing and healthcare. A guide to best practice˜2201˜1522nd˜21951˜21940˜110Philadelphia, PA˜111Wolters Kluwer/Lippincott, Williams &amp; Wilkins˜1449˜2690˜1196˜1609˜"/>
    <w:docVar w:name="412908190046296I0" w:val="*1,597˜11James~L.~Harris~Linda~~Roussel~Sandra~E.~Walters~Catherine~~Dearman~˜12032011˜15Project planning and management:  A guide for CNLs, DNPs, and nurse executives.˜2200˜152˜21951˜21940˜110Sudbury, MA˜111Jones &amp; Bartlett Learning˜1449˜2690˜1196˜1609˜"/>
    <w:docVar w:name="415174426388889I0" w:val="*1,597˜11Dariush~~Honardoust~˜12032012˜15Essentials of medical aesthetics: Clinical and scientific skin care &amp; rejuvenation˜2200˜152˜21951˜21940˜110Alberta, Canada˜111Xlibris˜1449˜2690˜1196˜1609˜"/>
    <w:docVar w:name="415174720023148I0" w:val="*1,774˜17Peter~M~Prendergast~Melvin~A~Shiffman~˜12032011˜14Botulinum toxins˜15Aesthetic medicine: Art and techniques˜2200˜152˜23361˜23370˜2711˜241˜173˜171103˜172129˜1603˜2338˜21951˜21940˜110Berlin, Germany˜111Springer˜1449˜269˜1196˜1609˜"/>
    <w:docVar w:name="415275548495370I0" w:val="*1,60˜11K~C~Smith~˜12032010˜2330˜1241˜13Ice anesthesia for injection of dermal fillers˜16Dermatologic Surgery˜2681˜18636˜210˜181˜2711˜1163812-814˜21751˜2691˜119610.1111/j.1524-4725.2010.01549.x˜1141˜"/>
    <w:docVar w:name="415319094097222I0" w:val="*1,60˜11Nikki~~Russell~˜12032013˜2330˜1241˜13Exploring the role of the aesthetic nurse in public health and patient education˜16Journal of Aesthetic Nursing˜2681˜1862˜211˜1814˜2711˜1163174-177˜21750˜269˜1196˜1141˜"/>
    <w:docVar w:name="415319356597222I0" w:val="*1,60˜11Alan~~Bleakley~Robert~~Marshall~Rainer~~Bromer~˜12032006˜2330˜1241˜13Toward an aesthetic medicine: Developing a core medical humanities undergraduate curriculim˜16Journal of Medical Humanities˜2681˜18627˜210˜181˜2711˜1163197-213˜21751˜2691˜119610.1007/s10912-006-908-5˜1141˜"/>
    <w:docVar w:name="415319558680556I0" w:val="*1,60˜11Charlotte~D~Barry~Marguerite~J~Purnell~˜12032008˜2330˜1241˜13Uncovering meaning through the aesthetic turn: A pedagogy of caring˜16International Journal For Human Caring˜2681˜18612˜211˜1812˜2711˜116319-23˜21751˜2690˜1196˜1141http://libproxy2.usouthal.edu/login?url=http://search.ebscohost.com/login.aspx?direct=true&amp;db=ccm&amp;AN=2009963950&amp;login.asp&amp;site=ehost-live&amp;scope=site˜"/>
    <w:docVar w:name="415319961689815I0" w:val="*1,60˜11David~J~Goldberg~˜12032009˜2330˜1241˜13Breakthroughs in US dermal fillers for facial soft-tissue augmentation˜16Journal of Cosmetic and Laser Therapy˜2681˜18611˜211˜1814˜2711˜1163240-247˜21751˜2691˜119610.3109/14764170903341731˜1141˜"/>
    <w:docVar w:name="415319987847222I0" w:val="*1,60˜11Marcello~~Simao de Aquino~Alessandra~~Haddad~Lydia~Masako~Ferreira~˜12032013˜2330˜1241˜13Assessment of quality of life in patients who underwent minimally invasive cosmetic procedures˜16Aesthetic Plastic Surgery˜2681˜18637˜211˜1812˜2711˜1163497-503˜21751˜2691˜119610.1007/s00266-012-9992-0˜1141˜"/>
    <w:docVar w:name="415320037268519I0" w:val="*1,60˜11Herve~~Raspaldo~˜12032008˜2330˜1241˜13Volumizing effect of a new hyaluronic acid sub-dermal facial filler: A retrospective analysis based on 102 cases˜16Journal of Cosmetic and Laser Therapy˜2681˜18610˜211˜1814˜2711˜1163134-142˜21751˜2691˜119610.1080/14764170802154607˜1141˜"/>
    <w:docVar w:name="415324079398148I0" w:val="*1,60˜11Marina~~Landau~˜12032006˜2330˜1241˜13Combination of chemical peelings with botulinum toxin injections and dermal fillers˜16Journal of Cosmetic Dermatology˜2681˜1865˜211˜1812˜2711˜1163121-126˜21751˜2690˜1196˜1141http://libproxy2.usouthal.edu/login?url=http://search.ebscohost.com/login.aspx?direct=true&amp;db=mnh&amp;AN=17173585&amp;login.asp&amp;site=ehost-live&amp;scope=site˜"/>
    <w:docVar w:name="415324825231481I0" w:val="*1,60˜11Anthony~P~Sclafani~Steven~~Fagien~˜12032009˜2330˜1241˜13Treatment of injectable soft tissue filler complications˜16Dermatologic Surgery˜2681˜18635˜210˜181˜2711˜11631672-1680˜21751˜2691˜119610.1111/j.1524-4725.2009.01346.x˜1141˜"/>
    <w:docVar w:name="415324928356481I0" w:val="*1,60˜11Joel~C~Cohen~˜12032008˜2330˜1241˜13Understanding, avoiding, and managing dermal filler complications˜16Dermatologic Surgery˜2681˜18634˜210˜181˜2711˜1163S92-S99˜21751˜2691˜119610.1111/j.1524-4725.2008.34249.x˜1141˜"/>
    <w:docVar w:name="415324942129630I0" w:val="*1,60˜11Mariano~~Busso~˜12032008˜2330˜1241˜13Soft tissue augmentation: Nonsurgical approaches to treatment of the mid and lower facial regions˜16Dermatology Nursing˜2681˜18620˜211˜1813˜2711˜1163211-219˜21750˜2690˜1196˜1141http://libproxy2.usouthal.edu/login?url=http://search.ebscohost.com/login.aspx?direct=true&amp;db=hch&amp;AN=32926598&amp;login.asp&amp;site=ehost-live&amp;scope=site˜"/>
    <w:docVar w:name="415367107523148I0" w:val="*1,335˜1205Aesthetics˜1234Aesthetics˜12032013˜21830˜17˜151Merriam-Webster’s online dictionary˜21970˜2196˜1450˜271˜2337˜24˜171˜172˜173˜2314˜1603˜21950˜2194˜110˜111˜1449˜2690˜1196˜1609http://www.merriam-webster.com/dictionary/aesthetics˜"/>
    <w:docVar w:name="415386413657407I0" w:val="*1,335˜1205Ecchymosis˜1234Ecchymosis˜12032013˜21830˜17˜151Merriam-Webster’s online dictionary˜21970˜2196˜1450˜271˜2337˜24˜171˜172˜173˜2314˜1603˜21950˜2194˜110˜111˜1449˜2690˜1196˜1609http://www.merriam-webster.com/dictionary/ecchymosis˜"/>
    <w:docVar w:name="415386483912037I0" w:val="*1,60˜11Michael~Shane~Hamman~Mitchel~P~Goldman~˜12032013˜2330˜1241˜13Minimizing bruising following fillers and other cosmetic injectables˜16Journal of Clinical Aestetic Dermatology˜2681˜1866˜211˜1818˜2711˜116316-18˜21751˜2690˜1196˜1141http://web.ebscohost.com.libproxy2.usouthal.edu/ehost/pdfviewer/pdfviewer?sid=d63dc363-c747-4c20-9283-3513e7ff532d%40sessionmgr12&amp;vid=5&amp;hid=14˜"/>
    <w:docVar w:name="415387191087963I0" w:val="*1,773˜1289Seana~~Collins~Tanya~~Voth~Alba~~DiCenso~Gordon~~Guyatt~˜12032005˜22821˜14Finding the evidence˜1552˜23071˜11Alba~~DiCenso~Gordon~~Guyatt~Donna~~Ciliska~˜17˜15Evidence-based nursing: A guide to clinical practice˜2200˜152˜23361˜23370˜2711˜241˜173˜17120˜17243˜1603˜2338˜21951˜21940˜110St. Louis, MO˜111Elsevier Mosby˜1449˜269˜1196˜1609˜"/>
    <w:docVar w:name="415417699884259I0" w:val="*1,60˜11Kathleen~Kelley~Walsh~Terry~M~VandenBosch~Susan~~Boehm~˜12031989˜2330˜1241˜13Modelling and role-modelling: Integrating nursing theory into practice˜16Journal of Advanced Nursing˜2681˜18614˜211˜18110˜2711˜1163462-467˜21751˜2691˜119610.3928/00220124-20090923-06˜1141˜"/>
    <w:docVar w:name="415593160532407I0" w:val="*1,60˜11David~~Rahm~˜12032004˜2330˜1241˜13A guide to perioperative nutrition˜16Aesthetic Surgery Journal˜2681˜18624˜211˜1814˜2711˜1163385-390˜21750˜269˜1196˜1141˜"/>
    <w:docVar w:name="415675476736111I0" w:val="*1,60˜11S~~Leu~J~~Havey~L~E~White~N~~Martin~S~S~Yoo~A~W~Rademaker~M~~Alam~˜12032010˜2330˜1241˜13Accelerated resolution of laser-induced bruising with topical 20% arnica: A rater-blinded randomized controlled trial˜16British Journal of Dermatology˜2681˜186163˜211˜1814˜2711˜1163557-563˜21750˜269˜1196˜1141˜"/>
    <w:docVar w:name="415784331365741I0" w:val="*1,60˜11Scott~M~Dinehart~Lance~~Henry~˜12032005˜2330˜1241˜13Dietary supplements: altered coagulation and effects on bruising˜16American Society for Dermatologic Surgery˜2681˜18631˜211˜1817˜2711˜1163819-826˜21750˜269˜1196˜1141˜"/>
    <w:docVar w:name="415796094212963I0" w:val="*1,60˜11Fiona~C~Taylor~Mary~E~Ramsay~Grace~~Tan~John~~Gabbay~Hannah~~Cohen~˜12031994˜2330˜1241˜13Evaluation of patients’ knowledge about anticoagulant treatment˜16 Quality in Health Care˜2681˜1863˜211˜1814˜2711˜116379-85˜21750˜269˜1196˜1141˜"/>
    <w:docVar w:name="415802016782407I0" w:val="*1,60˜11Reva~Balci~Akpinar~˜12032012˜2330˜1241˜13The effect of local dry heat pack application on recovering the bruising associated with the subcutaneous injection of heparin˜16Journal of Clinical Nursing˜2681˜18622˜210˜181˜2711˜11632531-2535˜21751˜2691˜119610.1111/jocn.12216˜1141˜"/>
    <w:docVar w:name="415802170138889I0" w:val="*1,60˜11Ara~Samuel~Makdessian~David~A.F.~Ellis~Jonathan~C~Irish~˜12032004˜2330˜1241˜13Informed consent in facial plastic surgery˜16Archives of Facial Plastic Surgery˜2681˜1866˜210˜181˜2711˜116326-30˜21750˜269˜1196˜1141˜"/>
    <w:docVar w:name="415808952314815I0" w:val="*1,60˜11Paula~~Gardiner~Russell~~Phillips~Allen~F~Shaughnessy~˜12032008˜2330˜1241˜13 Herbal and dietary supplement - drug interactions in patients with chronic illnesses˜16American Academy of Family Physicians˜2681˜18677˜211˜1811˜2711˜116373-78˜21750˜269˜1196˜1141˜"/>
    <w:docVar w:name="415860956250000I0" w:val="*1,221˜11Peggy~L~Chinn~Maeona~K~Kramer~˜12032011˜14Aesthetic knowledge development˜21830˜17˜15Integrated theory and knowledge development in nursing˜2201˜1528th˜23361˜23370˜2711˜241˜173˜171125˜172151˜1603˜2338˜21951˜21940˜110St. Louis, MO˜111Elsevier Mosby˜1449˜269˜1196˜1609˜"/>
    <w:docVar w:name="415889798263889I0" w:val="*1,60˜11Mary~Elaine~Koren~Christina~~Papamiditriou~˜12032013˜2330˜1241˜13Spirituality of staff nurses˜16Holistic Nursing Practice˜2681˜18627˜211˜1811˜2711˜116337-44˜21751˜2691˜119610.1097/HNP.0b013e318276fc38˜1141˜"/>
    <w:docVar w:name="416044333333333I0" w:val="*1,370˜118American Association of Colleges of Nursing˜2881˜1233AACN˜12032006˜13The essentials of doctoral education for advanced nursing practice˜2701˜1112˜112http://www.aacn.nche.edu/publications/position/DNPEssentials.pdf˜"/>
    <w:docVar w:name="416508751157407I0" w:val="*1,370˜118American Society for Aesthetic Plastic Surgery˜2881˜1233ASAPS˜12032012˜13Quick facts˜2701˜1112˜112http://www.surgery.org/sites/default/files/2012-top5.pdf˜"/>
    <w:docVar w:name="416524703240741I0" w:val="*1,370˜118American Nurses Association˜2881˜1233ANA˜12032010˜13Code of ethics for nurses with interpretive statements˜2701˜1112˜112http://nursingworld.org/MainMenuCategories/EthicsStandards/CodeofEthicsforNurses/Code-of-Ethics.pdf˜"/>
    <w:docVar w:name="416853038078704I0" w:val="*1,370˜118California Department of Health Care Services˜2881˜1233CDHCS˜12032014˜13Health insurance portability and accountability act˜2701˜1112˜112http://www.dhcs.ca.gov/formsandpubs/laws/hipaa/Pages/1.00%20WhatisHIPAA.aspx˜"/>
    <w:docVar w:name="416873671643519I0" w:val="*1,773˜1289Catherine~~Dearman~Debra~~Davis~˜12032011˜22821˜14Planning a project for implementation˜1552˜23071˜11James~L~Harris~Linda~~Roussel~Sandra~E~Walters~Catherine~~Dearman~˜17˜15Project planning and management: A guide for CNLs, DNPs, and nurse executives˜2200˜152˜23361˜23370˜2711˜241˜173˜17151˜17263˜1603˜2338˜21951˜21940˜110Sudbury, MA˜111Jones &amp; Bartlett Learning˜1449˜269˜1196˜1609˜"/>
    <w:docVar w:name="417253679629630I0" w:val="*1,60˜11V~~Reed~˜12032005˜2330˜1241˜13Allergan distances Botox from Florida case˜16Orange County Business Journal˜2681˜18628˜211˜1817˜2711˜11631-53˜21751˜2690˜1196˜1141http://libproxy2.usouthal.edu/login?url=http://search.ebscohost.com/login.aspx?direct=true&amp;db=heh&amp;AN=1625534&amp;login.asp&amp;site=ehost-live&amp;scope=site˜"/>
    <w:docVar w:name="417304230324074I0" w:val="*1,60˜11M~~Harding~˜12032010˜2330˜1241˜13Predictability associated with exit examinations: A literature review˜16Journal of Nursing Education˜2681˜18649˜211˜1819˜2711˜1163493-497˜21751˜2691˜1196doi:10.3928/01484834-20100730-01˜1141˜"/>
    <w:docVar w:name="417304258564815I0" w:val="*1,60˜11M~~Cleary~G~E~Hunt~G~~Walter~L~~Tong~˜12032010˜2330˜1241˜13A guide for mental health clinicians to develop and undertake benchmarking activities˜16International Journal of Mental Health Nursing˜2681˜18619˜211˜1812˜2711˜1163137-141˜21751˜2691˜1196http://dx.doi.org/10.1111/j.1447-0349.2009.00654.x˜1141˜"/>
    <w:docVar w:name="417359497453704I0" w:val="*1,149˜1169Regulations of Professions and Occupations Medical Practice˜23401˜1260458˜1165Fla. Stat˜2341˜1649˜2551˜1170˜1262348˜11722013˜2530˜1255˜"/>
    <w:docVar w:name="417718884837963I0" w:val="*1,60˜11Paul~R~Clark~˜12032009˜2330˜1241˜13Teamwork: Building healthier workplaces and providing safer patient care˜16Critical Care Nurses Quarterly˜2681˜18632˜211˜1813˜2711˜1163221-231˜21750˜269˜1196˜1141˜"/>
    <w:docVar w:name="417734603125000I0" w:val="*1,60˜11R~~McCaffrey~R~~Hayes~A~~Cassell~S~~Miller-Reyes~A~~Donaldson~C~~Ferrell~˜12032012˜2330˜1241˜13The effect of an educational programme on attitudes of nurses and medical residents towards the benefits of positive communication and collaboration˜16Journal of Advanced Nursing˜2681˜18668˜211˜1812˜2711˜1163293-301˜21751˜2691˜1196doi:10.1111/j.1365-2648.2011.05736.x˜1141˜"/>
    <w:docVar w:name="417917600925926I0" w:val="*1,60˜11Harriet~~Van Ess Coeling~Penelope~L~Cukr~˜12032000˜2330˜1241˜13Communication styles that promote perceptions of collaboration, quality, and nurse satisfaction˜16Journal of Nursing Care Quality˜2681˜18614˜211˜1812˜2711˜116363-74˜21750˜269˜1196˜1141˜"/>
    <w:docVar w:name="417917620833333I0" w:val="*1,60˜11Nancy~~DeRosa~Kim~~Kochurka~˜12032006˜2330˜1241˜13Implement culturally competent healthcare in your workplace˜16Nursing Management˜2680˜186˜21˜181˜2711˜116318-26˜21750˜269˜1196˜1141˜"/>
    <w:docVar w:name="417919796527778I0" w:val="*1,60˜11Tsveti~~Markova~Barbara~~Broome~˜12032007˜2330˜1241˜13Effective communication and delivery of culturally competent health care˜16Urologic Nursing˜2681˜18627˜211˜1813˜2711˜1163239-242˜21750˜269˜1196˜1141˜"/>
    <w:docVar w:name="418087172800926I0" w:val="*1,60˜11S~~Kleiman~K~~Frederickson~T~~Lundy~˜12032004˜2330˜1241˜13Using an eclectic model to educate students about cultural influences on the nurse-patient relationship˜16Nursing Education Perspectives˜2681˜18625˜211˜1815˜2711˜1163249-253˜21751˜2690˜1196˜1141http://ezproxy.chatham.edu:2048/login?url=http://search.ebscohost.com/login.aspx?direct=true&amp;db=c8h&amp;AN=2004187506&amp;site=ehost-live˜"/>
    <w:docVar w:name="418117949537037I0" w:val="*1,60˜11Mary~~O’Conner~˜12032011˜2330˜1241˜13Beyond the classroom: Nurse leader preparation and practices˜16Nursing Administration Quarterly˜2681˜18635˜211˜1814˜2711˜1163333-337˜21751˜2691˜1196doi:10.1097/NAQ.0b013e31822ed1c8˜1141˜"/>
    <w:docVar w:name="418336054745370I0" w:val="*1,597˜11Lisa~Astalos~Chism~˜12032013˜15The doctor of nursing practice: A guidebook for role development and professional issue˜2201˜1522nd˜21951˜21940˜110Burlington, MA˜111Jones &amp; Bartlett Learning˜1449˜269˜1196˜1609˜"/>
    <w:docVar w:name="418755442824074I0" w:val="*1,597˜11Toni~~Hebda~Patricia~~Czar~˜12032013˜15Handbook of informatics for nurses &amp; healthcare professionals˜2201˜1525th˜21951˜21940˜110Upper Saddle River, NJ˜111Pearson˜1449˜2690˜1196˜1609˜"/>
    <w:docVar w:name="419038495601852I0" w:val="*1,773˜1289Mary~~Geary~Clista~~Clanton~˜12032011˜22821˜14Developing metrics that support projects and programs˜1552˜23071˜11James~L~Harris~Linda~~Roussel~Sandra~E~Walters~Catherine~~Dearman~˜17˜15Project planning and management: A guide for CNLs, DNPs, and nurse executives˜2200˜152˜23361˜23370˜2711˜241˜173˜171119˜172145˜1603˜23380˜21951˜21940˜110Sudbury, MA˜111Jones &amp; Bartlett˜1449˜2690˜1196˜1609˜"/>
    <w:docVar w:name="419105881944444I0" w:val="*1,60˜11Alison~~Twycross~Linda~~Shields~˜12032004b˜2330˜1241˜13Validity and reliability - what’s it all about? Part 2: Reliability in quantitative studies˜16Paediatric Nursing˜2681˜18616˜211˜18110˜2711˜116336˜21750˜2690˜1196˜1141˜"/>
    <w:docVar w:name="419105910995370I0" w:val="*1,60˜11Alison~~Twycross~Linda~~Shields~˜12032004a˜2330˜1241˜13Research update: Validity and reliability - what’s it all about? Part 1: Validity in quantitative studies˜16Paediatric Nursing˜2681˜18616˜211˜1819˜2711˜116328˜21750˜2690˜1196˜1141˜"/>
    <w:docVar w:name="419106045370370I0" w:val="*1,597˜11Elizabeth~~Heavey~˜12032011˜15Statistics for nursing: A practical approach˜2200˜152˜21951˜21940˜110Sudbury, MA˜111Jones &amp; Bartlett˜1449˜2690˜1196˜1609˜"/>
    <w:docVar w:name="419199122106481I0" w:val="*1,773˜1289Juli~~Maxworthy~˜12032013˜22821˜14Building the business case for quality˜1552˜23070˜11˜17KT~~Waxman~˜15Financial and business management for the doctor of nursing practice˜2200˜152˜23361˜23370˜2711˜241˜173˜171177˜172196˜1603˜23380˜21951˜21940˜110New York, NY˜111Springer˜1449˜2690˜1196˜1609˜"/>
    <w:docVar w:name="419234192708333I0" w:val="*1,773˜1289Patricia~L~Thomas~˜12032011˜22821˜14Evaluating project outcomes˜1552˜23071˜11James~L~Harris~Linda~~Roussel~Sandra~E~Walters~Catherine~~Dearman~˜17˜15Project planning and management: A guide for CNLs, DNPs, and nurse executives˜2200˜152˜23361˜23370˜2711˜241˜173˜171161˜172177˜1603˜2338˜21951˜21940˜110Sudbury, MA˜111Jones &amp; Bartlett˜1449˜269˜1196˜1609˜"/>
    <w:docVar w:name="419237711226852I0" w:val="*1,60˜11Alexis~~Wilson~Lisa~~Nathan~˜12032003˜2330˜1241˜13Understanding benchmarks˜16Home Healthcare Nurse˜2681˜18621˜211˜1812˜2711˜1163102-107˜21750˜269˜1196˜1141˜"/>
    <w:docVar w:name="419237727777778I0" w:val="*1,60˜11Diane~Storer~Brown~Nancy~~Donaldson~Linda~Burnes~Bolton~Carolyn~E~Aydin~˜12032010˜2330˜1241˜13Nursing-sensitive benchmarks for hospitals to gauge high-reliability performance˜16Journal for Healthcare Quality˜2681˜18632˜211˜1816˜2711˜11639-17˜21750˜269˜1196˜1141˜"/>
    <w:docVar w:name="419237752199074I0" w:val="*1,60˜11Michael~S~Schechter~˜12032012˜2330˜1241˜13Benchmarking to improve the quality of cystic fibrosis care˜16Current Opinion in Pulmonary Medicine˜2681˜18618˜211˜1816˜2711˜1163596-601˜21751˜2691˜1196doi:10.1097/MCP.0b013e328358d533˜1141˜"/>
    <w:docVar w:name="419454999652778I0" w:val="*1,597˜11Laura~N~Gitlin~Kevin~J~Lyons~˜12032014˜15Successful grant writing: Strategies for health and human service professionals˜2201˜1524th˜21951˜21940˜110New York, NY˜111Springer˜1449˜2690˜1196˜1609˜"/>
    <w:docVar w:name="419483946759259I0" w:val="*1,60˜11Katherine~J~Dontje~˜12032007˜2330˜1241˜13Evidence-based practice: Understanding the process˜16Topics in Advanced Practice Nursing eJournal˜2681˜1867˜211˜1814˜2711˜11631-7˜21751˜2690˜1196˜1141http://www.medscape.com/viewarticle/567786˜"/>
    <w:docVar w:name="419530420949074I0" w:val="*1,773˜1289Michael~R~Bleich~˜12032011˜22821˜14Measuring the value of projects within organizations˜1552˜23071˜11James~L~Harris~Linda~~Roussel~Sandra~E~Walters~Catherine~~Dearman~˜17˜15Project planning and management: A guide for CNLs, DNPs, and nurse executives˜2200˜152˜23361˜23370˜2711˜241˜173˜171147˜172160˜1603˜23380˜21951˜21940˜110Sudbury, MA˜111Jones &amp; Bartlett˜1449˜2690˜1196˜1609˜"/>
    <w:docVar w:name="420173386689815I0" w:val="*1,60˜11M~~Titler~C~~Kleiber~V~~Steelman~C~~Goode~B~~Rakel~J~~Barry-Walker~S~~Small~K~~Buckwalter~˜12031994˜2330˜1241˜13Infusing research into practice to promote quality care˜16Nursing Research˜2681˜18643˜211˜1815˜2711˜1163307-313˜21750˜269˜1196˜1141˜"/>
    <w:docVar w:name="420309249421296I0" w:val="*1,597˜11Beth~L~Rodgers~Kathleen~A~Knafl~˜12032000˜15Concept development in nursing:  Foundations, techniques, and applications˜2201˜1522nd˜21951˜21940˜110Philadelphia, PA˜111Saunders˜1449˜2690˜1196˜1609˜"/>
    <w:docVar w:name="420338871990741I0" w:val="*1,773˜1289Anne~Wojner~Alexandrov~Barbara~B~Brewer~˜12032011˜22821˜14The role of outcomes in evaluating practice change˜1552˜23071˜11Bernadette~Mazurek~Melnyk~Ellen~~Fineout-Overholt~˜17˜15Evidence-based practice in nursing and healthcare: A guide to best practice˜2201˜1522nd˜23361˜23370˜2711˜241˜173˜171226˜172237˜1603˜23380˜21951˜21940˜110Philadelphia, PA˜111Wolters Kluwer Lippincott Williams &amp; Wilkins˜1449˜2690˜1196˜1609˜"/>
    <w:docVar w:name="420338960763889I0" w:val="*1,60˜11Katrina~~Bannigan~Roger~~Watson~˜12032009˜2330˜1241˜13Reliability and validity in a nutshell˜16Journal of Clinical Nursing˜2681˜18618˜210˜181˜2711˜11633237-3243˜21751˜2691˜1196doi: 10.1111/j.1365-2702.2009.02939.x˜1141˜"/>
    <w:docVar w:name="bmHeaderInfo" w:val="A PATIENT FOCUSED EDUCATIONAL MODULE ON BRUISING"/>
    <w:docVar w:name="cIsAbstract" w:val="True"/>
    <w:docVar w:name="cPaperAPAOrMLA" w:val="1"/>
    <w:docVar w:name="cUniquePaperID" w:val="420163586689815I0"/>
    <w:docVar w:name="HasTitlePage" w:val="True"/>
    <w:docVar w:name="IncludeAnnotations" w:val="False"/>
    <w:docVar w:name="LastEditedVersion" w:val="5"/>
  </w:docVars>
  <w:rsids>
    <w:rsidRoot w:val="0014356D"/>
    <w:rsid w:val="0000031B"/>
    <w:rsid w:val="000007BA"/>
    <w:rsid w:val="00000AD0"/>
    <w:rsid w:val="00001338"/>
    <w:rsid w:val="00001AC8"/>
    <w:rsid w:val="000022DA"/>
    <w:rsid w:val="00002E39"/>
    <w:rsid w:val="00003776"/>
    <w:rsid w:val="0000431D"/>
    <w:rsid w:val="00004A0E"/>
    <w:rsid w:val="00004D9B"/>
    <w:rsid w:val="00005C8B"/>
    <w:rsid w:val="00005EC0"/>
    <w:rsid w:val="0000704A"/>
    <w:rsid w:val="0000750F"/>
    <w:rsid w:val="0000797F"/>
    <w:rsid w:val="000100C0"/>
    <w:rsid w:val="00010867"/>
    <w:rsid w:val="00011136"/>
    <w:rsid w:val="00011189"/>
    <w:rsid w:val="0001296A"/>
    <w:rsid w:val="00012BC3"/>
    <w:rsid w:val="00013627"/>
    <w:rsid w:val="000147CB"/>
    <w:rsid w:val="00014A27"/>
    <w:rsid w:val="00015FF1"/>
    <w:rsid w:val="00016689"/>
    <w:rsid w:val="00016820"/>
    <w:rsid w:val="0001685B"/>
    <w:rsid w:val="00016DB6"/>
    <w:rsid w:val="00017679"/>
    <w:rsid w:val="00017F15"/>
    <w:rsid w:val="0002073C"/>
    <w:rsid w:val="00020BB8"/>
    <w:rsid w:val="00021E28"/>
    <w:rsid w:val="00022277"/>
    <w:rsid w:val="000238CE"/>
    <w:rsid w:val="00023D79"/>
    <w:rsid w:val="00024863"/>
    <w:rsid w:val="00024E98"/>
    <w:rsid w:val="00025AA9"/>
    <w:rsid w:val="00025FAC"/>
    <w:rsid w:val="0002623F"/>
    <w:rsid w:val="00027282"/>
    <w:rsid w:val="00030F6D"/>
    <w:rsid w:val="00031745"/>
    <w:rsid w:val="000323AD"/>
    <w:rsid w:val="000327A6"/>
    <w:rsid w:val="00033E75"/>
    <w:rsid w:val="00034E5C"/>
    <w:rsid w:val="00034EEC"/>
    <w:rsid w:val="00035DA3"/>
    <w:rsid w:val="00035FF6"/>
    <w:rsid w:val="00040203"/>
    <w:rsid w:val="00040859"/>
    <w:rsid w:val="0004216E"/>
    <w:rsid w:val="000428F1"/>
    <w:rsid w:val="00043377"/>
    <w:rsid w:val="000455A3"/>
    <w:rsid w:val="00045BCD"/>
    <w:rsid w:val="00045F39"/>
    <w:rsid w:val="0004644F"/>
    <w:rsid w:val="000470E1"/>
    <w:rsid w:val="00047B6B"/>
    <w:rsid w:val="000503B7"/>
    <w:rsid w:val="00050558"/>
    <w:rsid w:val="00050DD7"/>
    <w:rsid w:val="00051B53"/>
    <w:rsid w:val="00051E09"/>
    <w:rsid w:val="00052005"/>
    <w:rsid w:val="0005219A"/>
    <w:rsid w:val="00052323"/>
    <w:rsid w:val="000527B9"/>
    <w:rsid w:val="0005298A"/>
    <w:rsid w:val="00052BB5"/>
    <w:rsid w:val="000531FC"/>
    <w:rsid w:val="0005334E"/>
    <w:rsid w:val="00054627"/>
    <w:rsid w:val="00054843"/>
    <w:rsid w:val="000553B6"/>
    <w:rsid w:val="000554A7"/>
    <w:rsid w:val="00055EAD"/>
    <w:rsid w:val="00055F5E"/>
    <w:rsid w:val="000562AE"/>
    <w:rsid w:val="0005717C"/>
    <w:rsid w:val="000604A8"/>
    <w:rsid w:val="00060F59"/>
    <w:rsid w:val="000619FA"/>
    <w:rsid w:val="00061FA0"/>
    <w:rsid w:val="000625FF"/>
    <w:rsid w:val="00063D22"/>
    <w:rsid w:val="00064139"/>
    <w:rsid w:val="000645CE"/>
    <w:rsid w:val="00064753"/>
    <w:rsid w:val="00064C1C"/>
    <w:rsid w:val="00064C58"/>
    <w:rsid w:val="00065203"/>
    <w:rsid w:val="00065715"/>
    <w:rsid w:val="000666FC"/>
    <w:rsid w:val="00066B34"/>
    <w:rsid w:val="00066EEF"/>
    <w:rsid w:val="000676E9"/>
    <w:rsid w:val="00067855"/>
    <w:rsid w:val="0007012E"/>
    <w:rsid w:val="00070131"/>
    <w:rsid w:val="00071062"/>
    <w:rsid w:val="000714EC"/>
    <w:rsid w:val="000718A5"/>
    <w:rsid w:val="00075B68"/>
    <w:rsid w:val="0007703A"/>
    <w:rsid w:val="00077379"/>
    <w:rsid w:val="000777BB"/>
    <w:rsid w:val="00077CA5"/>
    <w:rsid w:val="00080A06"/>
    <w:rsid w:val="00080A96"/>
    <w:rsid w:val="0008185E"/>
    <w:rsid w:val="00082D96"/>
    <w:rsid w:val="00083C38"/>
    <w:rsid w:val="00083CA1"/>
    <w:rsid w:val="00084594"/>
    <w:rsid w:val="0008477E"/>
    <w:rsid w:val="00084EBC"/>
    <w:rsid w:val="00085AB3"/>
    <w:rsid w:val="00085EFA"/>
    <w:rsid w:val="00085FA2"/>
    <w:rsid w:val="000860FD"/>
    <w:rsid w:val="00087171"/>
    <w:rsid w:val="0009053F"/>
    <w:rsid w:val="00090637"/>
    <w:rsid w:val="0009090F"/>
    <w:rsid w:val="00090A6C"/>
    <w:rsid w:val="00090C44"/>
    <w:rsid w:val="0009147F"/>
    <w:rsid w:val="000924CE"/>
    <w:rsid w:val="000927C4"/>
    <w:rsid w:val="00093416"/>
    <w:rsid w:val="0009346D"/>
    <w:rsid w:val="000945C4"/>
    <w:rsid w:val="000950B5"/>
    <w:rsid w:val="000951BD"/>
    <w:rsid w:val="000952B6"/>
    <w:rsid w:val="0009552B"/>
    <w:rsid w:val="000956B0"/>
    <w:rsid w:val="000968B7"/>
    <w:rsid w:val="0009703D"/>
    <w:rsid w:val="0009775C"/>
    <w:rsid w:val="000A0301"/>
    <w:rsid w:val="000A0314"/>
    <w:rsid w:val="000A2493"/>
    <w:rsid w:val="000A2520"/>
    <w:rsid w:val="000A3720"/>
    <w:rsid w:val="000A4324"/>
    <w:rsid w:val="000A43A5"/>
    <w:rsid w:val="000A6602"/>
    <w:rsid w:val="000A7474"/>
    <w:rsid w:val="000A750A"/>
    <w:rsid w:val="000A7C2C"/>
    <w:rsid w:val="000B0007"/>
    <w:rsid w:val="000B0433"/>
    <w:rsid w:val="000B1279"/>
    <w:rsid w:val="000B15DC"/>
    <w:rsid w:val="000B170D"/>
    <w:rsid w:val="000B18A9"/>
    <w:rsid w:val="000B1F1E"/>
    <w:rsid w:val="000B25A0"/>
    <w:rsid w:val="000B37A3"/>
    <w:rsid w:val="000B3BE2"/>
    <w:rsid w:val="000B3DA0"/>
    <w:rsid w:val="000B3E39"/>
    <w:rsid w:val="000B4365"/>
    <w:rsid w:val="000B4F84"/>
    <w:rsid w:val="000B5705"/>
    <w:rsid w:val="000B772C"/>
    <w:rsid w:val="000B7E81"/>
    <w:rsid w:val="000C0050"/>
    <w:rsid w:val="000C0365"/>
    <w:rsid w:val="000C03BF"/>
    <w:rsid w:val="000C04F8"/>
    <w:rsid w:val="000C08C3"/>
    <w:rsid w:val="000C0A80"/>
    <w:rsid w:val="000C0D44"/>
    <w:rsid w:val="000C0FF0"/>
    <w:rsid w:val="000C11A2"/>
    <w:rsid w:val="000C11DE"/>
    <w:rsid w:val="000C18AA"/>
    <w:rsid w:val="000C1FC5"/>
    <w:rsid w:val="000C61F1"/>
    <w:rsid w:val="000C6344"/>
    <w:rsid w:val="000C6388"/>
    <w:rsid w:val="000C6EAB"/>
    <w:rsid w:val="000C6FB7"/>
    <w:rsid w:val="000C7D04"/>
    <w:rsid w:val="000C7EF4"/>
    <w:rsid w:val="000D0007"/>
    <w:rsid w:val="000D025E"/>
    <w:rsid w:val="000D04D6"/>
    <w:rsid w:val="000D0B55"/>
    <w:rsid w:val="000D0C75"/>
    <w:rsid w:val="000D156B"/>
    <w:rsid w:val="000D163C"/>
    <w:rsid w:val="000D2B19"/>
    <w:rsid w:val="000D2C3F"/>
    <w:rsid w:val="000D2FF5"/>
    <w:rsid w:val="000D3478"/>
    <w:rsid w:val="000D355A"/>
    <w:rsid w:val="000D3A4B"/>
    <w:rsid w:val="000D4565"/>
    <w:rsid w:val="000D46BF"/>
    <w:rsid w:val="000D5153"/>
    <w:rsid w:val="000D605A"/>
    <w:rsid w:val="000D6AAF"/>
    <w:rsid w:val="000D6B46"/>
    <w:rsid w:val="000D6EBD"/>
    <w:rsid w:val="000D79A9"/>
    <w:rsid w:val="000D7BE9"/>
    <w:rsid w:val="000D7D73"/>
    <w:rsid w:val="000E07F3"/>
    <w:rsid w:val="000E1ABE"/>
    <w:rsid w:val="000E1F13"/>
    <w:rsid w:val="000E332F"/>
    <w:rsid w:val="000E545D"/>
    <w:rsid w:val="000E54FD"/>
    <w:rsid w:val="000E5B81"/>
    <w:rsid w:val="000E6116"/>
    <w:rsid w:val="000E7EA9"/>
    <w:rsid w:val="000F01E0"/>
    <w:rsid w:val="000F05EB"/>
    <w:rsid w:val="000F1129"/>
    <w:rsid w:val="000F14DE"/>
    <w:rsid w:val="000F165A"/>
    <w:rsid w:val="000F20F8"/>
    <w:rsid w:val="000F2E61"/>
    <w:rsid w:val="000F4186"/>
    <w:rsid w:val="000F48DA"/>
    <w:rsid w:val="000F596B"/>
    <w:rsid w:val="000F5A60"/>
    <w:rsid w:val="000F5E97"/>
    <w:rsid w:val="000F697F"/>
    <w:rsid w:val="000F6B4A"/>
    <w:rsid w:val="000F7897"/>
    <w:rsid w:val="00100576"/>
    <w:rsid w:val="00100C2E"/>
    <w:rsid w:val="00101859"/>
    <w:rsid w:val="00102363"/>
    <w:rsid w:val="00102A6B"/>
    <w:rsid w:val="00103036"/>
    <w:rsid w:val="00103AA1"/>
    <w:rsid w:val="00103B10"/>
    <w:rsid w:val="001041BF"/>
    <w:rsid w:val="00105122"/>
    <w:rsid w:val="0010597B"/>
    <w:rsid w:val="00105BEC"/>
    <w:rsid w:val="00106873"/>
    <w:rsid w:val="00106E14"/>
    <w:rsid w:val="001070AD"/>
    <w:rsid w:val="0011050C"/>
    <w:rsid w:val="00110636"/>
    <w:rsid w:val="001108F5"/>
    <w:rsid w:val="00111278"/>
    <w:rsid w:val="00111633"/>
    <w:rsid w:val="001117EC"/>
    <w:rsid w:val="001127D3"/>
    <w:rsid w:val="00112E53"/>
    <w:rsid w:val="00113FFA"/>
    <w:rsid w:val="00115618"/>
    <w:rsid w:val="0011599A"/>
    <w:rsid w:val="00115E65"/>
    <w:rsid w:val="0011626C"/>
    <w:rsid w:val="00116ADB"/>
    <w:rsid w:val="001170F1"/>
    <w:rsid w:val="00117F98"/>
    <w:rsid w:val="001206DE"/>
    <w:rsid w:val="001207E5"/>
    <w:rsid w:val="001218B0"/>
    <w:rsid w:val="00121A5A"/>
    <w:rsid w:val="00121FC6"/>
    <w:rsid w:val="00122966"/>
    <w:rsid w:val="00122D08"/>
    <w:rsid w:val="00123103"/>
    <w:rsid w:val="00123240"/>
    <w:rsid w:val="001235F2"/>
    <w:rsid w:val="00124294"/>
    <w:rsid w:val="00124F6E"/>
    <w:rsid w:val="00125FD4"/>
    <w:rsid w:val="00126126"/>
    <w:rsid w:val="00126824"/>
    <w:rsid w:val="00126C95"/>
    <w:rsid w:val="0012702A"/>
    <w:rsid w:val="00127244"/>
    <w:rsid w:val="00130321"/>
    <w:rsid w:val="001308E4"/>
    <w:rsid w:val="00130B12"/>
    <w:rsid w:val="0013109F"/>
    <w:rsid w:val="00131A06"/>
    <w:rsid w:val="00132842"/>
    <w:rsid w:val="00132F48"/>
    <w:rsid w:val="001331E8"/>
    <w:rsid w:val="001342FC"/>
    <w:rsid w:val="0013463E"/>
    <w:rsid w:val="00134EF5"/>
    <w:rsid w:val="001350B0"/>
    <w:rsid w:val="0013528E"/>
    <w:rsid w:val="0013580A"/>
    <w:rsid w:val="00136A84"/>
    <w:rsid w:val="00141AD2"/>
    <w:rsid w:val="00141B35"/>
    <w:rsid w:val="00142616"/>
    <w:rsid w:val="001426A8"/>
    <w:rsid w:val="0014273B"/>
    <w:rsid w:val="00142863"/>
    <w:rsid w:val="00142F3C"/>
    <w:rsid w:val="0014304D"/>
    <w:rsid w:val="0014320F"/>
    <w:rsid w:val="0014356D"/>
    <w:rsid w:val="00143934"/>
    <w:rsid w:val="00143AE5"/>
    <w:rsid w:val="001447BE"/>
    <w:rsid w:val="00144BDB"/>
    <w:rsid w:val="001451FA"/>
    <w:rsid w:val="001452F3"/>
    <w:rsid w:val="001456FD"/>
    <w:rsid w:val="00145CAA"/>
    <w:rsid w:val="00146999"/>
    <w:rsid w:val="00147599"/>
    <w:rsid w:val="0015028A"/>
    <w:rsid w:val="00151128"/>
    <w:rsid w:val="001514D8"/>
    <w:rsid w:val="00151FAC"/>
    <w:rsid w:val="0015261A"/>
    <w:rsid w:val="00152C55"/>
    <w:rsid w:val="00152DB9"/>
    <w:rsid w:val="00153323"/>
    <w:rsid w:val="00154CDB"/>
    <w:rsid w:val="00154EAA"/>
    <w:rsid w:val="00156922"/>
    <w:rsid w:val="00156992"/>
    <w:rsid w:val="00157AB3"/>
    <w:rsid w:val="00157B95"/>
    <w:rsid w:val="001607F0"/>
    <w:rsid w:val="001608C4"/>
    <w:rsid w:val="00160A5D"/>
    <w:rsid w:val="00161C96"/>
    <w:rsid w:val="00161C9B"/>
    <w:rsid w:val="00162410"/>
    <w:rsid w:val="00163CF7"/>
    <w:rsid w:val="00164E7D"/>
    <w:rsid w:val="00165696"/>
    <w:rsid w:val="00165937"/>
    <w:rsid w:val="0016796B"/>
    <w:rsid w:val="001702C8"/>
    <w:rsid w:val="00170583"/>
    <w:rsid w:val="001717AD"/>
    <w:rsid w:val="0017269B"/>
    <w:rsid w:val="00172CC2"/>
    <w:rsid w:val="0017504E"/>
    <w:rsid w:val="00175053"/>
    <w:rsid w:val="0017517A"/>
    <w:rsid w:val="0017576B"/>
    <w:rsid w:val="00175D54"/>
    <w:rsid w:val="00175FFC"/>
    <w:rsid w:val="00176C2C"/>
    <w:rsid w:val="001801CA"/>
    <w:rsid w:val="0018145A"/>
    <w:rsid w:val="00182561"/>
    <w:rsid w:val="00182674"/>
    <w:rsid w:val="00183914"/>
    <w:rsid w:val="00183A9C"/>
    <w:rsid w:val="00185CBD"/>
    <w:rsid w:val="001861B5"/>
    <w:rsid w:val="00186506"/>
    <w:rsid w:val="00186CA9"/>
    <w:rsid w:val="001872ED"/>
    <w:rsid w:val="001918D5"/>
    <w:rsid w:val="00191F44"/>
    <w:rsid w:val="00192124"/>
    <w:rsid w:val="00192253"/>
    <w:rsid w:val="0019283D"/>
    <w:rsid w:val="00192C48"/>
    <w:rsid w:val="00193D42"/>
    <w:rsid w:val="00193F1F"/>
    <w:rsid w:val="00194F61"/>
    <w:rsid w:val="00195372"/>
    <w:rsid w:val="0019637A"/>
    <w:rsid w:val="00196AB8"/>
    <w:rsid w:val="001A01B8"/>
    <w:rsid w:val="001A080C"/>
    <w:rsid w:val="001A0DD5"/>
    <w:rsid w:val="001A1296"/>
    <w:rsid w:val="001A22D7"/>
    <w:rsid w:val="001A3676"/>
    <w:rsid w:val="001A38A1"/>
    <w:rsid w:val="001A3F72"/>
    <w:rsid w:val="001A41D4"/>
    <w:rsid w:val="001A41E3"/>
    <w:rsid w:val="001A426B"/>
    <w:rsid w:val="001A48B8"/>
    <w:rsid w:val="001A49EE"/>
    <w:rsid w:val="001A504B"/>
    <w:rsid w:val="001A51CE"/>
    <w:rsid w:val="001A5374"/>
    <w:rsid w:val="001A5683"/>
    <w:rsid w:val="001A6290"/>
    <w:rsid w:val="001B1A04"/>
    <w:rsid w:val="001B1ECF"/>
    <w:rsid w:val="001B2572"/>
    <w:rsid w:val="001B3645"/>
    <w:rsid w:val="001B3D5D"/>
    <w:rsid w:val="001B6988"/>
    <w:rsid w:val="001B6C27"/>
    <w:rsid w:val="001B6E9D"/>
    <w:rsid w:val="001C063D"/>
    <w:rsid w:val="001C144F"/>
    <w:rsid w:val="001C1746"/>
    <w:rsid w:val="001C28D2"/>
    <w:rsid w:val="001C29F9"/>
    <w:rsid w:val="001C2AE1"/>
    <w:rsid w:val="001C32FC"/>
    <w:rsid w:val="001C38AF"/>
    <w:rsid w:val="001C41AE"/>
    <w:rsid w:val="001C5744"/>
    <w:rsid w:val="001C5C5E"/>
    <w:rsid w:val="001C5CDF"/>
    <w:rsid w:val="001C5F65"/>
    <w:rsid w:val="001C67B6"/>
    <w:rsid w:val="001C6927"/>
    <w:rsid w:val="001C78D6"/>
    <w:rsid w:val="001C79E0"/>
    <w:rsid w:val="001D00DC"/>
    <w:rsid w:val="001D04ED"/>
    <w:rsid w:val="001D089A"/>
    <w:rsid w:val="001D0A58"/>
    <w:rsid w:val="001D0ECC"/>
    <w:rsid w:val="001D113F"/>
    <w:rsid w:val="001D2E65"/>
    <w:rsid w:val="001D4296"/>
    <w:rsid w:val="001D5268"/>
    <w:rsid w:val="001D5277"/>
    <w:rsid w:val="001D5894"/>
    <w:rsid w:val="001D58C1"/>
    <w:rsid w:val="001D671A"/>
    <w:rsid w:val="001D6A2D"/>
    <w:rsid w:val="001D7B71"/>
    <w:rsid w:val="001D7BA7"/>
    <w:rsid w:val="001D7C57"/>
    <w:rsid w:val="001E0B73"/>
    <w:rsid w:val="001E10AE"/>
    <w:rsid w:val="001E16E1"/>
    <w:rsid w:val="001E1BE4"/>
    <w:rsid w:val="001E1F31"/>
    <w:rsid w:val="001E2224"/>
    <w:rsid w:val="001E25C4"/>
    <w:rsid w:val="001E2BB4"/>
    <w:rsid w:val="001E355B"/>
    <w:rsid w:val="001E3AD9"/>
    <w:rsid w:val="001E3DE1"/>
    <w:rsid w:val="001E45A4"/>
    <w:rsid w:val="001E5A97"/>
    <w:rsid w:val="001E5D0C"/>
    <w:rsid w:val="001E5EFB"/>
    <w:rsid w:val="001E6595"/>
    <w:rsid w:val="001E728D"/>
    <w:rsid w:val="001E7297"/>
    <w:rsid w:val="001F0B9F"/>
    <w:rsid w:val="001F24FE"/>
    <w:rsid w:val="001F2DEA"/>
    <w:rsid w:val="001F3428"/>
    <w:rsid w:val="001F34A8"/>
    <w:rsid w:val="001F3961"/>
    <w:rsid w:val="001F4632"/>
    <w:rsid w:val="001F5DAF"/>
    <w:rsid w:val="001F637B"/>
    <w:rsid w:val="001F6E3B"/>
    <w:rsid w:val="001F7304"/>
    <w:rsid w:val="001F7386"/>
    <w:rsid w:val="001F7594"/>
    <w:rsid w:val="001F7FF0"/>
    <w:rsid w:val="0020045F"/>
    <w:rsid w:val="002005B9"/>
    <w:rsid w:val="002005E1"/>
    <w:rsid w:val="00200A1D"/>
    <w:rsid w:val="00200A7F"/>
    <w:rsid w:val="00201A81"/>
    <w:rsid w:val="002036A4"/>
    <w:rsid w:val="0020377A"/>
    <w:rsid w:val="0020438A"/>
    <w:rsid w:val="002048AE"/>
    <w:rsid w:val="002048C7"/>
    <w:rsid w:val="00204914"/>
    <w:rsid w:val="00204A87"/>
    <w:rsid w:val="00204E2E"/>
    <w:rsid w:val="00204F2F"/>
    <w:rsid w:val="00205703"/>
    <w:rsid w:val="00205BBB"/>
    <w:rsid w:val="00205C43"/>
    <w:rsid w:val="00205FA4"/>
    <w:rsid w:val="00206433"/>
    <w:rsid w:val="002067AA"/>
    <w:rsid w:val="00206E4D"/>
    <w:rsid w:val="0020728F"/>
    <w:rsid w:val="002073C7"/>
    <w:rsid w:val="00207CFA"/>
    <w:rsid w:val="00210918"/>
    <w:rsid w:val="00211065"/>
    <w:rsid w:val="00211BF1"/>
    <w:rsid w:val="00211F89"/>
    <w:rsid w:val="00212532"/>
    <w:rsid w:val="002133AD"/>
    <w:rsid w:val="002133C2"/>
    <w:rsid w:val="002148BE"/>
    <w:rsid w:val="00214A4B"/>
    <w:rsid w:val="002155CB"/>
    <w:rsid w:val="00215795"/>
    <w:rsid w:val="00215880"/>
    <w:rsid w:val="00215E70"/>
    <w:rsid w:val="0021665A"/>
    <w:rsid w:val="00216911"/>
    <w:rsid w:val="00216F69"/>
    <w:rsid w:val="00220052"/>
    <w:rsid w:val="00220058"/>
    <w:rsid w:val="002202EF"/>
    <w:rsid w:val="00222187"/>
    <w:rsid w:val="0022347E"/>
    <w:rsid w:val="00223563"/>
    <w:rsid w:val="00224408"/>
    <w:rsid w:val="002252B7"/>
    <w:rsid w:val="0022564A"/>
    <w:rsid w:val="0022671C"/>
    <w:rsid w:val="002270B9"/>
    <w:rsid w:val="0022727A"/>
    <w:rsid w:val="00227496"/>
    <w:rsid w:val="0023071D"/>
    <w:rsid w:val="00230A60"/>
    <w:rsid w:val="00231560"/>
    <w:rsid w:val="00231A43"/>
    <w:rsid w:val="002329A1"/>
    <w:rsid w:val="00232A05"/>
    <w:rsid w:val="00232A51"/>
    <w:rsid w:val="00232EB1"/>
    <w:rsid w:val="00232EC3"/>
    <w:rsid w:val="0023335C"/>
    <w:rsid w:val="00234AD3"/>
    <w:rsid w:val="00235250"/>
    <w:rsid w:val="002367DE"/>
    <w:rsid w:val="00236975"/>
    <w:rsid w:val="00240C83"/>
    <w:rsid w:val="00240E5A"/>
    <w:rsid w:val="00241808"/>
    <w:rsid w:val="002423B5"/>
    <w:rsid w:val="00242EF0"/>
    <w:rsid w:val="002437E6"/>
    <w:rsid w:val="002440FE"/>
    <w:rsid w:val="002441D5"/>
    <w:rsid w:val="00245117"/>
    <w:rsid w:val="002474D4"/>
    <w:rsid w:val="00247CA9"/>
    <w:rsid w:val="0025098C"/>
    <w:rsid w:val="00250CDE"/>
    <w:rsid w:val="00251294"/>
    <w:rsid w:val="002514C6"/>
    <w:rsid w:val="00251FE4"/>
    <w:rsid w:val="00252089"/>
    <w:rsid w:val="00252135"/>
    <w:rsid w:val="00252386"/>
    <w:rsid w:val="002525A6"/>
    <w:rsid w:val="00253C1D"/>
    <w:rsid w:val="0025404E"/>
    <w:rsid w:val="00254A47"/>
    <w:rsid w:val="00254CAD"/>
    <w:rsid w:val="002561DD"/>
    <w:rsid w:val="002566A1"/>
    <w:rsid w:val="002566C0"/>
    <w:rsid w:val="00256AA1"/>
    <w:rsid w:val="00256CD3"/>
    <w:rsid w:val="00256F08"/>
    <w:rsid w:val="00257B3A"/>
    <w:rsid w:val="00257D7F"/>
    <w:rsid w:val="00260B04"/>
    <w:rsid w:val="002612C0"/>
    <w:rsid w:val="00261C1A"/>
    <w:rsid w:val="00261EB4"/>
    <w:rsid w:val="00261F66"/>
    <w:rsid w:val="00262C8E"/>
    <w:rsid w:val="00263898"/>
    <w:rsid w:val="00263D66"/>
    <w:rsid w:val="00264076"/>
    <w:rsid w:val="002661AA"/>
    <w:rsid w:val="0026641D"/>
    <w:rsid w:val="00266478"/>
    <w:rsid w:val="00266BE9"/>
    <w:rsid w:val="00266C6A"/>
    <w:rsid w:val="00266D7D"/>
    <w:rsid w:val="0026727A"/>
    <w:rsid w:val="00267C1E"/>
    <w:rsid w:val="00267C71"/>
    <w:rsid w:val="00270A01"/>
    <w:rsid w:val="00271094"/>
    <w:rsid w:val="00271220"/>
    <w:rsid w:val="00271E46"/>
    <w:rsid w:val="002729C3"/>
    <w:rsid w:val="00272C43"/>
    <w:rsid w:val="002732C6"/>
    <w:rsid w:val="00273546"/>
    <w:rsid w:val="002738BF"/>
    <w:rsid w:val="0027588D"/>
    <w:rsid w:val="0027605D"/>
    <w:rsid w:val="0027636B"/>
    <w:rsid w:val="00276370"/>
    <w:rsid w:val="002764EE"/>
    <w:rsid w:val="002766F2"/>
    <w:rsid w:val="00276A48"/>
    <w:rsid w:val="00277468"/>
    <w:rsid w:val="002774B5"/>
    <w:rsid w:val="002779D5"/>
    <w:rsid w:val="00277A95"/>
    <w:rsid w:val="002804C1"/>
    <w:rsid w:val="0028106D"/>
    <w:rsid w:val="00281632"/>
    <w:rsid w:val="002830CD"/>
    <w:rsid w:val="00283345"/>
    <w:rsid w:val="00283B8C"/>
    <w:rsid w:val="002845A7"/>
    <w:rsid w:val="002848C5"/>
    <w:rsid w:val="0028527B"/>
    <w:rsid w:val="00285FAD"/>
    <w:rsid w:val="00285FE5"/>
    <w:rsid w:val="0028619C"/>
    <w:rsid w:val="00286880"/>
    <w:rsid w:val="00286B5B"/>
    <w:rsid w:val="002871C1"/>
    <w:rsid w:val="002872D0"/>
    <w:rsid w:val="002909A0"/>
    <w:rsid w:val="00290B2D"/>
    <w:rsid w:val="002910F3"/>
    <w:rsid w:val="00291817"/>
    <w:rsid w:val="002918EA"/>
    <w:rsid w:val="0029232B"/>
    <w:rsid w:val="00292A6D"/>
    <w:rsid w:val="00293639"/>
    <w:rsid w:val="00293F0C"/>
    <w:rsid w:val="0029463D"/>
    <w:rsid w:val="00294837"/>
    <w:rsid w:val="00296369"/>
    <w:rsid w:val="00296BE7"/>
    <w:rsid w:val="002A1907"/>
    <w:rsid w:val="002A1F3E"/>
    <w:rsid w:val="002A2BB7"/>
    <w:rsid w:val="002A34A1"/>
    <w:rsid w:val="002A3E67"/>
    <w:rsid w:val="002A4ACE"/>
    <w:rsid w:val="002A599C"/>
    <w:rsid w:val="002A5CB7"/>
    <w:rsid w:val="002A5F46"/>
    <w:rsid w:val="002A61D8"/>
    <w:rsid w:val="002A782B"/>
    <w:rsid w:val="002A7EDF"/>
    <w:rsid w:val="002B1342"/>
    <w:rsid w:val="002B2159"/>
    <w:rsid w:val="002B23C3"/>
    <w:rsid w:val="002B2625"/>
    <w:rsid w:val="002B26B4"/>
    <w:rsid w:val="002B2A4D"/>
    <w:rsid w:val="002B307F"/>
    <w:rsid w:val="002B3628"/>
    <w:rsid w:val="002B4081"/>
    <w:rsid w:val="002B40E2"/>
    <w:rsid w:val="002B445E"/>
    <w:rsid w:val="002B46A5"/>
    <w:rsid w:val="002B4F55"/>
    <w:rsid w:val="002B558A"/>
    <w:rsid w:val="002B5BC2"/>
    <w:rsid w:val="002B62B6"/>
    <w:rsid w:val="002B660D"/>
    <w:rsid w:val="002B68A4"/>
    <w:rsid w:val="002B6B45"/>
    <w:rsid w:val="002B6C5A"/>
    <w:rsid w:val="002B6CB2"/>
    <w:rsid w:val="002B6EA3"/>
    <w:rsid w:val="002B726E"/>
    <w:rsid w:val="002B74DF"/>
    <w:rsid w:val="002B7895"/>
    <w:rsid w:val="002C0621"/>
    <w:rsid w:val="002C203A"/>
    <w:rsid w:val="002C2566"/>
    <w:rsid w:val="002C2CAD"/>
    <w:rsid w:val="002C2D16"/>
    <w:rsid w:val="002C3449"/>
    <w:rsid w:val="002C3608"/>
    <w:rsid w:val="002C3DC8"/>
    <w:rsid w:val="002C4531"/>
    <w:rsid w:val="002C504F"/>
    <w:rsid w:val="002C5FDF"/>
    <w:rsid w:val="002C6E11"/>
    <w:rsid w:val="002C6EAA"/>
    <w:rsid w:val="002C79B6"/>
    <w:rsid w:val="002D006D"/>
    <w:rsid w:val="002D0C74"/>
    <w:rsid w:val="002D0E48"/>
    <w:rsid w:val="002D357E"/>
    <w:rsid w:val="002D4CD7"/>
    <w:rsid w:val="002D4ECE"/>
    <w:rsid w:val="002D5064"/>
    <w:rsid w:val="002D5B53"/>
    <w:rsid w:val="002D6107"/>
    <w:rsid w:val="002D7A0B"/>
    <w:rsid w:val="002D7CE6"/>
    <w:rsid w:val="002E1596"/>
    <w:rsid w:val="002E16E2"/>
    <w:rsid w:val="002E1C1A"/>
    <w:rsid w:val="002E373F"/>
    <w:rsid w:val="002E38B3"/>
    <w:rsid w:val="002E3980"/>
    <w:rsid w:val="002E4F21"/>
    <w:rsid w:val="002E524C"/>
    <w:rsid w:val="002E6306"/>
    <w:rsid w:val="002E67ED"/>
    <w:rsid w:val="002E6ABC"/>
    <w:rsid w:val="002E774F"/>
    <w:rsid w:val="002E7BB5"/>
    <w:rsid w:val="002F0227"/>
    <w:rsid w:val="002F02C2"/>
    <w:rsid w:val="002F1C92"/>
    <w:rsid w:val="002F1CB7"/>
    <w:rsid w:val="002F2745"/>
    <w:rsid w:val="002F2990"/>
    <w:rsid w:val="002F2CA9"/>
    <w:rsid w:val="002F36A5"/>
    <w:rsid w:val="002F42C4"/>
    <w:rsid w:val="002F4B4B"/>
    <w:rsid w:val="002F5801"/>
    <w:rsid w:val="002F643E"/>
    <w:rsid w:val="002F6B4F"/>
    <w:rsid w:val="002F701D"/>
    <w:rsid w:val="002F7F16"/>
    <w:rsid w:val="003013D8"/>
    <w:rsid w:val="0030241B"/>
    <w:rsid w:val="00302829"/>
    <w:rsid w:val="00302ECF"/>
    <w:rsid w:val="00303C48"/>
    <w:rsid w:val="00304072"/>
    <w:rsid w:val="0030408C"/>
    <w:rsid w:val="003047E5"/>
    <w:rsid w:val="00304FA2"/>
    <w:rsid w:val="00305CC0"/>
    <w:rsid w:val="003068ED"/>
    <w:rsid w:val="00307725"/>
    <w:rsid w:val="00307CFB"/>
    <w:rsid w:val="003108F4"/>
    <w:rsid w:val="003110D6"/>
    <w:rsid w:val="003112B7"/>
    <w:rsid w:val="003118C1"/>
    <w:rsid w:val="00311BE3"/>
    <w:rsid w:val="00312992"/>
    <w:rsid w:val="00312E39"/>
    <w:rsid w:val="0031442B"/>
    <w:rsid w:val="003147FB"/>
    <w:rsid w:val="003148A5"/>
    <w:rsid w:val="003149B4"/>
    <w:rsid w:val="003149E4"/>
    <w:rsid w:val="00314EE0"/>
    <w:rsid w:val="003158ED"/>
    <w:rsid w:val="00316CBF"/>
    <w:rsid w:val="00317862"/>
    <w:rsid w:val="00320C38"/>
    <w:rsid w:val="00321211"/>
    <w:rsid w:val="003221B8"/>
    <w:rsid w:val="0032424E"/>
    <w:rsid w:val="00324DA9"/>
    <w:rsid w:val="00326513"/>
    <w:rsid w:val="00326614"/>
    <w:rsid w:val="00326D0D"/>
    <w:rsid w:val="00326D13"/>
    <w:rsid w:val="00326D6C"/>
    <w:rsid w:val="0033083D"/>
    <w:rsid w:val="00331A33"/>
    <w:rsid w:val="00333531"/>
    <w:rsid w:val="003338CD"/>
    <w:rsid w:val="003353D8"/>
    <w:rsid w:val="00336A11"/>
    <w:rsid w:val="0033706D"/>
    <w:rsid w:val="0033781A"/>
    <w:rsid w:val="00340452"/>
    <w:rsid w:val="00341408"/>
    <w:rsid w:val="003428E5"/>
    <w:rsid w:val="0034331A"/>
    <w:rsid w:val="0034375E"/>
    <w:rsid w:val="00343EE0"/>
    <w:rsid w:val="003452A5"/>
    <w:rsid w:val="00345636"/>
    <w:rsid w:val="00346027"/>
    <w:rsid w:val="00346495"/>
    <w:rsid w:val="0034681B"/>
    <w:rsid w:val="00346B62"/>
    <w:rsid w:val="00346E63"/>
    <w:rsid w:val="003470FD"/>
    <w:rsid w:val="0035136C"/>
    <w:rsid w:val="00351491"/>
    <w:rsid w:val="003515E9"/>
    <w:rsid w:val="00351A14"/>
    <w:rsid w:val="00352435"/>
    <w:rsid w:val="00353CA8"/>
    <w:rsid w:val="00354258"/>
    <w:rsid w:val="00354DBA"/>
    <w:rsid w:val="00354E6D"/>
    <w:rsid w:val="00356B90"/>
    <w:rsid w:val="00356CC1"/>
    <w:rsid w:val="00357202"/>
    <w:rsid w:val="003615AD"/>
    <w:rsid w:val="00362366"/>
    <w:rsid w:val="00362736"/>
    <w:rsid w:val="00362C66"/>
    <w:rsid w:val="00363A1E"/>
    <w:rsid w:val="00363B22"/>
    <w:rsid w:val="00365594"/>
    <w:rsid w:val="00365F32"/>
    <w:rsid w:val="003661C5"/>
    <w:rsid w:val="00366C40"/>
    <w:rsid w:val="00366DC6"/>
    <w:rsid w:val="00367487"/>
    <w:rsid w:val="00367EC2"/>
    <w:rsid w:val="00370F73"/>
    <w:rsid w:val="003714B4"/>
    <w:rsid w:val="00371A8C"/>
    <w:rsid w:val="00373541"/>
    <w:rsid w:val="00373614"/>
    <w:rsid w:val="0037387E"/>
    <w:rsid w:val="003744BA"/>
    <w:rsid w:val="00374B49"/>
    <w:rsid w:val="00374B95"/>
    <w:rsid w:val="00374C02"/>
    <w:rsid w:val="00375A1B"/>
    <w:rsid w:val="00375B22"/>
    <w:rsid w:val="00376775"/>
    <w:rsid w:val="003768A4"/>
    <w:rsid w:val="003775CA"/>
    <w:rsid w:val="00380680"/>
    <w:rsid w:val="00380AF2"/>
    <w:rsid w:val="00381067"/>
    <w:rsid w:val="0038146A"/>
    <w:rsid w:val="00383460"/>
    <w:rsid w:val="00385539"/>
    <w:rsid w:val="00385B25"/>
    <w:rsid w:val="0038602A"/>
    <w:rsid w:val="00386043"/>
    <w:rsid w:val="00390B15"/>
    <w:rsid w:val="00390B40"/>
    <w:rsid w:val="00391454"/>
    <w:rsid w:val="003914E8"/>
    <w:rsid w:val="00391737"/>
    <w:rsid w:val="00391EED"/>
    <w:rsid w:val="00392812"/>
    <w:rsid w:val="00392CD4"/>
    <w:rsid w:val="00392F32"/>
    <w:rsid w:val="003934DC"/>
    <w:rsid w:val="00393514"/>
    <w:rsid w:val="00394C30"/>
    <w:rsid w:val="00394E16"/>
    <w:rsid w:val="003951C2"/>
    <w:rsid w:val="003952F0"/>
    <w:rsid w:val="00395A75"/>
    <w:rsid w:val="003963D7"/>
    <w:rsid w:val="00396B88"/>
    <w:rsid w:val="0039754C"/>
    <w:rsid w:val="0039760F"/>
    <w:rsid w:val="00397A67"/>
    <w:rsid w:val="00397B63"/>
    <w:rsid w:val="00397F11"/>
    <w:rsid w:val="003A00CB"/>
    <w:rsid w:val="003A0A35"/>
    <w:rsid w:val="003A0EB0"/>
    <w:rsid w:val="003A11F6"/>
    <w:rsid w:val="003A14EB"/>
    <w:rsid w:val="003A1559"/>
    <w:rsid w:val="003A1803"/>
    <w:rsid w:val="003A1C9B"/>
    <w:rsid w:val="003A2293"/>
    <w:rsid w:val="003A22A2"/>
    <w:rsid w:val="003A2486"/>
    <w:rsid w:val="003A2678"/>
    <w:rsid w:val="003A26DC"/>
    <w:rsid w:val="003A287D"/>
    <w:rsid w:val="003A3C20"/>
    <w:rsid w:val="003A3D10"/>
    <w:rsid w:val="003A3D7A"/>
    <w:rsid w:val="003A46C9"/>
    <w:rsid w:val="003A5112"/>
    <w:rsid w:val="003A5237"/>
    <w:rsid w:val="003A5A71"/>
    <w:rsid w:val="003A6B3F"/>
    <w:rsid w:val="003A72D5"/>
    <w:rsid w:val="003B16DC"/>
    <w:rsid w:val="003B648B"/>
    <w:rsid w:val="003B68DD"/>
    <w:rsid w:val="003B6BEA"/>
    <w:rsid w:val="003B6FB0"/>
    <w:rsid w:val="003B7E34"/>
    <w:rsid w:val="003C016A"/>
    <w:rsid w:val="003C1153"/>
    <w:rsid w:val="003C1D00"/>
    <w:rsid w:val="003C343B"/>
    <w:rsid w:val="003C3475"/>
    <w:rsid w:val="003C3D11"/>
    <w:rsid w:val="003C4587"/>
    <w:rsid w:val="003C45C2"/>
    <w:rsid w:val="003C4B58"/>
    <w:rsid w:val="003C5117"/>
    <w:rsid w:val="003C61DC"/>
    <w:rsid w:val="003C65BF"/>
    <w:rsid w:val="003C66CC"/>
    <w:rsid w:val="003C66EE"/>
    <w:rsid w:val="003D07AA"/>
    <w:rsid w:val="003D1258"/>
    <w:rsid w:val="003D12E3"/>
    <w:rsid w:val="003D1D3A"/>
    <w:rsid w:val="003D1EBD"/>
    <w:rsid w:val="003D1EF6"/>
    <w:rsid w:val="003D1FE1"/>
    <w:rsid w:val="003D2742"/>
    <w:rsid w:val="003D3C4F"/>
    <w:rsid w:val="003D3F4B"/>
    <w:rsid w:val="003D4575"/>
    <w:rsid w:val="003D46CB"/>
    <w:rsid w:val="003D4FAA"/>
    <w:rsid w:val="003D568B"/>
    <w:rsid w:val="003D5CB4"/>
    <w:rsid w:val="003D6796"/>
    <w:rsid w:val="003D6D28"/>
    <w:rsid w:val="003E01A9"/>
    <w:rsid w:val="003E059C"/>
    <w:rsid w:val="003E154B"/>
    <w:rsid w:val="003E23C3"/>
    <w:rsid w:val="003E30AC"/>
    <w:rsid w:val="003E3DE4"/>
    <w:rsid w:val="003E4D1D"/>
    <w:rsid w:val="003E537C"/>
    <w:rsid w:val="003E6232"/>
    <w:rsid w:val="003E6233"/>
    <w:rsid w:val="003E6D14"/>
    <w:rsid w:val="003F04D1"/>
    <w:rsid w:val="003F061E"/>
    <w:rsid w:val="003F06D5"/>
    <w:rsid w:val="003F0E5B"/>
    <w:rsid w:val="003F160A"/>
    <w:rsid w:val="003F27CE"/>
    <w:rsid w:val="003F440E"/>
    <w:rsid w:val="003F67B2"/>
    <w:rsid w:val="003F7566"/>
    <w:rsid w:val="003F7596"/>
    <w:rsid w:val="00400D63"/>
    <w:rsid w:val="00400E4A"/>
    <w:rsid w:val="004025E4"/>
    <w:rsid w:val="0040262C"/>
    <w:rsid w:val="00402858"/>
    <w:rsid w:val="00403652"/>
    <w:rsid w:val="004042E6"/>
    <w:rsid w:val="00406689"/>
    <w:rsid w:val="00406E0E"/>
    <w:rsid w:val="00406F8F"/>
    <w:rsid w:val="004075B6"/>
    <w:rsid w:val="00407AA6"/>
    <w:rsid w:val="00407B40"/>
    <w:rsid w:val="00410078"/>
    <w:rsid w:val="004104CD"/>
    <w:rsid w:val="004113E8"/>
    <w:rsid w:val="00411419"/>
    <w:rsid w:val="004119A2"/>
    <w:rsid w:val="00413981"/>
    <w:rsid w:val="00413E11"/>
    <w:rsid w:val="00415E55"/>
    <w:rsid w:val="00415EE0"/>
    <w:rsid w:val="00415F66"/>
    <w:rsid w:val="00416B4B"/>
    <w:rsid w:val="00416FF0"/>
    <w:rsid w:val="004207E7"/>
    <w:rsid w:val="00420B39"/>
    <w:rsid w:val="00420D7B"/>
    <w:rsid w:val="00421436"/>
    <w:rsid w:val="00421581"/>
    <w:rsid w:val="004215D4"/>
    <w:rsid w:val="00421C7E"/>
    <w:rsid w:val="00421CF2"/>
    <w:rsid w:val="00422C7D"/>
    <w:rsid w:val="00423209"/>
    <w:rsid w:val="00423497"/>
    <w:rsid w:val="0042543E"/>
    <w:rsid w:val="0042609D"/>
    <w:rsid w:val="00426339"/>
    <w:rsid w:val="004266D4"/>
    <w:rsid w:val="00426821"/>
    <w:rsid w:val="00427299"/>
    <w:rsid w:val="00431140"/>
    <w:rsid w:val="00431605"/>
    <w:rsid w:val="004317CD"/>
    <w:rsid w:val="0043255D"/>
    <w:rsid w:val="004327A6"/>
    <w:rsid w:val="00432B5E"/>
    <w:rsid w:val="00433831"/>
    <w:rsid w:val="004346E2"/>
    <w:rsid w:val="0043472C"/>
    <w:rsid w:val="00434C69"/>
    <w:rsid w:val="0043569C"/>
    <w:rsid w:val="00435B54"/>
    <w:rsid w:val="00436242"/>
    <w:rsid w:val="00437954"/>
    <w:rsid w:val="0043796A"/>
    <w:rsid w:val="00437C43"/>
    <w:rsid w:val="00440557"/>
    <w:rsid w:val="004407D9"/>
    <w:rsid w:val="00441081"/>
    <w:rsid w:val="0044189B"/>
    <w:rsid w:val="00443393"/>
    <w:rsid w:val="00443D91"/>
    <w:rsid w:val="00444BD7"/>
    <w:rsid w:val="004469E4"/>
    <w:rsid w:val="00446BB3"/>
    <w:rsid w:val="00446BE4"/>
    <w:rsid w:val="0044745A"/>
    <w:rsid w:val="00447460"/>
    <w:rsid w:val="00450181"/>
    <w:rsid w:val="0045042B"/>
    <w:rsid w:val="004506D4"/>
    <w:rsid w:val="00450933"/>
    <w:rsid w:val="004509C4"/>
    <w:rsid w:val="0045139A"/>
    <w:rsid w:val="00451626"/>
    <w:rsid w:val="00451E56"/>
    <w:rsid w:val="00452ED2"/>
    <w:rsid w:val="00452ED7"/>
    <w:rsid w:val="00453F2A"/>
    <w:rsid w:val="00454672"/>
    <w:rsid w:val="00454EF9"/>
    <w:rsid w:val="004559B6"/>
    <w:rsid w:val="00456C63"/>
    <w:rsid w:val="00456EBA"/>
    <w:rsid w:val="0045719E"/>
    <w:rsid w:val="00457423"/>
    <w:rsid w:val="00457A1F"/>
    <w:rsid w:val="004603DC"/>
    <w:rsid w:val="004614B1"/>
    <w:rsid w:val="00461FE8"/>
    <w:rsid w:val="0046282B"/>
    <w:rsid w:val="00463416"/>
    <w:rsid w:val="004635B0"/>
    <w:rsid w:val="00463B9F"/>
    <w:rsid w:val="00467BB2"/>
    <w:rsid w:val="00467CDE"/>
    <w:rsid w:val="0047130D"/>
    <w:rsid w:val="00471E6D"/>
    <w:rsid w:val="0047205B"/>
    <w:rsid w:val="004728E1"/>
    <w:rsid w:val="00473BDB"/>
    <w:rsid w:val="00475151"/>
    <w:rsid w:val="00475CE0"/>
    <w:rsid w:val="00476030"/>
    <w:rsid w:val="00476096"/>
    <w:rsid w:val="00476C28"/>
    <w:rsid w:val="004773ED"/>
    <w:rsid w:val="004800AD"/>
    <w:rsid w:val="00480D65"/>
    <w:rsid w:val="00480D9D"/>
    <w:rsid w:val="00480F4F"/>
    <w:rsid w:val="004812D5"/>
    <w:rsid w:val="004819BA"/>
    <w:rsid w:val="00481E9F"/>
    <w:rsid w:val="004825D0"/>
    <w:rsid w:val="0048264F"/>
    <w:rsid w:val="00483918"/>
    <w:rsid w:val="00485177"/>
    <w:rsid w:val="004865F7"/>
    <w:rsid w:val="00486A7E"/>
    <w:rsid w:val="00486F8F"/>
    <w:rsid w:val="0049011F"/>
    <w:rsid w:val="00490673"/>
    <w:rsid w:val="004907DD"/>
    <w:rsid w:val="00490F0A"/>
    <w:rsid w:val="004912A6"/>
    <w:rsid w:val="00491C36"/>
    <w:rsid w:val="00493313"/>
    <w:rsid w:val="004961A9"/>
    <w:rsid w:val="00496343"/>
    <w:rsid w:val="00496A04"/>
    <w:rsid w:val="00497040"/>
    <w:rsid w:val="00497A70"/>
    <w:rsid w:val="00497AA2"/>
    <w:rsid w:val="00497AE1"/>
    <w:rsid w:val="004A0428"/>
    <w:rsid w:val="004A0B2B"/>
    <w:rsid w:val="004A0D2A"/>
    <w:rsid w:val="004A1B0D"/>
    <w:rsid w:val="004A1EFD"/>
    <w:rsid w:val="004A2156"/>
    <w:rsid w:val="004A285F"/>
    <w:rsid w:val="004A48BD"/>
    <w:rsid w:val="004A49BE"/>
    <w:rsid w:val="004A55D8"/>
    <w:rsid w:val="004A5B51"/>
    <w:rsid w:val="004A61D0"/>
    <w:rsid w:val="004A66D2"/>
    <w:rsid w:val="004A6E3C"/>
    <w:rsid w:val="004A7132"/>
    <w:rsid w:val="004A7303"/>
    <w:rsid w:val="004A7C9C"/>
    <w:rsid w:val="004B063E"/>
    <w:rsid w:val="004B14CD"/>
    <w:rsid w:val="004B14E3"/>
    <w:rsid w:val="004B243A"/>
    <w:rsid w:val="004B26B0"/>
    <w:rsid w:val="004B26CE"/>
    <w:rsid w:val="004B279A"/>
    <w:rsid w:val="004B39D0"/>
    <w:rsid w:val="004B3CCB"/>
    <w:rsid w:val="004B454B"/>
    <w:rsid w:val="004B5294"/>
    <w:rsid w:val="004B5738"/>
    <w:rsid w:val="004B64D2"/>
    <w:rsid w:val="004B6FC5"/>
    <w:rsid w:val="004B76C2"/>
    <w:rsid w:val="004B79D3"/>
    <w:rsid w:val="004C04AC"/>
    <w:rsid w:val="004C1652"/>
    <w:rsid w:val="004C293D"/>
    <w:rsid w:val="004C2C70"/>
    <w:rsid w:val="004C3277"/>
    <w:rsid w:val="004C3906"/>
    <w:rsid w:val="004C404C"/>
    <w:rsid w:val="004C425C"/>
    <w:rsid w:val="004C4368"/>
    <w:rsid w:val="004C53EC"/>
    <w:rsid w:val="004C5659"/>
    <w:rsid w:val="004C697B"/>
    <w:rsid w:val="004C6AFE"/>
    <w:rsid w:val="004C6BE4"/>
    <w:rsid w:val="004C6C20"/>
    <w:rsid w:val="004C71A2"/>
    <w:rsid w:val="004D01B0"/>
    <w:rsid w:val="004D059A"/>
    <w:rsid w:val="004D0C00"/>
    <w:rsid w:val="004D108E"/>
    <w:rsid w:val="004D1BEB"/>
    <w:rsid w:val="004D22FC"/>
    <w:rsid w:val="004D26FF"/>
    <w:rsid w:val="004D2770"/>
    <w:rsid w:val="004D2CC3"/>
    <w:rsid w:val="004D4B90"/>
    <w:rsid w:val="004D53C3"/>
    <w:rsid w:val="004D5471"/>
    <w:rsid w:val="004D655F"/>
    <w:rsid w:val="004D7A7B"/>
    <w:rsid w:val="004E2C26"/>
    <w:rsid w:val="004E35AF"/>
    <w:rsid w:val="004E40E7"/>
    <w:rsid w:val="004E412B"/>
    <w:rsid w:val="004E4238"/>
    <w:rsid w:val="004E43BF"/>
    <w:rsid w:val="004E465D"/>
    <w:rsid w:val="004E484D"/>
    <w:rsid w:val="004E5617"/>
    <w:rsid w:val="004E610C"/>
    <w:rsid w:val="004E6B6A"/>
    <w:rsid w:val="004E6F70"/>
    <w:rsid w:val="004E78DD"/>
    <w:rsid w:val="004F0945"/>
    <w:rsid w:val="004F0978"/>
    <w:rsid w:val="004F0C76"/>
    <w:rsid w:val="004F191E"/>
    <w:rsid w:val="004F1B66"/>
    <w:rsid w:val="004F1D60"/>
    <w:rsid w:val="004F2089"/>
    <w:rsid w:val="004F239B"/>
    <w:rsid w:val="004F301A"/>
    <w:rsid w:val="004F3B06"/>
    <w:rsid w:val="004F497C"/>
    <w:rsid w:val="004F4A78"/>
    <w:rsid w:val="004F4E44"/>
    <w:rsid w:val="004F5579"/>
    <w:rsid w:val="004F55B9"/>
    <w:rsid w:val="004F5F21"/>
    <w:rsid w:val="00500F5C"/>
    <w:rsid w:val="00501DF0"/>
    <w:rsid w:val="00501EC4"/>
    <w:rsid w:val="005027EF"/>
    <w:rsid w:val="00503D79"/>
    <w:rsid w:val="00503E10"/>
    <w:rsid w:val="00504107"/>
    <w:rsid w:val="00504158"/>
    <w:rsid w:val="0050530F"/>
    <w:rsid w:val="0050571D"/>
    <w:rsid w:val="00506F13"/>
    <w:rsid w:val="005071A7"/>
    <w:rsid w:val="00507308"/>
    <w:rsid w:val="0050773D"/>
    <w:rsid w:val="00507AE8"/>
    <w:rsid w:val="005101E4"/>
    <w:rsid w:val="0051035C"/>
    <w:rsid w:val="0051076B"/>
    <w:rsid w:val="005107AA"/>
    <w:rsid w:val="005118A0"/>
    <w:rsid w:val="005119EF"/>
    <w:rsid w:val="0051203B"/>
    <w:rsid w:val="005124AA"/>
    <w:rsid w:val="00513AC8"/>
    <w:rsid w:val="005141AC"/>
    <w:rsid w:val="00514423"/>
    <w:rsid w:val="005145F2"/>
    <w:rsid w:val="00514AEE"/>
    <w:rsid w:val="00515C0D"/>
    <w:rsid w:val="00515E9A"/>
    <w:rsid w:val="005163F3"/>
    <w:rsid w:val="0051742B"/>
    <w:rsid w:val="00517748"/>
    <w:rsid w:val="00520233"/>
    <w:rsid w:val="00520CE1"/>
    <w:rsid w:val="00521DF6"/>
    <w:rsid w:val="005228A4"/>
    <w:rsid w:val="00522A75"/>
    <w:rsid w:val="00522AC5"/>
    <w:rsid w:val="00523197"/>
    <w:rsid w:val="00524CA6"/>
    <w:rsid w:val="00525088"/>
    <w:rsid w:val="005257C6"/>
    <w:rsid w:val="00525805"/>
    <w:rsid w:val="005258B0"/>
    <w:rsid w:val="005260AF"/>
    <w:rsid w:val="005278D1"/>
    <w:rsid w:val="005308BF"/>
    <w:rsid w:val="0053102E"/>
    <w:rsid w:val="00532272"/>
    <w:rsid w:val="00532DA0"/>
    <w:rsid w:val="00533184"/>
    <w:rsid w:val="005344C2"/>
    <w:rsid w:val="00534A8A"/>
    <w:rsid w:val="00534D5E"/>
    <w:rsid w:val="00535173"/>
    <w:rsid w:val="005368D3"/>
    <w:rsid w:val="005370DC"/>
    <w:rsid w:val="0054013B"/>
    <w:rsid w:val="00540D4C"/>
    <w:rsid w:val="00541AC4"/>
    <w:rsid w:val="00543C29"/>
    <w:rsid w:val="00543E28"/>
    <w:rsid w:val="005442E7"/>
    <w:rsid w:val="005444F7"/>
    <w:rsid w:val="00545C8B"/>
    <w:rsid w:val="00545F2B"/>
    <w:rsid w:val="005465CF"/>
    <w:rsid w:val="005467B6"/>
    <w:rsid w:val="00547853"/>
    <w:rsid w:val="00547B54"/>
    <w:rsid w:val="00550B2D"/>
    <w:rsid w:val="005515CC"/>
    <w:rsid w:val="00552E51"/>
    <w:rsid w:val="005540F8"/>
    <w:rsid w:val="005549AD"/>
    <w:rsid w:val="00554CB4"/>
    <w:rsid w:val="005557D0"/>
    <w:rsid w:val="005560EA"/>
    <w:rsid w:val="00556159"/>
    <w:rsid w:val="005561B3"/>
    <w:rsid w:val="00556E7B"/>
    <w:rsid w:val="005572BB"/>
    <w:rsid w:val="00557AB8"/>
    <w:rsid w:val="00557B53"/>
    <w:rsid w:val="00560CFC"/>
    <w:rsid w:val="005615A5"/>
    <w:rsid w:val="005615DF"/>
    <w:rsid w:val="0056183A"/>
    <w:rsid w:val="00562CAE"/>
    <w:rsid w:val="00563DE4"/>
    <w:rsid w:val="00563EB1"/>
    <w:rsid w:val="0056405C"/>
    <w:rsid w:val="005648C6"/>
    <w:rsid w:val="0056494C"/>
    <w:rsid w:val="00564F61"/>
    <w:rsid w:val="005650BD"/>
    <w:rsid w:val="005650EE"/>
    <w:rsid w:val="005657E6"/>
    <w:rsid w:val="0056709D"/>
    <w:rsid w:val="005708C8"/>
    <w:rsid w:val="005709F7"/>
    <w:rsid w:val="00570AC9"/>
    <w:rsid w:val="00570AFA"/>
    <w:rsid w:val="00570DE3"/>
    <w:rsid w:val="00571A28"/>
    <w:rsid w:val="00571B24"/>
    <w:rsid w:val="00571DE6"/>
    <w:rsid w:val="00571E16"/>
    <w:rsid w:val="005721DA"/>
    <w:rsid w:val="00572361"/>
    <w:rsid w:val="00573676"/>
    <w:rsid w:val="005736AA"/>
    <w:rsid w:val="00574175"/>
    <w:rsid w:val="0057453C"/>
    <w:rsid w:val="005748D5"/>
    <w:rsid w:val="00574B5B"/>
    <w:rsid w:val="00574CC4"/>
    <w:rsid w:val="00574E81"/>
    <w:rsid w:val="0057504E"/>
    <w:rsid w:val="00575987"/>
    <w:rsid w:val="00575A27"/>
    <w:rsid w:val="00575CB8"/>
    <w:rsid w:val="0057634E"/>
    <w:rsid w:val="005773E2"/>
    <w:rsid w:val="00577428"/>
    <w:rsid w:val="005774E4"/>
    <w:rsid w:val="00577630"/>
    <w:rsid w:val="00577A93"/>
    <w:rsid w:val="00577ACB"/>
    <w:rsid w:val="00577D72"/>
    <w:rsid w:val="00580821"/>
    <w:rsid w:val="005812E2"/>
    <w:rsid w:val="005813AB"/>
    <w:rsid w:val="00581455"/>
    <w:rsid w:val="00581E7E"/>
    <w:rsid w:val="00581EDE"/>
    <w:rsid w:val="00582FD6"/>
    <w:rsid w:val="00583514"/>
    <w:rsid w:val="00583645"/>
    <w:rsid w:val="0058442B"/>
    <w:rsid w:val="00584C03"/>
    <w:rsid w:val="005860C9"/>
    <w:rsid w:val="00586812"/>
    <w:rsid w:val="00586A2E"/>
    <w:rsid w:val="00586D85"/>
    <w:rsid w:val="00587608"/>
    <w:rsid w:val="005876DC"/>
    <w:rsid w:val="005876FF"/>
    <w:rsid w:val="005878BA"/>
    <w:rsid w:val="00587B25"/>
    <w:rsid w:val="00590B21"/>
    <w:rsid w:val="00591CA7"/>
    <w:rsid w:val="005922E5"/>
    <w:rsid w:val="005926C7"/>
    <w:rsid w:val="00592775"/>
    <w:rsid w:val="00592945"/>
    <w:rsid w:val="005933AB"/>
    <w:rsid w:val="00593C02"/>
    <w:rsid w:val="00594358"/>
    <w:rsid w:val="005943CE"/>
    <w:rsid w:val="0059482F"/>
    <w:rsid w:val="00595FE6"/>
    <w:rsid w:val="005961E5"/>
    <w:rsid w:val="00596F9E"/>
    <w:rsid w:val="005A01B3"/>
    <w:rsid w:val="005A0BD2"/>
    <w:rsid w:val="005A11B2"/>
    <w:rsid w:val="005A1B9D"/>
    <w:rsid w:val="005A1F1D"/>
    <w:rsid w:val="005A2554"/>
    <w:rsid w:val="005A30F5"/>
    <w:rsid w:val="005A3D53"/>
    <w:rsid w:val="005A3D90"/>
    <w:rsid w:val="005A423A"/>
    <w:rsid w:val="005A658D"/>
    <w:rsid w:val="005A79EC"/>
    <w:rsid w:val="005B031E"/>
    <w:rsid w:val="005B089D"/>
    <w:rsid w:val="005B093C"/>
    <w:rsid w:val="005B1212"/>
    <w:rsid w:val="005B1349"/>
    <w:rsid w:val="005B1477"/>
    <w:rsid w:val="005B172D"/>
    <w:rsid w:val="005B1B63"/>
    <w:rsid w:val="005B29B7"/>
    <w:rsid w:val="005B29DE"/>
    <w:rsid w:val="005B3CDE"/>
    <w:rsid w:val="005B3F63"/>
    <w:rsid w:val="005B5BD8"/>
    <w:rsid w:val="005B613C"/>
    <w:rsid w:val="005B6909"/>
    <w:rsid w:val="005B7447"/>
    <w:rsid w:val="005C0047"/>
    <w:rsid w:val="005C050F"/>
    <w:rsid w:val="005C16E2"/>
    <w:rsid w:val="005C1C75"/>
    <w:rsid w:val="005C200F"/>
    <w:rsid w:val="005C2062"/>
    <w:rsid w:val="005C2A17"/>
    <w:rsid w:val="005C2B59"/>
    <w:rsid w:val="005C2FE1"/>
    <w:rsid w:val="005C3014"/>
    <w:rsid w:val="005C3798"/>
    <w:rsid w:val="005C39DA"/>
    <w:rsid w:val="005C44FE"/>
    <w:rsid w:val="005C6268"/>
    <w:rsid w:val="005C65AC"/>
    <w:rsid w:val="005C6D02"/>
    <w:rsid w:val="005C78DF"/>
    <w:rsid w:val="005D2041"/>
    <w:rsid w:val="005D2390"/>
    <w:rsid w:val="005D3CE8"/>
    <w:rsid w:val="005D452F"/>
    <w:rsid w:val="005D4FA5"/>
    <w:rsid w:val="005D5272"/>
    <w:rsid w:val="005D5613"/>
    <w:rsid w:val="005D58E6"/>
    <w:rsid w:val="005D648E"/>
    <w:rsid w:val="005D68F8"/>
    <w:rsid w:val="005D799C"/>
    <w:rsid w:val="005D7B52"/>
    <w:rsid w:val="005D7BE3"/>
    <w:rsid w:val="005D7E20"/>
    <w:rsid w:val="005D7F11"/>
    <w:rsid w:val="005E0950"/>
    <w:rsid w:val="005E0AD4"/>
    <w:rsid w:val="005E1419"/>
    <w:rsid w:val="005E15C5"/>
    <w:rsid w:val="005E27E3"/>
    <w:rsid w:val="005E406C"/>
    <w:rsid w:val="005E4109"/>
    <w:rsid w:val="005E4303"/>
    <w:rsid w:val="005E47A5"/>
    <w:rsid w:val="005E47C2"/>
    <w:rsid w:val="005E580F"/>
    <w:rsid w:val="005E65B8"/>
    <w:rsid w:val="005E661D"/>
    <w:rsid w:val="005E67C5"/>
    <w:rsid w:val="005E6A85"/>
    <w:rsid w:val="005F03E6"/>
    <w:rsid w:val="005F0FDE"/>
    <w:rsid w:val="005F1684"/>
    <w:rsid w:val="005F1B77"/>
    <w:rsid w:val="005F27D7"/>
    <w:rsid w:val="005F3A3B"/>
    <w:rsid w:val="005F3B28"/>
    <w:rsid w:val="005F611B"/>
    <w:rsid w:val="005F6687"/>
    <w:rsid w:val="005F69EA"/>
    <w:rsid w:val="005F732A"/>
    <w:rsid w:val="005F7879"/>
    <w:rsid w:val="005F7DE5"/>
    <w:rsid w:val="00600222"/>
    <w:rsid w:val="00600B4A"/>
    <w:rsid w:val="00601283"/>
    <w:rsid w:val="00601679"/>
    <w:rsid w:val="00601B55"/>
    <w:rsid w:val="00602018"/>
    <w:rsid w:val="00602127"/>
    <w:rsid w:val="00603C38"/>
    <w:rsid w:val="00604740"/>
    <w:rsid w:val="00604C1B"/>
    <w:rsid w:val="00605809"/>
    <w:rsid w:val="00605DAA"/>
    <w:rsid w:val="00606B1D"/>
    <w:rsid w:val="00606FB0"/>
    <w:rsid w:val="00607421"/>
    <w:rsid w:val="00607BC9"/>
    <w:rsid w:val="006108D1"/>
    <w:rsid w:val="00611E7C"/>
    <w:rsid w:val="00613DEE"/>
    <w:rsid w:val="00613F47"/>
    <w:rsid w:val="006142E4"/>
    <w:rsid w:val="006148F9"/>
    <w:rsid w:val="00614926"/>
    <w:rsid w:val="00614D3E"/>
    <w:rsid w:val="00615615"/>
    <w:rsid w:val="00615A43"/>
    <w:rsid w:val="00616AAA"/>
    <w:rsid w:val="0061705E"/>
    <w:rsid w:val="006170FA"/>
    <w:rsid w:val="006178BE"/>
    <w:rsid w:val="006207E8"/>
    <w:rsid w:val="0062097C"/>
    <w:rsid w:val="00620CCA"/>
    <w:rsid w:val="00621191"/>
    <w:rsid w:val="00622699"/>
    <w:rsid w:val="00623815"/>
    <w:rsid w:val="00623DC6"/>
    <w:rsid w:val="0062424C"/>
    <w:rsid w:val="006242CC"/>
    <w:rsid w:val="00624B1D"/>
    <w:rsid w:val="00625F35"/>
    <w:rsid w:val="00626481"/>
    <w:rsid w:val="006265CD"/>
    <w:rsid w:val="00627126"/>
    <w:rsid w:val="00627DEC"/>
    <w:rsid w:val="00630AEB"/>
    <w:rsid w:val="00630D22"/>
    <w:rsid w:val="00631C99"/>
    <w:rsid w:val="00632318"/>
    <w:rsid w:val="006334F5"/>
    <w:rsid w:val="00635159"/>
    <w:rsid w:val="0063622C"/>
    <w:rsid w:val="00637081"/>
    <w:rsid w:val="006374F9"/>
    <w:rsid w:val="006378C4"/>
    <w:rsid w:val="00637B8A"/>
    <w:rsid w:val="00637D86"/>
    <w:rsid w:val="00640162"/>
    <w:rsid w:val="00641AA4"/>
    <w:rsid w:val="00641F61"/>
    <w:rsid w:val="00642FAE"/>
    <w:rsid w:val="006437FF"/>
    <w:rsid w:val="006443CC"/>
    <w:rsid w:val="00644751"/>
    <w:rsid w:val="0064509E"/>
    <w:rsid w:val="006454CC"/>
    <w:rsid w:val="00645AF6"/>
    <w:rsid w:val="006477AF"/>
    <w:rsid w:val="00647E46"/>
    <w:rsid w:val="00650B3E"/>
    <w:rsid w:val="00650CE8"/>
    <w:rsid w:val="00651039"/>
    <w:rsid w:val="006510B1"/>
    <w:rsid w:val="00651A01"/>
    <w:rsid w:val="00651BE3"/>
    <w:rsid w:val="0065339C"/>
    <w:rsid w:val="00653A0C"/>
    <w:rsid w:val="00653E3D"/>
    <w:rsid w:val="006541CF"/>
    <w:rsid w:val="00654336"/>
    <w:rsid w:val="00654B41"/>
    <w:rsid w:val="00656A07"/>
    <w:rsid w:val="00657250"/>
    <w:rsid w:val="00657376"/>
    <w:rsid w:val="006600E5"/>
    <w:rsid w:val="006603E6"/>
    <w:rsid w:val="006610AD"/>
    <w:rsid w:val="00661794"/>
    <w:rsid w:val="00661D38"/>
    <w:rsid w:val="00662059"/>
    <w:rsid w:val="00662143"/>
    <w:rsid w:val="00662755"/>
    <w:rsid w:val="00662DA7"/>
    <w:rsid w:val="0066499D"/>
    <w:rsid w:val="00664A2D"/>
    <w:rsid w:val="00664AC2"/>
    <w:rsid w:val="00665941"/>
    <w:rsid w:val="00666727"/>
    <w:rsid w:val="00666DBA"/>
    <w:rsid w:val="006672E6"/>
    <w:rsid w:val="00667936"/>
    <w:rsid w:val="00670370"/>
    <w:rsid w:val="006703BE"/>
    <w:rsid w:val="00670BC7"/>
    <w:rsid w:val="00670D1A"/>
    <w:rsid w:val="00671295"/>
    <w:rsid w:val="00673CD2"/>
    <w:rsid w:val="00675704"/>
    <w:rsid w:val="00676629"/>
    <w:rsid w:val="006766FA"/>
    <w:rsid w:val="00676C04"/>
    <w:rsid w:val="0067757A"/>
    <w:rsid w:val="00677AEA"/>
    <w:rsid w:val="0068080D"/>
    <w:rsid w:val="006815B2"/>
    <w:rsid w:val="00681C1C"/>
    <w:rsid w:val="0068251B"/>
    <w:rsid w:val="00682D64"/>
    <w:rsid w:val="00682F6C"/>
    <w:rsid w:val="006832B5"/>
    <w:rsid w:val="006836D7"/>
    <w:rsid w:val="006846B4"/>
    <w:rsid w:val="006852F5"/>
    <w:rsid w:val="00685368"/>
    <w:rsid w:val="006867D0"/>
    <w:rsid w:val="00686983"/>
    <w:rsid w:val="00686EF9"/>
    <w:rsid w:val="006906E2"/>
    <w:rsid w:val="00690A75"/>
    <w:rsid w:val="00690EA6"/>
    <w:rsid w:val="00691989"/>
    <w:rsid w:val="006939C7"/>
    <w:rsid w:val="0069550A"/>
    <w:rsid w:val="006963D2"/>
    <w:rsid w:val="00697A6F"/>
    <w:rsid w:val="006A06FE"/>
    <w:rsid w:val="006A19F2"/>
    <w:rsid w:val="006A1D1B"/>
    <w:rsid w:val="006A2373"/>
    <w:rsid w:val="006A2967"/>
    <w:rsid w:val="006A2F2D"/>
    <w:rsid w:val="006A33CC"/>
    <w:rsid w:val="006A3C81"/>
    <w:rsid w:val="006A5B05"/>
    <w:rsid w:val="006A5DAA"/>
    <w:rsid w:val="006A6456"/>
    <w:rsid w:val="006A64EF"/>
    <w:rsid w:val="006A737F"/>
    <w:rsid w:val="006A7596"/>
    <w:rsid w:val="006B01BB"/>
    <w:rsid w:val="006B0670"/>
    <w:rsid w:val="006B08A2"/>
    <w:rsid w:val="006B08A6"/>
    <w:rsid w:val="006B0C62"/>
    <w:rsid w:val="006B142D"/>
    <w:rsid w:val="006B2EC6"/>
    <w:rsid w:val="006B346B"/>
    <w:rsid w:val="006B357E"/>
    <w:rsid w:val="006B37BB"/>
    <w:rsid w:val="006B55DD"/>
    <w:rsid w:val="006B668C"/>
    <w:rsid w:val="006B66BD"/>
    <w:rsid w:val="006B6C4A"/>
    <w:rsid w:val="006B7C5C"/>
    <w:rsid w:val="006C0C99"/>
    <w:rsid w:val="006C186D"/>
    <w:rsid w:val="006C1C9D"/>
    <w:rsid w:val="006C1EE5"/>
    <w:rsid w:val="006C2009"/>
    <w:rsid w:val="006C21DA"/>
    <w:rsid w:val="006C22AE"/>
    <w:rsid w:val="006C2CEB"/>
    <w:rsid w:val="006C2D50"/>
    <w:rsid w:val="006C3CD4"/>
    <w:rsid w:val="006C41F4"/>
    <w:rsid w:val="006C4963"/>
    <w:rsid w:val="006C49C5"/>
    <w:rsid w:val="006C5169"/>
    <w:rsid w:val="006C5A57"/>
    <w:rsid w:val="006C5B2B"/>
    <w:rsid w:val="006C5C51"/>
    <w:rsid w:val="006C61AE"/>
    <w:rsid w:val="006C691D"/>
    <w:rsid w:val="006C7077"/>
    <w:rsid w:val="006C7814"/>
    <w:rsid w:val="006C796F"/>
    <w:rsid w:val="006C7D1B"/>
    <w:rsid w:val="006D09CA"/>
    <w:rsid w:val="006D0FD1"/>
    <w:rsid w:val="006D1EE6"/>
    <w:rsid w:val="006D258A"/>
    <w:rsid w:val="006D503F"/>
    <w:rsid w:val="006D655C"/>
    <w:rsid w:val="006D6792"/>
    <w:rsid w:val="006D6B14"/>
    <w:rsid w:val="006D6CEA"/>
    <w:rsid w:val="006D7FFD"/>
    <w:rsid w:val="006E1D3F"/>
    <w:rsid w:val="006E24E7"/>
    <w:rsid w:val="006E2BA6"/>
    <w:rsid w:val="006E2F3E"/>
    <w:rsid w:val="006E3C89"/>
    <w:rsid w:val="006E3D24"/>
    <w:rsid w:val="006E4733"/>
    <w:rsid w:val="006E636D"/>
    <w:rsid w:val="006E673F"/>
    <w:rsid w:val="006E6FB3"/>
    <w:rsid w:val="006E702D"/>
    <w:rsid w:val="006E71A1"/>
    <w:rsid w:val="006E750E"/>
    <w:rsid w:val="006E7FFA"/>
    <w:rsid w:val="006F03AB"/>
    <w:rsid w:val="006F04DE"/>
    <w:rsid w:val="006F054E"/>
    <w:rsid w:val="006F130C"/>
    <w:rsid w:val="006F2D02"/>
    <w:rsid w:val="006F332E"/>
    <w:rsid w:val="006F45BA"/>
    <w:rsid w:val="006F4617"/>
    <w:rsid w:val="006F49F0"/>
    <w:rsid w:val="006F4D62"/>
    <w:rsid w:val="006F5D2D"/>
    <w:rsid w:val="006F5E0A"/>
    <w:rsid w:val="006F6DCD"/>
    <w:rsid w:val="006F7380"/>
    <w:rsid w:val="006F73BC"/>
    <w:rsid w:val="006F7A7B"/>
    <w:rsid w:val="006F7D7C"/>
    <w:rsid w:val="00701929"/>
    <w:rsid w:val="007034EF"/>
    <w:rsid w:val="00703CF7"/>
    <w:rsid w:val="007043CB"/>
    <w:rsid w:val="007046A2"/>
    <w:rsid w:val="00704932"/>
    <w:rsid w:val="007053B9"/>
    <w:rsid w:val="00705608"/>
    <w:rsid w:val="00705813"/>
    <w:rsid w:val="00705D53"/>
    <w:rsid w:val="00705DDA"/>
    <w:rsid w:val="00706AA9"/>
    <w:rsid w:val="00706BDD"/>
    <w:rsid w:val="0071007A"/>
    <w:rsid w:val="007102AA"/>
    <w:rsid w:val="00710735"/>
    <w:rsid w:val="007113AD"/>
    <w:rsid w:val="00711756"/>
    <w:rsid w:val="00712FAC"/>
    <w:rsid w:val="0071374A"/>
    <w:rsid w:val="00713C48"/>
    <w:rsid w:val="00713CEC"/>
    <w:rsid w:val="00714890"/>
    <w:rsid w:val="00715B93"/>
    <w:rsid w:val="00715DF0"/>
    <w:rsid w:val="00715E62"/>
    <w:rsid w:val="007164BA"/>
    <w:rsid w:val="007165AD"/>
    <w:rsid w:val="007169C7"/>
    <w:rsid w:val="00716CC7"/>
    <w:rsid w:val="00717C12"/>
    <w:rsid w:val="00720772"/>
    <w:rsid w:val="00720A9C"/>
    <w:rsid w:val="00720B32"/>
    <w:rsid w:val="00720E95"/>
    <w:rsid w:val="0072116E"/>
    <w:rsid w:val="00721397"/>
    <w:rsid w:val="0072158D"/>
    <w:rsid w:val="00721841"/>
    <w:rsid w:val="007218F6"/>
    <w:rsid w:val="00723034"/>
    <w:rsid w:val="00723C7F"/>
    <w:rsid w:val="00724618"/>
    <w:rsid w:val="00724E87"/>
    <w:rsid w:val="007250BE"/>
    <w:rsid w:val="007257CD"/>
    <w:rsid w:val="007257D8"/>
    <w:rsid w:val="00725ADF"/>
    <w:rsid w:val="00725B5B"/>
    <w:rsid w:val="00725C09"/>
    <w:rsid w:val="00725C3F"/>
    <w:rsid w:val="007264B0"/>
    <w:rsid w:val="007268C4"/>
    <w:rsid w:val="00726DD2"/>
    <w:rsid w:val="00727E2C"/>
    <w:rsid w:val="007301B3"/>
    <w:rsid w:val="00730253"/>
    <w:rsid w:val="00730FCC"/>
    <w:rsid w:val="00731779"/>
    <w:rsid w:val="007317CE"/>
    <w:rsid w:val="007322EA"/>
    <w:rsid w:val="007322FB"/>
    <w:rsid w:val="00733932"/>
    <w:rsid w:val="00733DC3"/>
    <w:rsid w:val="00733E4C"/>
    <w:rsid w:val="00735082"/>
    <w:rsid w:val="00736E08"/>
    <w:rsid w:val="00736EF3"/>
    <w:rsid w:val="007370AB"/>
    <w:rsid w:val="007374FA"/>
    <w:rsid w:val="00737807"/>
    <w:rsid w:val="00737D4C"/>
    <w:rsid w:val="00740976"/>
    <w:rsid w:val="00740F5E"/>
    <w:rsid w:val="00740FE3"/>
    <w:rsid w:val="00741979"/>
    <w:rsid w:val="00741A46"/>
    <w:rsid w:val="00742D45"/>
    <w:rsid w:val="00742FE8"/>
    <w:rsid w:val="00743785"/>
    <w:rsid w:val="007439C3"/>
    <w:rsid w:val="00743C78"/>
    <w:rsid w:val="00743D9A"/>
    <w:rsid w:val="007442A3"/>
    <w:rsid w:val="007444C2"/>
    <w:rsid w:val="007459D0"/>
    <w:rsid w:val="00745B12"/>
    <w:rsid w:val="0074614A"/>
    <w:rsid w:val="0074659C"/>
    <w:rsid w:val="00747066"/>
    <w:rsid w:val="00750033"/>
    <w:rsid w:val="0075255F"/>
    <w:rsid w:val="007525AF"/>
    <w:rsid w:val="00752C28"/>
    <w:rsid w:val="00753561"/>
    <w:rsid w:val="00753971"/>
    <w:rsid w:val="00754231"/>
    <w:rsid w:val="0075425B"/>
    <w:rsid w:val="00755243"/>
    <w:rsid w:val="007553B0"/>
    <w:rsid w:val="00755A12"/>
    <w:rsid w:val="00755DEC"/>
    <w:rsid w:val="007563CF"/>
    <w:rsid w:val="007566F0"/>
    <w:rsid w:val="0075678B"/>
    <w:rsid w:val="00756819"/>
    <w:rsid w:val="00756B03"/>
    <w:rsid w:val="0075780F"/>
    <w:rsid w:val="00757BB6"/>
    <w:rsid w:val="00760D02"/>
    <w:rsid w:val="00761A1F"/>
    <w:rsid w:val="0076359E"/>
    <w:rsid w:val="00763A31"/>
    <w:rsid w:val="0076418E"/>
    <w:rsid w:val="00764AB6"/>
    <w:rsid w:val="00765056"/>
    <w:rsid w:val="007657A5"/>
    <w:rsid w:val="0076653E"/>
    <w:rsid w:val="007672CA"/>
    <w:rsid w:val="00767A93"/>
    <w:rsid w:val="00767BF0"/>
    <w:rsid w:val="00767D7A"/>
    <w:rsid w:val="00771A69"/>
    <w:rsid w:val="00771E3F"/>
    <w:rsid w:val="00771EB7"/>
    <w:rsid w:val="0077200D"/>
    <w:rsid w:val="00772629"/>
    <w:rsid w:val="007730B9"/>
    <w:rsid w:val="007732D9"/>
    <w:rsid w:val="00773717"/>
    <w:rsid w:val="00773E38"/>
    <w:rsid w:val="00775B22"/>
    <w:rsid w:val="00775DBF"/>
    <w:rsid w:val="00776042"/>
    <w:rsid w:val="0077611D"/>
    <w:rsid w:val="0077673C"/>
    <w:rsid w:val="00776914"/>
    <w:rsid w:val="00777C16"/>
    <w:rsid w:val="0078007A"/>
    <w:rsid w:val="0078009D"/>
    <w:rsid w:val="0078023D"/>
    <w:rsid w:val="00780404"/>
    <w:rsid w:val="007804EF"/>
    <w:rsid w:val="00780543"/>
    <w:rsid w:val="007808FF"/>
    <w:rsid w:val="00781490"/>
    <w:rsid w:val="007816D4"/>
    <w:rsid w:val="00783841"/>
    <w:rsid w:val="00783C94"/>
    <w:rsid w:val="00783E25"/>
    <w:rsid w:val="007844E3"/>
    <w:rsid w:val="0078460B"/>
    <w:rsid w:val="00785077"/>
    <w:rsid w:val="00785127"/>
    <w:rsid w:val="0078524B"/>
    <w:rsid w:val="007852DC"/>
    <w:rsid w:val="007862BB"/>
    <w:rsid w:val="007867AD"/>
    <w:rsid w:val="00786FA0"/>
    <w:rsid w:val="007872AE"/>
    <w:rsid w:val="00787A6C"/>
    <w:rsid w:val="00787E4A"/>
    <w:rsid w:val="00787E65"/>
    <w:rsid w:val="007901DB"/>
    <w:rsid w:val="00790457"/>
    <w:rsid w:val="00790611"/>
    <w:rsid w:val="00790DCE"/>
    <w:rsid w:val="0079181A"/>
    <w:rsid w:val="00791AD7"/>
    <w:rsid w:val="00791FE0"/>
    <w:rsid w:val="0079266F"/>
    <w:rsid w:val="0079279F"/>
    <w:rsid w:val="00792FCB"/>
    <w:rsid w:val="0079355B"/>
    <w:rsid w:val="00795A58"/>
    <w:rsid w:val="00796117"/>
    <w:rsid w:val="0079631C"/>
    <w:rsid w:val="00797779"/>
    <w:rsid w:val="00797851"/>
    <w:rsid w:val="00797E76"/>
    <w:rsid w:val="007A073A"/>
    <w:rsid w:val="007A0936"/>
    <w:rsid w:val="007A0BE3"/>
    <w:rsid w:val="007A14D4"/>
    <w:rsid w:val="007A1967"/>
    <w:rsid w:val="007A1DD9"/>
    <w:rsid w:val="007A3513"/>
    <w:rsid w:val="007A382D"/>
    <w:rsid w:val="007A388F"/>
    <w:rsid w:val="007A4020"/>
    <w:rsid w:val="007A4CBE"/>
    <w:rsid w:val="007A4ED2"/>
    <w:rsid w:val="007A5289"/>
    <w:rsid w:val="007A5D96"/>
    <w:rsid w:val="007A7762"/>
    <w:rsid w:val="007B00FA"/>
    <w:rsid w:val="007B080B"/>
    <w:rsid w:val="007B0F5C"/>
    <w:rsid w:val="007B1487"/>
    <w:rsid w:val="007B171D"/>
    <w:rsid w:val="007B240D"/>
    <w:rsid w:val="007B2560"/>
    <w:rsid w:val="007B3F47"/>
    <w:rsid w:val="007B4147"/>
    <w:rsid w:val="007B4432"/>
    <w:rsid w:val="007B4951"/>
    <w:rsid w:val="007B4BD6"/>
    <w:rsid w:val="007B4E03"/>
    <w:rsid w:val="007B540C"/>
    <w:rsid w:val="007B55BD"/>
    <w:rsid w:val="007B572C"/>
    <w:rsid w:val="007B59E4"/>
    <w:rsid w:val="007B5BCE"/>
    <w:rsid w:val="007C04EF"/>
    <w:rsid w:val="007C0B49"/>
    <w:rsid w:val="007C1535"/>
    <w:rsid w:val="007C2077"/>
    <w:rsid w:val="007C3630"/>
    <w:rsid w:val="007C3764"/>
    <w:rsid w:val="007C3885"/>
    <w:rsid w:val="007C3A26"/>
    <w:rsid w:val="007C4133"/>
    <w:rsid w:val="007C57F7"/>
    <w:rsid w:val="007C6F0B"/>
    <w:rsid w:val="007D094A"/>
    <w:rsid w:val="007D132C"/>
    <w:rsid w:val="007D1800"/>
    <w:rsid w:val="007D1A99"/>
    <w:rsid w:val="007D32DD"/>
    <w:rsid w:val="007D353D"/>
    <w:rsid w:val="007D41A7"/>
    <w:rsid w:val="007D43D2"/>
    <w:rsid w:val="007D4C5C"/>
    <w:rsid w:val="007D56C5"/>
    <w:rsid w:val="007D5C15"/>
    <w:rsid w:val="007D5EC8"/>
    <w:rsid w:val="007D68AA"/>
    <w:rsid w:val="007D7906"/>
    <w:rsid w:val="007E0D9E"/>
    <w:rsid w:val="007E1636"/>
    <w:rsid w:val="007E1CE6"/>
    <w:rsid w:val="007E1CFC"/>
    <w:rsid w:val="007E2079"/>
    <w:rsid w:val="007E23EE"/>
    <w:rsid w:val="007E3372"/>
    <w:rsid w:val="007E341A"/>
    <w:rsid w:val="007E3695"/>
    <w:rsid w:val="007E3892"/>
    <w:rsid w:val="007E415C"/>
    <w:rsid w:val="007E49A7"/>
    <w:rsid w:val="007E64CE"/>
    <w:rsid w:val="007E7B7B"/>
    <w:rsid w:val="007E7C84"/>
    <w:rsid w:val="007F0139"/>
    <w:rsid w:val="007F0BFF"/>
    <w:rsid w:val="007F2300"/>
    <w:rsid w:val="007F2EE9"/>
    <w:rsid w:val="007F2F13"/>
    <w:rsid w:val="007F35C2"/>
    <w:rsid w:val="007F5504"/>
    <w:rsid w:val="007F5D49"/>
    <w:rsid w:val="007F6059"/>
    <w:rsid w:val="007F6221"/>
    <w:rsid w:val="007F655C"/>
    <w:rsid w:val="007F659A"/>
    <w:rsid w:val="007F65E0"/>
    <w:rsid w:val="007F7AF8"/>
    <w:rsid w:val="00800353"/>
    <w:rsid w:val="00800794"/>
    <w:rsid w:val="00800BA2"/>
    <w:rsid w:val="00800EFA"/>
    <w:rsid w:val="00801317"/>
    <w:rsid w:val="00802369"/>
    <w:rsid w:val="008026D9"/>
    <w:rsid w:val="0080279B"/>
    <w:rsid w:val="00802B37"/>
    <w:rsid w:val="00802F87"/>
    <w:rsid w:val="00802FCD"/>
    <w:rsid w:val="008031A2"/>
    <w:rsid w:val="008038F2"/>
    <w:rsid w:val="00803ADB"/>
    <w:rsid w:val="00804AAF"/>
    <w:rsid w:val="00804D63"/>
    <w:rsid w:val="00805AE5"/>
    <w:rsid w:val="008062B9"/>
    <w:rsid w:val="00810054"/>
    <w:rsid w:val="008102A4"/>
    <w:rsid w:val="00810391"/>
    <w:rsid w:val="008108C0"/>
    <w:rsid w:val="00810F09"/>
    <w:rsid w:val="00811520"/>
    <w:rsid w:val="0081191F"/>
    <w:rsid w:val="00811AF2"/>
    <w:rsid w:val="00811B17"/>
    <w:rsid w:val="0081274A"/>
    <w:rsid w:val="00812A99"/>
    <w:rsid w:val="00813D27"/>
    <w:rsid w:val="00814C22"/>
    <w:rsid w:val="008157C5"/>
    <w:rsid w:val="00816638"/>
    <w:rsid w:val="00816795"/>
    <w:rsid w:val="008169B5"/>
    <w:rsid w:val="00816CC7"/>
    <w:rsid w:val="008174E1"/>
    <w:rsid w:val="008174F4"/>
    <w:rsid w:val="00817A83"/>
    <w:rsid w:val="008206C6"/>
    <w:rsid w:val="00820BA3"/>
    <w:rsid w:val="00820C22"/>
    <w:rsid w:val="00821C9D"/>
    <w:rsid w:val="0082256E"/>
    <w:rsid w:val="0082277A"/>
    <w:rsid w:val="0082329C"/>
    <w:rsid w:val="008237F1"/>
    <w:rsid w:val="00823B9E"/>
    <w:rsid w:val="00824D12"/>
    <w:rsid w:val="00824FCA"/>
    <w:rsid w:val="00825E91"/>
    <w:rsid w:val="00826098"/>
    <w:rsid w:val="00826C19"/>
    <w:rsid w:val="00827137"/>
    <w:rsid w:val="008273AD"/>
    <w:rsid w:val="00827E05"/>
    <w:rsid w:val="0083058D"/>
    <w:rsid w:val="00830A36"/>
    <w:rsid w:val="00830E38"/>
    <w:rsid w:val="008315DA"/>
    <w:rsid w:val="00831788"/>
    <w:rsid w:val="00831EEC"/>
    <w:rsid w:val="00832703"/>
    <w:rsid w:val="00832E45"/>
    <w:rsid w:val="00832FA6"/>
    <w:rsid w:val="00834A73"/>
    <w:rsid w:val="0083624F"/>
    <w:rsid w:val="008374CE"/>
    <w:rsid w:val="008378A7"/>
    <w:rsid w:val="00837BF9"/>
    <w:rsid w:val="00837D6E"/>
    <w:rsid w:val="00840B54"/>
    <w:rsid w:val="00842E4E"/>
    <w:rsid w:val="00842ED3"/>
    <w:rsid w:val="0084416A"/>
    <w:rsid w:val="00844392"/>
    <w:rsid w:val="008447B1"/>
    <w:rsid w:val="00845B4E"/>
    <w:rsid w:val="00846CB7"/>
    <w:rsid w:val="00846FF0"/>
    <w:rsid w:val="0084720D"/>
    <w:rsid w:val="00847844"/>
    <w:rsid w:val="00847847"/>
    <w:rsid w:val="00847872"/>
    <w:rsid w:val="00847AB1"/>
    <w:rsid w:val="00850B08"/>
    <w:rsid w:val="00850CA5"/>
    <w:rsid w:val="00850D5C"/>
    <w:rsid w:val="00850D81"/>
    <w:rsid w:val="0085113E"/>
    <w:rsid w:val="00851F32"/>
    <w:rsid w:val="00852100"/>
    <w:rsid w:val="00852174"/>
    <w:rsid w:val="00852790"/>
    <w:rsid w:val="00852CAB"/>
    <w:rsid w:val="00852ED3"/>
    <w:rsid w:val="00853377"/>
    <w:rsid w:val="008547AE"/>
    <w:rsid w:val="00854C2F"/>
    <w:rsid w:val="0085567D"/>
    <w:rsid w:val="00855C2B"/>
    <w:rsid w:val="00855CB9"/>
    <w:rsid w:val="00856D80"/>
    <w:rsid w:val="00857230"/>
    <w:rsid w:val="008574A6"/>
    <w:rsid w:val="00857BE3"/>
    <w:rsid w:val="0086103E"/>
    <w:rsid w:val="00861374"/>
    <w:rsid w:val="00861808"/>
    <w:rsid w:val="00861D2A"/>
    <w:rsid w:val="00862BE9"/>
    <w:rsid w:val="00863433"/>
    <w:rsid w:val="00863785"/>
    <w:rsid w:val="0086397B"/>
    <w:rsid w:val="008639D8"/>
    <w:rsid w:val="0086473C"/>
    <w:rsid w:val="00865196"/>
    <w:rsid w:val="0086563E"/>
    <w:rsid w:val="00865C71"/>
    <w:rsid w:val="0086607A"/>
    <w:rsid w:val="008663E0"/>
    <w:rsid w:val="00866552"/>
    <w:rsid w:val="00867185"/>
    <w:rsid w:val="0086724E"/>
    <w:rsid w:val="008675FA"/>
    <w:rsid w:val="00867C49"/>
    <w:rsid w:val="00867E80"/>
    <w:rsid w:val="00867EC2"/>
    <w:rsid w:val="00867F67"/>
    <w:rsid w:val="00870010"/>
    <w:rsid w:val="008702A9"/>
    <w:rsid w:val="00871875"/>
    <w:rsid w:val="00871EE8"/>
    <w:rsid w:val="00872E16"/>
    <w:rsid w:val="00873598"/>
    <w:rsid w:val="00873B35"/>
    <w:rsid w:val="00873EA4"/>
    <w:rsid w:val="00874297"/>
    <w:rsid w:val="008748EB"/>
    <w:rsid w:val="00875013"/>
    <w:rsid w:val="00875557"/>
    <w:rsid w:val="008756C6"/>
    <w:rsid w:val="00875898"/>
    <w:rsid w:val="00876451"/>
    <w:rsid w:val="00876799"/>
    <w:rsid w:val="00876951"/>
    <w:rsid w:val="00877514"/>
    <w:rsid w:val="00880638"/>
    <w:rsid w:val="0088110F"/>
    <w:rsid w:val="0088195F"/>
    <w:rsid w:val="008829F5"/>
    <w:rsid w:val="008831DD"/>
    <w:rsid w:val="00883FA6"/>
    <w:rsid w:val="00884247"/>
    <w:rsid w:val="00884B65"/>
    <w:rsid w:val="00884B90"/>
    <w:rsid w:val="008855A1"/>
    <w:rsid w:val="00885852"/>
    <w:rsid w:val="00886369"/>
    <w:rsid w:val="00886900"/>
    <w:rsid w:val="00887360"/>
    <w:rsid w:val="00887681"/>
    <w:rsid w:val="00887E92"/>
    <w:rsid w:val="00891DD5"/>
    <w:rsid w:val="00891F4E"/>
    <w:rsid w:val="00892F94"/>
    <w:rsid w:val="00894317"/>
    <w:rsid w:val="00894947"/>
    <w:rsid w:val="00894CD1"/>
    <w:rsid w:val="008950AD"/>
    <w:rsid w:val="008957CB"/>
    <w:rsid w:val="00895FC5"/>
    <w:rsid w:val="00896383"/>
    <w:rsid w:val="00896831"/>
    <w:rsid w:val="00896972"/>
    <w:rsid w:val="00896A6C"/>
    <w:rsid w:val="00896FCA"/>
    <w:rsid w:val="0089760D"/>
    <w:rsid w:val="00897A4E"/>
    <w:rsid w:val="00897AB0"/>
    <w:rsid w:val="00897DAA"/>
    <w:rsid w:val="008A00FE"/>
    <w:rsid w:val="008A03DA"/>
    <w:rsid w:val="008A1081"/>
    <w:rsid w:val="008A166F"/>
    <w:rsid w:val="008A188A"/>
    <w:rsid w:val="008A1D28"/>
    <w:rsid w:val="008A28DE"/>
    <w:rsid w:val="008A2A11"/>
    <w:rsid w:val="008A2C8B"/>
    <w:rsid w:val="008A30CF"/>
    <w:rsid w:val="008A43BE"/>
    <w:rsid w:val="008A4AC2"/>
    <w:rsid w:val="008A5F0E"/>
    <w:rsid w:val="008A61CE"/>
    <w:rsid w:val="008A65BB"/>
    <w:rsid w:val="008B0280"/>
    <w:rsid w:val="008B0955"/>
    <w:rsid w:val="008B2190"/>
    <w:rsid w:val="008B2517"/>
    <w:rsid w:val="008B2B36"/>
    <w:rsid w:val="008B3376"/>
    <w:rsid w:val="008B3495"/>
    <w:rsid w:val="008B3526"/>
    <w:rsid w:val="008B3E47"/>
    <w:rsid w:val="008B3F73"/>
    <w:rsid w:val="008B4427"/>
    <w:rsid w:val="008B6411"/>
    <w:rsid w:val="008B6534"/>
    <w:rsid w:val="008B67E8"/>
    <w:rsid w:val="008B755F"/>
    <w:rsid w:val="008C0C54"/>
    <w:rsid w:val="008C0CD1"/>
    <w:rsid w:val="008C1497"/>
    <w:rsid w:val="008C1A64"/>
    <w:rsid w:val="008C2CBB"/>
    <w:rsid w:val="008C349F"/>
    <w:rsid w:val="008C3828"/>
    <w:rsid w:val="008C3C8E"/>
    <w:rsid w:val="008C41FD"/>
    <w:rsid w:val="008C4446"/>
    <w:rsid w:val="008C444D"/>
    <w:rsid w:val="008C48A6"/>
    <w:rsid w:val="008C48C5"/>
    <w:rsid w:val="008C4F7B"/>
    <w:rsid w:val="008C50B2"/>
    <w:rsid w:val="008C5858"/>
    <w:rsid w:val="008C5A21"/>
    <w:rsid w:val="008C5C65"/>
    <w:rsid w:val="008C63EA"/>
    <w:rsid w:val="008C6A64"/>
    <w:rsid w:val="008C7144"/>
    <w:rsid w:val="008D15BD"/>
    <w:rsid w:val="008D1B3A"/>
    <w:rsid w:val="008D23C3"/>
    <w:rsid w:val="008D3467"/>
    <w:rsid w:val="008D3DE3"/>
    <w:rsid w:val="008D52AB"/>
    <w:rsid w:val="008D5AB9"/>
    <w:rsid w:val="008D5DD1"/>
    <w:rsid w:val="008D606D"/>
    <w:rsid w:val="008D60B0"/>
    <w:rsid w:val="008D7641"/>
    <w:rsid w:val="008E016E"/>
    <w:rsid w:val="008E028A"/>
    <w:rsid w:val="008E19DB"/>
    <w:rsid w:val="008E1B23"/>
    <w:rsid w:val="008E2A57"/>
    <w:rsid w:val="008E2E42"/>
    <w:rsid w:val="008E484E"/>
    <w:rsid w:val="008E4863"/>
    <w:rsid w:val="008E4F7A"/>
    <w:rsid w:val="008E517C"/>
    <w:rsid w:val="008E52E6"/>
    <w:rsid w:val="008E55F3"/>
    <w:rsid w:val="008E5D02"/>
    <w:rsid w:val="008E64C9"/>
    <w:rsid w:val="008E67BB"/>
    <w:rsid w:val="008E7540"/>
    <w:rsid w:val="008E7C82"/>
    <w:rsid w:val="008F00CE"/>
    <w:rsid w:val="008F0450"/>
    <w:rsid w:val="008F0E1C"/>
    <w:rsid w:val="008F1710"/>
    <w:rsid w:val="008F2092"/>
    <w:rsid w:val="008F2C33"/>
    <w:rsid w:val="008F382D"/>
    <w:rsid w:val="008F3A4A"/>
    <w:rsid w:val="008F3C97"/>
    <w:rsid w:val="008F3E2C"/>
    <w:rsid w:val="008F3F3C"/>
    <w:rsid w:val="008F400A"/>
    <w:rsid w:val="008F403A"/>
    <w:rsid w:val="008F4F26"/>
    <w:rsid w:val="008F53CA"/>
    <w:rsid w:val="008F5F6D"/>
    <w:rsid w:val="008F637E"/>
    <w:rsid w:val="008F6479"/>
    <w:rsid w:val="008F6CCA"/>
    <w:rsid w:val="008F6FC9"/>
    <w:rsid w:val="008F798C"/>
    <w:rsid w:val="00900297"/>
    <w:rsid w:val="00900E88"/>
    <w:rsid w:val="0090135D"/>
    <w:rsid w:val="00901C14"/>
    <w:rsid w:val="00902885"/>
    <w:rsid w:val="00902EB5"/>
    <w:rsid w:val="0090345C"/>
    <w:rsid w:val="00903808"/>
    <w:rsid w:val="0090383A"/>
    <w:rsid w:val="00903B6B"/>
    <w:rsid w:val="00903E7C"/>
    <w:rsid w:val="00904054"/>
    <w:rsid w:val="00904F94"/>
    <w:rsid w:val="0090557A"/>
    <w:rsid w:val="00905755"/>
    <w:rsid w:val="0090666A"/>
    <w:rsid w:val="00906AC1"/>
    <w:rsid w:val="009078BC"/>
    <w:rsid w:val="00910B61"/>
    <w:rsid w:val="00910B83"/>
    <w:rsid w:val="0091207E"/>
    <w:rsid w:val="00912958"/>
    <w:rsid w:val="0091415D"/>
    <w:rsid w:val="00914B08"/>
    <w:rsid w:val="00914D3F"/>
    <w:rsid w:val="00914D48"/>
    <w:rsid w:val="00915850"/>
    <w:rsid w:val="0091703D"/>
    <w:rsid w:val="009209ED"/>
    <w:rsid w:val="00921574"/>
    <w:rsid w:val="009226DD"/>
    <w:rsid w:val="00922E18"/>
    <w:rsid w:val="009230DE"/>
    <w:rsid w:val="0092434B"/>
    <w:rsid w:val="009248C2"/>
    <w:rsid w:val="00924965"/>
    <w:rsid w:val="00925187"/>
    <w:rsid w:val="00925820"/>
    <w:rsid w:val="00925AF1"/>
    <w:rsid w:val="00925F64"/>
    <w:rsid w:val="00927640"/>
    <w:rsid w:val="00927971"/>
    <w:rsid w:val="00931822"/>
    <w:rsid w:val="00931A3C"/>
    <w:rsid w:val="00931A8F"/>
    <w:rsid w:val="009325AA"/>
    <w:rsid w:val="009327C6"/>
    <w:rsid w:val="00932B5D"/>
    <w:rsid w:val="00932F63"/>
    <w:rsid w:val="00933AA9"/>
    <w:rsid w:val="0093476C"/>
    <w:rsid w:val="00934E43"/>
    <w:rsid w:val="0093501B"/>
    <w:rsid w:val="009359F5"/>
    <w:rsid w:val="00935D67"/>
    <w:rsid w:val="009362A6"/>
    <w:rsid w:val="00937376"/>
    <w:rsid w:val="00940367"/>
    <w:rsid w:val="0094039C"/>
    <w:rsid w:val="00940979"/>
    <w:rsid w:val="00941A20"/>
    <w:rsid w:val="00941FA7"/>
    <w:rsid w:val="009422CB"/>
    <w:rsid w:val="00942668"/>
    <w:rsid w:val="00942BE1"/>
    <w:rsid w:val="00942D72"/>
    <w:rsid w:val="009430EA"/>
    <w:rsid w:val="00943CA2"/>
    <w:rsid w:val="00943D52"/>
    <w:rsid w:val="00944123"/>
    <w:rsid w:val="00944300"/>
    <w:rsid w:val="009447F4"/>
    <w:rsid w:val="0094500E"/>
    <w:rsid w:val="00945322"/>
    <w:rsid w:val="0094658A"/>
    <w:rsid w:val="00947098"/>
    <w:rsid w:val="0095074C"/>
    <w:rsid w:val="00950B90"/>
    <w:rsid w:val="00950C9D"/>
    <w:rsid w:val="0095156C"/>
    <w:rsid w:val="009518BE"/>
    <w:rsid w:val="00951A01"/>
    <w:rsid w:val="00951CFA"/>
    <w:rsid w:val="00951DA3"/>
    <w:rsid w:val="009525B7"/>
    <w:rsid w:val="00952BB6"/>
    <w:rsid w:val="00952C18"/>
    <w:rsid w:val="00953957"/>
    <w:rsid w:val="00954560"/>
    <w:rsid w:val="009551C0"/>
    <w:rsid w:val="00957E83"/>
    <w:rsid w:val="00960500"/>
    <w:rsid w:val="00961B8B"/>
    <w:rsid w:val="00962B76"/>
    <w:rsid w:val="0096387E"/>
    <w:rsid w:val="00963B49"/>
    <w:rsid w:val="0096462E"/>
    <w:rsid w:val="00964BF9"/>
    <w:rsid w:val="00964E6D"/>
    <w:rsid w:val="009654F7"/>
    <w:rsid w:val="00965D30"/>
    <w:rsid w:val="00966639"/>
    <w:rsid w:val="00966FFB"/>
    <w:rsid w:val="00967E77"/>
    <w:rsid w:val="00970C79"/>
    <w:rsid w:val="009712EB"/>
    <w:rsid w:val="0097213F"/>
    <w:rsid w:val="00973549"/>
    <w:rsid w:val="00973957"/>
    <w:rsid w:val="00973CE0"/>
    <w:rsid w:val="00974410"/>
    <w:rsid w:val="009753A1"/>
    <w:rsid w:val="0097711A"/>
    <w:rsid w:val="00977AE3"/>
    <w:rsid w:val="009801F4"/>
    <w:rsid w:val="00980C27"/>
    <w:rsid w:val="00980D97"/>
    <w:rsid w:val="009813AE"/>
    <w:rsid w:val="00981490"/>
    <w:rsid w:val="00981506"/>
    <w:rsid w:val="009817FD"/>
    <w:rsid w:val="00981CB8"/>
    <w:rsid w:val="00984271"/>
    <w:rsid w:val="009843DC"/>
    <w:rsid w:val="009846C3"/>
    <w:rsid w:val="00984C91"/>
    <w:rsid w:val="009865D1"/>
    <w:rsid w:val="00986E08"/>
    <w:rsid w:val="00986EAE"/>
    <w:rsid w:val="00987542"/>
    <w:rsid w:val="00990599"/>
    <w:rsid w:val="009909B4"/>
    <w:rsid w:val="00990C7A"/>
    <w:rsid w:val="00990DF0"/>
    <w:rsid w:val="0099120A"/>
    <w:rsid w:val="00991CC2"/>
    <w:rsid w:val="00992CAE"/>
    <w:rsid w:val="00992DFF"/>
    <w:rsid w:val="009938A7"/>
    <w:rsid w:val="00993BBB"/>
    <w:rsid w:val="009946DC"/>
    <w:rsid w:val="0099475D"/>
    <w:rsid w:val="0099597C"/>
    <w:rsid w:val="00995DDB"/>
    <w:rsid w:val="0099651F"/>
    <w:rsid w:val="009969EB"/>
    <w:rsid w:val="00996D64"/>
    <w:rsid w:val="0099769F"/>
    <w:rsid w:val="00997B8A"/>
    <w:rsid w:val="00997FFD"/>
    <w:rsid w:val="009A0483"/>
    <w:rsid w:val="009A0556"/>
    <w:rsid w:val="009A080A"/>
    <w:rsid w:val="009A1865"/>
    <w:rsid w:val="009A1B5F"/>
    <w:rsid w:val="009A2363"/>
    <w:rsid w:val="009A2589"/>
    <w:rsid w:val="009A2D87"/>
    <w:rsid w:val="009A30D6"/>
    <w:rsid w:val="009A43D6"/>
    <w:rsid w:val="009A50FB"/>
    <w:rsid w:val="009A5853"/>
    <w:rsid w:val="009A5DFD"/>
    <w:rsid w:val="009A7041"/>
    <w:rsid w:val="009A793E"/>
    <w:rsid w:val="009B038F"/>
    <w:rsid w:val="009B04F7"/>
    <w:rsid w:val="009B23B2"/>
    <w:rsid w:val="009B2465"/>
    <w:rsid w:val="009B3C9E"/>
    <w:rsid w:val="009B4272"/>
    <w:rsid w:val="009B4396"/>
    <w:rsid w:val="009B5169"/>
    <w:rsid w:val="009B5197"/>
    <w:rsid w:val="009B572F"/>
    <w:rsid w:val="009B5A1E"/>
    <w:rsid w:val="009B6251"/>
    <w:rsid w:val="009B7146"/>
    <w:rsid w:val="009B78F4"/>
    <w:rsid w:val="009C0DE9"/>
    <w:rsid w:val="009C25D6"/>
    <w:rsid w:val="009C2E69"/>
    <w:rsid w:val="009C389D"/>
    <w:rsid w:val="009C467C"/>
    <w:rsid w:val="009C4B72"/>
    <w:rsid w:val="009C52FC"/>
    <w:rsid w:val="009C5EAA"/>
    <w:rsid w:val="009C5EC5"/>
    <w:rsid w:val="009C6212"/>
    <w:rsid w:val="009C6D31"/>
    <w:rsid w:val="009C6F54"/>
    <w:rsid w:val="009C7C87"/>
    <w:rsid w:val="009D06D1"/>
    <w:rsid w:val="009D0BEC"/>
    <w:rsid w:val="009D1666"/>
    <w:rsid w:val="009D1913"/>
    <w:rsid w:val="009D1BBC"/>
    <w:rsid w:val="009D224A"/>
    <w:rsid w:val="009D2328"/>
    <w:rsid w:val="009D295C"/>
    <w:rsid w:val="009D2A15"/>
    <w:rsid w:val="009D2E6E"/>
    <w:rsid w:val="009D38DD"/>
    <w:rsid w:val="009D3C3C"/>
    <w:rsid w:val="009D3E9C"/>
    <w:rsid w:val="009D408B"/>
    <w:rsid w:val="009D5C6E"/>
    <w:rsid w:val="009D640F"/>
    <w:rsid w:val="009D6E0A"/>
    <w:rsid w:val="009D7A52"/>
    <w:rsid w:val="009D7ECC"/>
    <w:rsid w:val="009E04CE"/>
    <w:rsid w:val="009E0A0C"/>
    <w:rsid w:val="009E1E38"/>
    <w:rsid w:val="009E204B"/>
    <w:rsid w:val="009E2C93"/>
    <w:rsid w:val="009E36C8"/>
    <w:rsid w:val="009E3BF8"/>
    <w:rsid w:val="009E5F6F"/>
    <w:rsid w:val="009E61F5"/>
    <w:rsid w:val="009E7068"/>
    <w:rsid w:val="009E71E8"/>
    <w:rsid w:val="009E73A0"/>
    <w:rsid w:val="009F00BD"/>
    <w:rsid w:val="009F11F8"/>
    <w:rsid w:val="009F1418"/>
    <w:rsid w:val="009F2A2E"/>
    <w:rsid w:val="009F2A74"/>
    <w:rsid w:val="009F323D"/>
    <w:rsid w:val="009F3763"/>
    <w:rsid w:val="009F3B75"/>
    <w:rsid w:val="009F5462"/>
    <w:rsid w:val="009F5B0E"/>
    <w:rsid w:val="009F77C1"/>
    <w:rsid w:val="00A00926"/>
    <w:rsid w:val="00A00E52"/>
    <w:rsid w:val="00A01429"/>
    <w:rsid w:val="00A0151A"/>
    <w:rsid w:val="00A020AB"/>
    <w:rsid w:val="00A0242E"/>
    <w:rsid w:val="00A0464C"/>
    <w:rsid w:val="00A0501B"/>
    <w:rsid w:val="00A05264"/>
    <w:rsid w:val="00A06D86"/>
    <w:rsid w:val="00A07747"/>
    <w:rsid w:val="00A077FE"/>
    <w:rsid w:val="00A107CD"/>
    <w:rsid w:val="00A10FF1"/>
    <w:rsid w:val="00A12D71"/>
    <w:rsid w:val="00A132C7"/>
    <w:rsid w:val="00A13649"/>
    <w:rsid w:val="00A139E4"/>
    <w:rsid w:val="00A1444D"/>
    <w:rsid w:val="00A148B3"/>
    <w:rsid w:val="00A15856"/>
    <w:rsid w:val="00A15A1A"/>
    <w:rsid w:val="00A15E13"/>
    <w:rsid w:val="00A1658B"/>
    <w:rsid w:val="00A16AF3"/>
    <w:rsid w:val="00A178D7"/>
    <w:rsid w:val="00A17E2E"/>
    <w:rsid w:val="00A202D5"/>
    <w:rsid w:val="00A221DE"/>
    <w:rsid w:val="00A2432D"/>
    <w:rsid w:val="00A24A8A"/>
    <w:rsid w:val="00A25311"/>
    <w:rsid w:val="00A259E1"/>
    <w:rsid w:val="00A25E05"/>
    <w:rsid w:val="00A27707"/>
    <w:rsid w:val="00A2776D"/>
    <w:rsid w:val="00A27C2B"/>
    <w:rsid w:val="00A27DF9"/>
    <w:rsid w:val="00A30D0F"/>
    <w:rsid w:val="00A310B5"/>
    <w:rsid w:val="00A311D3"/>
    <w:rsid w:val="00A32584"/>
    <w:rsid w:val="00A340DF"/>
    <w:rsid w:val="00A34A3E"/>
    <w:rsid w:val="00A361B4"/>
    <w:rsid w:val="00A36852"/>
    <w:rsid w:val="00A408A1"/>
    <w:rsid w:val="00A40AE7"/>
    <w:rsid w:val="00A4189A"/>
    <w:rsid w:val="00A419B1"/>
    <w:rsid w:val="00A41D2C"/>
    <w:rsid w:val="00A41DC0"/>
    <w:rsid w:val="00A41FD0"/>
    <w:rsid w:val="00A428A3"/>
    <w:rsid w:val="00A4356D"/>
    <w:rsid w:val="00A438DE"/>
    <w:rsid w:val="00A4500E"/>
    <w:rsid w:val="00A45B7A"/>
    <w:rsid w:val="00A45DF6"/>
    <w:rsid w:val="00A465E8"/>
    <w:rsid w:val="00A46755"/>
    <w:rsid w:val="00A4696F"/>
    <w:rsid w:val="00A46B20"/>
    <w:rsid w:val="00A47092"/>
    <w:rsid w:val="00A474C6"/>
    <w:rsid w:val="00A475FB"/>
    <w:rsid w:val="00A500ED"/>
    <w:rsid w:val="00A50467"/>
    <w:rsid w:val="00A51361"/>
    <w:rsid w:val="00A5143C"/>
    <w:rsid w:val="00A51578"/>
    <w:rsid w:val="00A517E5"/>
    <w:rsid w:val="00A51F1F"/>
    <w:rsid w:val="00A522CC"/>
    <w:rsid w:val="00A529E8"/>
    <w:rsid w:val="00A52E21"/>
    <w:rsid w:val="00A530BD"/>
    <w:rsid w:val="00A53B96"/>
    <w:rsid w:val="00A53CFA"/>
    <w:rsid w:val="00A543DF"/>
    <w:rsid w:val="00A548F9"/>
    <w:rsid w:val="00A566A7"/>
    <w:rsid w:val="00A578C2"/>
    <w:rsid w:val="00A6023B"/>
    <w:rsid w:val="00A604A8"/>
    <w:rsid w:val="00A61E53"/>
    <w:rsid w:val="00A6230F"/>
    <w:rsid w:val="00A6365D"/>
    <w:rsid w:val="00A638D8"/>
    <w:rsid w:val="00A64CBA"/>
    <w:rsid w:val="00A6504E"/>
    <w:rsid w:val="00A651FE"/>
    <w:rsid w:val="00A65EE7"/>
    <w:rsid w:val="00A66880"/>
    <w:rsid w:val="00A66C29"/>
    <w:rsid w:val="00A66C43"/>
    <w:rsid w:val="00A70057"/>
    <w:rsid w:val="00A700E2"/>
    <w:rsid w:val="00A70701"/>
    <w:rsid w:val="00A70783"/>
    <w:rsid w:val="00A70BF8"/>
    <w:rsid w:val="00A7257E"/>
    <w:rsid w:val="00A731BC"/>
    <w:rsid w:val="00A73D80"/>
    <w:rsid w:val="00A743C0"/>
    <w:rsid w:val="00A74880"/>
    <w:rsid w:val="00A74D0D"/>
    <w:rsid w:val="00A7547D"/>
    <w:rsid w:val="00A769EE"/>
    <w:rsid w:val="00A76D7B"/>
    <w:rsid w:val="00A801AC"/>
    <w:rsid w:val="00A807BD"/>
    <w:rsid w:val="00A80953"/>
    <w:rsid w:val="00A80E76"/>
    <w:rsid w:val="00A81AAA"/>
    <w:rsid w:val="00A81BE0"/>
    <w:rsid w:val="00A83441"/>
    <w:rsid w:val="00A84B26"/>
    <w:rsid w:val="00A857D5"/>
    <w:rsid w:val="00A85DA1"/>
    <w:rsid w:val="00A869F4"/>
    <w:rsid w:val="00A86ADA"/>
    <w:rsid w:val="00A86EE5"/>
    <w:rsid w:val="00A87B7B"/>
    <w:rsid w:val="00A87C0D"/>
    <w:rsid w:val="00A901C8"/>
    <w:rsid w:val="00A905FC"/>
    <w:rsid w:val="00A908EE"/>
    <w:rsid w:val="00A90B50"/>
    <w:rsid w:val="00A91788"/>
    <w:rsid w:val="00A91DEB"/>
    <w:rsid w:val="00A92139"/>
    <w:rsid w:val="00A92924"/>
    <w:rsid w:val="00A92B3D"/>
    <w:rsid w:val="00A93122"/>
    <w:rsid w:val="00A93F31"/>
    <w:rsid w:val="00A94645"/>
    <w:rsid w:val="00A95170"/>
    <w:rsid w:val="00A95FDA"/>
    <w:rsid w:val="00A97081"/>
    <w:rsid w:val="00A974E7"/>
    <w:rsid w:val="00A9759A"/>
    <w:rsid w:val="00A9775D"/>
    <w:rsid w:val="00A97899"/>
    <w:rsid w:val="00AA088B"/>
    <w:rsid w:val="00AA0C93"/>
    <w:rsid w:val="00AA2887"/>
    <w:rsid w:val="00AA3083"/>
    <w:rsid w:val="00AA313E"/>
    <w:rsid w:val="00AA3C65"/>
    <w:rsid w:val="00AA4F0B"/>
    <w:rsid w:val="00AA50DF"/>
    <w:rsid w:val="00AA6658"/>
    <w:rsid w:val="00AA7B87"/>
    <w:rsid w:val="00AA7E3E"/>
    <w:rsid w:val="00AA7F5E"/>
    <w:rsid w:val="00AB026D"/>
    <w:rsid w:val="00AB18B9"/>
    <w:rsid w:val="00AB1C2A"/>
    <w:rsid w:val="00AB21DE"/>
    <w:rsid w:val="00AB23E2"/>
    <w:rsid w:val="00AB2937"/>
    <w:rsid w:val="00AB31D9"/>
    <w:rsid w:val="00AB347C"/>
    <w:rsid w:val="00AB3D94"/>
    <w:rsid w:val="00AB57A6"/>
    <w:rsid w:val="00AB668D"/>
    <w:rsid w:val="00AB784F"/>
    <w:rsid w:val="00AB7F48"/>
    <w:rsid w:val="00AC0049"/>
    <w:rsid w:val="00AC08B1"/>
    <w:rsid w:val="00AC0D22"/>
    <w:rsid w:val="00AC1017"/>
    <w:rsid w:val="00AC10FD"/>
    <w:rsid w:val="00AC2055"/>
    <w:rsid w:val="00AC23E3"/>
    <w:rsid w:val="00AC246F"/>
    <w:rsid w:val="00AC2E27"/>
    <w:rsid w:val="00AC355B"/>
    <w:rsid w:val="00AC3932"/>
    <w:rsid w:val="00AC4346"/>
    <w:rsid w:val="00AC44BC"/>
    <w:rsid w:val="00AC4668"/>
    <w:rsid w:val="00AC4773"/>
    <w:rsid w:val="00AC50CB"/>
    <w:rsid w:val="00AC5316"/>
    <w:rsid w:val="00AC54DB"/>
    <w:rsid w:val="00AC616A"/>
    <w:rsid w:val="00AC6672"/>
    <w:rsid w:val="00AC6C56"/>
    <w:rsid w:val="00AC6F48"/>
    <w:rsid w:val="00AC74D1"/>
    <w:rsid w:val="00AD025A"/>
    <w:rsid w:val="00AD025D"/>
    <w:rsid w:val="00AD061D"/>
    <w:rsid w:val="00AD275F"/>
    <w:rsid w:val="00AD27A2"/>
    <w:rsid w:val="00AD2CC7"/>
    <w:rsid w:val="00AD384B"/>
    <w:rsid w:val="00AD42D1"/>
    <w:rsid w:val="00AD4E39"/>
    <w:rsid w:val="00AD54F4"/>
    <w:rsid w:val="00AD5C01"/>
    <w:rsid w:val="00AD6462"/>
    <w:rsid w:val="00AD67E1"/>
    <w:rsid w:val="00AD7247"/>
    <w:rsid w:val="00AD7357"/>
    <w:rsid w:val="00AD7691"/>
    <w:rsid w:val="00AD76DA"/>
    <w:rsid w:val="00AE0524"/>
    <w:rsid w:val="00AE1CFC"/>
    <w:rsid w:val="00AE3217"/>
    <w:rsid w:val="00AE35C9"/>
    <w:rsid w:val="00AE456E"/>
    <w:rsid w:val="00AE48AC"/>
    <w:rsid w:val="00AE49DD"/>
    <w:rsid w:val="00AE4CBA"/>
    <w:rsid w:val="00AE4DF8"/>
    <w:rsid w:val="00AE5329"/>
    <w:rsid w:val="00AE599A"/>
    <w:rsid w:val="00AE5E29"/>
    <w:rsid w:val="00AE5F3A"/>
    <w:rsid w:val="00AE6BDD"/>
    <w:rsid w:val="00AE7348"/>
    <w:rsid w:val="00AF04EC"/>
    <w:rsid w:val="00AF13E4"/>
    <w:rsid w:val="00AF23DB"/>
    <w:rsid w:val="00AF2449"/>
    <w:rsid w:val="00AF2AB9"/>
    <w:rsid w:val="00AF3FA9"/>
    <w:rsid w:val="00AF4171"/>
    <w:rsid w:val="00AF41AC"/>
    <w:rsid w:val="00AF52F4"/>
    <w:rsid w:val="00AF54DF"/>
    <w:rsid w:val="00AF58AE"/>
    <w:rsid w:val="00AF59DF"/>
    <w:rsid w:val="00AF6549"/>
    <w:rsid w:val="00AF7F2D"/>
    <w:rsid w:val="00B01756"/>
    <w:rsid w:val="00B0260E"/>
    <w:rsid w:val="00B0263B"/>
    <w:rsid w:val="00B02FE0"/>
    <w:rsid w:val="00B0320E"/>
    <w:rsid w:val="00B03B31"/>
    <w:rsid w:val="00B03C75"/>
    <w:rsid w:val="00B03D06"/>
    <w:rsid w:val="00B03F40"/>
    <w:rsid w:val="00B040BF"/>
    <w:rsid w:val="00B04122"/>
    <w:rsid w:val="00B041B0"/>
    <w:rsid w:val="00B0448B"/>
    <w:rsid w:val="00B05C0D"/>
    <w:rsid w:val="00B05CF0"/>
    <w:rsid w:val="00B06EE2"/>
    <w:rsid w:val="00B125C6"/>
    <w:rsid w:val="00B12800"/>
    <w:rsid w:val="00B12E2F"/>
    <w:rsid w:val="00B13398"/>
    <w:rsid w:val="00B135CA"/>
    <w:rsid w:val="00B13F80"/>
    <w:rsid w:val="00B14029"/>
    <w:rsid w:val="00B1466A"/>
    <w:rsid w:val="00B14AE7"/>
    <w:rsid w:val="00B14BF4"/>
    <w:rsid w:val="00B1521E"/>
    <w:rsid w:val="00B1562B"/>
    <w:rsid w:val="00B157DA"/>
    <w:rsid w:val="00B15BA0"/>
    <w:rsid w:val="00B15F5C"/>
    <w:rsid w:val="00B161F0"/>
    <w:rsid w:val="00B17895"/>
    <w:rsid w:val="00B20654"/>
    <w:rsid w:val="00B21EE4"/>
    <w:rsid w:val="00B224ED"/>
    <w:rsid w:val="00B22899"/>
    <w:rsid w:val="00B231E1"/>
    <w:rsid w:val="00B23CEA"/>
    <w:rsid w:val="00B2573E"/>
    <w:rsid w:val="00B25C01"/>
    <w:rsid w:val="00B263A0"/>
    <w:rsid w:val="00B2675A"/>
    <w:rsid w:val="00B27413"/>
    <w:rsid w:val="00B27C10"/>
    <w:rsid w:val="00B3068B"/>
    <w:rsid w:val="00B312C9"/>
    <w:rsid w:val="00B3156C"/>
    <w:rsid w:val="00B339BD"/>
    <w:rsid w:val="00B33C2B"/>
    <w:rsid w:val="00B340E2"/>
    <w:rsid w:val="00B3484C"/>
    <w:rsid w:val="00B34B6C"/>
    <w:rsid w:val="00B361E2"/>
    <w:rsid w:val="00B362C6"/>
    <w:rsid w:val="00B36537"/>
    <w:rsid w:val="00B37BEA"/>
    <w:rsid w:val="00B4017E"/>
    <w:rsid w:val="00B409AC"/>
    <w:rsid w:val="00B40DA8"/>
    <w:rsid w:val="00B41AED"/>
    <w:rsid w:val="00B42FDA"/>
    <w:rsid w:val="00B43778"/>
    <w:rsid w:val="00B437CE"/>
    <w:rsid w:val="00B43BB7"/>
    <w:rsid w:val="00B43BD8"/>
    <w:rsid w:val="00B441F1"/>
    <w:rsid w:val="00B44EDB"/>
    <w:rsid w:val="00B452FA"/>
    <w:rsid w:val="00B45F9F"/>
    <w:rsid w:val="00B46094"/>
    <w:rsid w:val="00B463A9"/>
    <w:rsid w:val="00B46419"/>
    <w:rsid w:val="00B47E1A"/>
    <w:rsid w:val="00B5030C"/>
    <w:rsid w:val="00B50B6A"/>
    <w:rsid w:val="00B5186D"/>
    <w:rsid w:val="00B52F66"/>
    <w:rsid w:val="00B5444C"/>
    <w:rsid w:val="00B55C8B"/>
    <w:rsid w:val="00B55E5D"/>
    <w:rsid w:val="00B56272"/>
    <w:rsid w:val="00B563FC"/>
    <w:rsid w:val="00B605A7"/>
    <w:rsid w:val="00B605F1"/>
    <w:rsid w:val="00B60DD7"/>
    <w:rsid w:val="00B61AC2"/>
    <w:rsid w:val="00B61F5F"/>
    <w:rsid w:val="00B62B4A"/>
    <w:rsid w:val="00B62B77"/>
    <w:rsid w:val="00B6348B"/>
    <w:rsid w:val="00B63935"/>
    <w:rsid w:val="00B645F1"/>
    <w:rsid w:val="00B64B40"/>
    <w:rsid w:val="00B65BBB"/>
    <w:rsid w:val="00B65BDC"/>
    <w:rsid w:val="00B66928"/>
    <w:rsid w:val="00B6697E"/>
    <w:rsid w:val="00B66E98"/>
    <w:rsid w:val="00B678E2"/>
    <w:rsid w:val="00B70065"/>
    <w:rsid w:val="00B7048A"/>
    <w:rsid w:val="00B70769"/>
    <w:rsid w:val="00B707DC"/>
    <w:rsid w:val="00B7084A"/>
    <w:rsid w:val="00B70948"/>
    <w:rsid w:val="00B70ED5"/>
    <w:rsid w:val="00B716F0"/>
    <w:rsid w:val="00B71787"/>
    <w:rsid w:val="00B72656"/>
    <w:rsid w:val="00B72805"/>
    <w:rsid w:val="00B728A4"/>
    <w:rsid w:val="00B72954"/>
    <w:rsid w:val="00B72D2C"/>
    <w:rsid w:val="00B74146"/>
    <w:rsid w:val="00B74309"/>
    <w:rsid w:val="00B749C8"/>
    <w:rsid w:val="00B757BF"/>
    <w:rsid w:val="00B76E17"/>
    <w:rsid w:val="00B76EA3"/>
    <w:rsid w:val="00B778A7"/>
    <w:rsid w:val="00B77BD2"/>
    <w:rsid w:val="00B77E53"/>
    <w:rsid w:val="00B80190"/>
    <w:rsid w:val="00B809A8"/>
    <w:rsid w:val="00B80DFF"/>
    <w:rsid w:val="00B81095"/>
    <w:rsid w:val="00B81CA8"/>
    <w:rsid w:val="00B81D14"/>
    <w:rsid w:val="00B821F1"/>
    <w:rsid w:val="00B8234A"/>
    <w:rsid w:val="00B826A9"/>
    <w:rsid w:val="00B82830"/>
    <w:rsid w:val="00B82A0A"/>
    <w:rsid w:val="00B82D0E"/>
    <w:rsid w:val="00B84328"/>
    <w:rsid w:val="00B84F88"/>
    <w:rsid w:val="00B8609B"/>
    <w:rsid w:val="00B86CC2"/>
    <w:rsid w:val="00B86D2C"/>
    <w:rsid w:val="00B86F27"/>
    <w:rsid w:val="00B87CE8"/>
    <w:rsid w:val="00B900C6"/>
    <w:rsid w:val="00B93598"/>
    <w:rsid w:val="00B935EB"/>
    <w:rsid w:val="00B95AB8"/>
    <w:rsid w:val="00B95AEF"/>
    <w:rsid w:val="00B95D41"/>
    <w:rsid w:val="00B969C2"/>
    <w:rsid w:val="00B96B82"/>
    <w:rsid w:val="00B97B20"/>
    <w:rsid w:val="00BA17A3"/>
    <w:rsid w:val="00BA2565"/>
    <w:rsid w:val="00BA26A5"/>
    <w:rsid w:val="00BA2900"/>
    <w:rsid w:val="00BA2ACC"/>
    <w:rsid w:val="00BA34EE"/>
    <w:rsid w:val="00BA3A0F"/>
    <w:rsid w:val="00BA46BF"/>
    <w:rsid w:val="00BA4D90"/>
    <w:rsid w:val="00BA7455"/>
    <w:rsid w:val="00BA7C80"/>
    <w:rsid w:val="00BA7E04"/>
    <w:rsid w:val="00BA7ECA"/>
    <w:rsid w:val="00BB0326"/>
    <w:rsid w:val="00BB0E07"/>
    <w:rsid w:val="00BB11DA"/>
    <w:rsid w:val="00BB2729"/>
    <w:rsid w:val="00BB30CC"/>
    <w:rsid w:val="00BB4275"/>
    <w:rsid w:val="00BB4E3B"/>
    <w:rsid w:val="00BB54CF"/>
    <w:rsid w:val="00BB6233"/>
    <w:rsid w:val="00BB711C"/>
    <w:rsid w:val="00BB72D6"/>
    <w:rsid w:val="00BB7518"/>
    <w:rsid w:val="00BB7E30"/>
    <w:rsid w:val="00BC1463"/>
    <w:rsid w:val="00BC2DF7"/>
    <w:rsid w:val="00BC340B"/>
    <w:rsid w:val="00BC39FF"/>
    <w:rsid w:val="00BC4B00"/>
    <w:rsid w:val="00BC5D95"/>
    <w:rsid w:val="00BC60E9"/>
    <w:rsid w:val="00BC7837"/>
    <w:rsid w:val="00BC7C7D"/>
    <w:rsid w:val="00BD016E"/>
    <w:rsid w:val="00BD146B"/>
    <w:rsid w:val="00BD1A39"/>
    <w:rsid w:val="00BD36AB"/>
    <w:rsid w:val="00BD37D5"/>
    <w:rsid w:val="00BD38EA"/>
    <w:rsid w:val="00BD3E9F"/>
    <w:rsid w:val="00BD43A1"/>
    <w:rsid w:val="00BD7312"/>
    <w:rsid w:val="00BD7BC3"/>
    <w:rsid w:val="00BE1C0C"/>
    <w:rsid w:val="00BE1FB8"/>
    <w:rsid w:val="00BE2882"/>
    <w:rsid w:val="00BE29D2"/>
    <w:rsid w:val="00BE2A80"/>
    <w:rsid w:val="00BE41FD"/>
    <w:rsid w:val="00BE522C"/>
    <w:rsid w:val="00BE6791"/>
    <w:rsid w:val="00BE6849"/>
    <w:rsid w:val="00BE724E"/>
    <w:rsid w:val="00BE7727"/>
    <w:rsid w:val="00BE7A90"/>
    <w:rsid w:val="00BF0ADE"/>
    <w:rsid w:val="00BF135F"/>
    <w:rsid w:val="00BF2588"/>
    <w:rsid w:val="00BF26B1"/>
    <w:rsid w:val="00BF3791"/>
    <w:rsid w:val="00BF3D29"/>
    <w:rsid w:val="00BF3D81"/>
    <w:rsid w:val="00BF4BD1"/>
    <w:rsid w:val="00BF4E4F"/>
    <w:rsid w:val="00BF52F8"/>
    <w:rsid w:val="00BF545B"/>
    <w:rsid w:val="00BF5EB1"/>
    <w:rsid w:val="00BF6229"/>
    <w:rsid w:val="00C00F29"/>
    <w:rsid w:val="00C01319"/>
    <w:rsid w:val="00C01735"/>
    <w:rsid w:val="00C03A82"/>
    <w:rsid w:val="00C03A89"/>
    <w:rsid w:val="00C04077"/>
    <w:rsid w:val="00C059FF"/>
    <w:rsid w:val="00C0679A"/>
    <w:rsid w:val="00C06A96"/>
    <w:rsid w:val="00C07026"/>
    <w:rsid w:val="00C075C4"/>
    <w:rsid w:val="00C07D69"/>
    <w:rsid w:val="00C11031"/>
    <w:rsid w:val="00C11AA2"/>
    <w:rsid w:val="00C1200C"/>
    <w:rsid w:val="00C12DA0"/>
    <w:rsid w:val="00C12F67"/>
    <w:rsid w:val="00C1369F"/>
    <w:rsid w:val="00C13F21"/>
    <w:rsid w:val="00C13FF5"/>
    <w:rsid w:val="00C141BF"/>
    <w:rsid w:val="00C14415"/>
    <w:rsid w:val="00C1475C"/>
    <w:rsid w:val="00C1787B"/>
    <w:rsid w:val="00C17FCA"/>
    <w:rsid w:val="00C21AFB"/>
    <w:rsid w:val="00C21C52"/>
    <w:rsid w:val="00C21EA4"/>
    <w:rsid w:val="00C2213F"/>
    <w:rsid w:val="00C22658"/>
    <w:rsid w:val="00C23102"/>
    <w:rsid w:val="00C232EC"/>
    <w:rsid w:val="00C238A5"/>
    <w:rsid w:val="00C2469C"/>
    <w:rsid w:val="00C254D5"/>
    <w:rsid w:val="00C2655C"/>
    <w:rsid w:val="00C26997"/>
    <w:rsid w:val="00C273B6"/>
    <w:rsid w:val="00C277B1"/>
    <w:rsid w:val="00C30EFA"/>
    <w:rsid w:val="00C31289"/>
    <w:rsid w:val="00C32011"/>
    <w:rsid w:val="00C32223"/>
    <w:rsid w:val="00C322DE"/>
    <w:rsid w:val="00C32743"/>
    <w:rsid w:val="00C33052"/>
    <w:rsid w:val="00C33CE7"/>
    <w:rsid w:val="00C33FBD"/>
    <w:rsid w:val="00C34072"/>
    <w:rsid w:val="00C3441E"/>
    <w:rsid w:val="00C34467"/>
    <w:rsid w:val="00C34B7C"/>
    <w:rsid w:val="00C34D81"/>
    <w:rsid w:val="00C34F10"/>
    <w:rsid w:val="00C34FFB"/>
    <w:rsid w:val="00C35716"/>
    <w:rsid w:val="00C365F4"/>
    <w:rsid w:val="00C37610"/>
    <w:rsid w:val="00C378F3"/>
    <w:rsid w:val="00C4061F"/>
    <w:rsid w:val="00C407CB"/>
    <w:rsid w:val="00C40CD5"/>
    <w:rsid w:val="00C40FCA"/>
    <w:rsid w:val="00C41332"/>
    <w:rsid w:val="00C42931"/>
    <w:rsid w:val="00C42A39"/>
    <w:rsid w:val="00C4345C"/>
    <w:rsid w:val="00C435FE"/>
    <w:rsid w:val="00C446D9"/>
    <w:rsid w:val="00C44C34"/>
    <w:rsid w:val="00C453FA"/>
    <w:rsid w:val="00C45951"/>
    <w:rsid w:val="00C45D6A"/>
    <w:rsid w:val="00C46626"/>
    <w:rsid w:val="00C477EB"/>
    <w:rsid w:val="00C5024E"/>
    <w:rsid w:val="00C50833"/>
    <w:rsid w:val="00C50997"/>
    <w:rsid w:val="00C50FF6"/>
    <w:rsid w:val="00C51385"/>
    <w:rsid w:val="00C51394"/>
    <w:rsid w:val="00C51421"/>
    <w:rsid w:val="00C521C5"/>
    <w:rsid w:val="00C528D0"/>
    <w:rsid w:val="00C53BCD"/>
    <w:rsid w:val="00C53F13"/>
    <w:rsid w:val="00C54231"/>
    <w:rsid w:val="00C54822"/>
    <w:rsid w:val="00C569E6"/>
    <w:rsid w:val="00C56F87"/>
    <w:rsid w:val="00C60799"/>
    <w:rsid w:val="00C60820"/>
    <w:rsid w:val="00C61141"/>
    <w:rsid w:val="00C61A0F"/>
    <w:rsid w:val="00C634CE"/>
    <w:rsid w:val="00C64A9A"/>
    <w:rsid w:val="00C64AB9"/>
    <w:rsid w:val="00C65C17"/>
    <w:rsid w:val="00C661F9"/>
    <w:rsid w:val="00C666FE"/>
    <w:rsid w:val="00C67CAE"/>
    <w:rsid w:val="00C7079D"/>
    <w:rsid w:val="00C70A9B"/>
    <w:rsid w:val="00C7115E"/>
    <w:rsid w:val="00C71783"/>
    <w:rsid w:val="00C72438"/>
    <w:rsid w:val="00C729E7"/>
    <w:rsid w:val="00C72DBF"/>
    <w:rsid w:val="00C72FAC"/>
    <w:rsid w:val="00C74F5B"/>
    <w:rsid w:val="00C75352"/>
    <w:rsid w:val="00C76A04"/>
    <w:rsid w:val="00C76AA2"/>
    <w:rsid w:val="00C76E1E"/>
    <w:rsid w:val="00C77496"/>
    <w:rsid w:val="00C80ACF"/>
    <w:rsid w:val="00C80B19"/>
    <w:rsid w:val="00C80CF7"/>
    <w:rsid w:val="00C81034"/>
    <w:rsid w:val="00C813E5"/>
    <w:rsid w:val="00C82718"/>
    <w:rsid w:val="00C82755"/>
    <w:rsid w:val="00C831CB"/>
    <w:rsid w:val="00C83588"/>
    <w:rsid w:val="00C86DE9"/>
    <w:rsid w:val="00C907AA"/>
    <w:rsid w:val="00C915A5"/>
    <w:rsid w:val="00C91741"/>
    <w:rsid w:val="00C919F1"/>
    <w:rsid w:val="00C91AA5"/>
    <w:rsid w:val="00C9203E"/>
    <w:rsid w:val="00C92393"/>
    <w:rsid w:val="00C92436"/>
    <w:rsid w:val="00C92826"/>
    <w:rsid w:val="00C94CF8"/>
    <w:rsid w:val="00C952CF"/>
    <w:rsid w:val="00C955B0"/>
    <w:rsid w:val="00C95833"/>
    <w:rsid w:val="00C95C62"/>
    <w:rsid w:val="00C96712"/>
    <w:rsid w:val="00C97A3B"/>
    <w:rsid w:val="00CA0101"/>
    <w:rsid w:val="00CA0B56"/>
    <w:rsid w:val="00CA1974"/>
    <w:rsid w:val="00CA1CD4"/>
    <w:rsid w:val="00CA1DE9"/>
    <w:rsid w:val="00CA20B1"/>
    <w:rsid w:val="00CA22C6"/>
    <w:rsid w:val="00CA2551"/>
    <w:rsid w:val="00CA2B04"/>
    <w:rsid w:val="00CA47BF"/>
    <w:rsid w:val="00CA4CA3"/>
    <w:rsid w:val="00CA4EF2"/>
    <w:rsid w:val="00CA76E4"/>
    <w:rsid w:val="00CA7AE6"/>
    <w:rsid w:val="00CA7FDC"/>
    <w:rsid w:val="00CB0A68"/>
    <w:rsid w:val="00CB20F5"/>
    <w:rsid w:val="00CB31E0"/>
    <w:rsid w:val="00CB3249"/>
    <w:rsid w:val="00CB353E"/>
    <w:rsid w:val="00CB42B2"/>
    <w:rsid w:val="00CB46A1"/>
    <w:rsid w:val="00CB4868"/>
    <w:rsid w:val="00CB5E90"/>
    <w:rsid w:val="00CB6066"/>
    <w:rsid w:val="00CB64B0"/>
    <w:rsid w:val="00CB7AD5"/>
    <w:rsid w:val="00CC1BAD"/>
    <w:rsid w:val="00CC224F"/>
    <w:rsid w:val="00CC23F7"/>
    <w:rsid w:val="00CC27EE"/>
    <w:rsid w:val="00CC2C47"/>
    <w:rsid w:val="00CC2F48"/>
    <w:rsid w:val="00CC2FB1"/>
    <w:rsid w:val="00CC3306"/>
    <w:rsid w:val="00CC339D"/>
    <w:rsid w:val="00CC33B4"/>
    <w:rsid w:val="00CC41E4"/>
    <w:rsid w:val="00CC4366"/>
    <w:rsid w:val="00CC4A44"/>
    <w:rsid w:val="00CC4DBC"/>
    <w:rsid w:val="00CC5006"/>
    <w:rsid w:val="00CC5065"/>
    <w:rsid w:val="00CC57DA"/>
    <w:rsid w:val="00CC700E"/>
    <w:rsid w:val="00CC773F"/>
    <w:rsid w:val="00CC78C7"/>
    <w:rsid w:val="00CD0001"/>
    <w:rsid w:val="00CD0445"/>
    <w:rsid w:val="00CD08B3"/>
    <w:rsid w:val="00CD0B2F"/>
    <w:rsid w:val="00CD12B7"/>
    <w:rsid w:val="00CD20F1"/>
    <w:rsid w:val="00CD34AC"/>
    <w:rsid w:val="00CD3A42"/>
    <w:rsid w:val="00CD44DA"/>
    <w:rsid w:val="00CD481A"/>
    <w:rsid w:val="00CD4AE1"/>
    <w:rsid w:val="00CD7B3B"/>
    <w:rsid w:val="00CD7F70"/>
    <w:rsid w:val="00CE18D7"/>
    <w:rsid w:val="00CE2426"/>
    <w:rsid w:val="00CE4BF9"/>
    <w:rsid w:val="00CE4F60"/>
    <w:rsid w:val="00CE50F9"/>
    <w:rsid w:val="00CE5166"/>
    <w:rsid w:val="00CE5E22"/>
    <w:rsid w:val="00CE64EA"/>
    <w:rsid w:val="00CE6E8A"/>
    <w:rsid w:val="00CE6EB3"/>
    <w:rsid w:val="00CE70E1"/>
    <w:rsid w:val="00CF01A8"/>
    <w:rsid w:val="00CF0987"/>
    <w:rsid w:val="00CF0F36"/>
    <w:rsid w:val="00CF4BEE"/>
    <w:rsid w:val="00CF5149"/>
    <w:rsid w:val="00CF5AB6"/>
    <w:rsid w:val="00CF5FFA"/>
    <w:rsid w:val="00CF62C5"/>
    <w:rsid w:val="00CF6F76"/>
    <w:rsid w:val="00CF7C81"/>
    <w:rsid w:val="00CF7C9B"/>
    <w:rsid w:val="00D01327"/>
    <w:rsid w:val="00D013BE"/>
    <w:rsid w:val="00D01D7F"/>
    <w:rsid w:val="00D02169"/>
    <w:rsid w:val="00D024B8"/>
    <w:rsid w:val="00D024E0"/>
    <w:rsid w:val="00D025BD"/>
    <w:rsid w:val="00D0272C"/>
    <w:rsid w:val="00D02881"/>
    <w:rsid w:val="00D0309F"/>
    <w:rsid w:val="00D04218"/>
    <w:rsid w:val="00D04AB5"/>
    <w:rsid w:val="00D04C28"/>
    <w:rsid w:val="00D05A4B"/>
    <w:rsid w:val="00D05DE1"/>
    <w:rsid w:val="00D060BB"/>
    <w:rsid w:val="00D064F1"/>
    <w:rsid w:val="00D06957"/>
    <w:rsid w:val="00D06997"/>
    <w:rsid w:val="00D0793E"/>
    <w:rsid w:val="00D102D3"/>
    <w:rsid w:val="00D10D49"/>
    <w:rsid w:val="00D11573"/>
    <w:rsid w:val="00D118CB"/>
    <w:rsid w:val="00D1196A"/>
    <w:rsid w:val="00D1196E"/>
    <w:rsid w:val="00D12B66"/>
    <w:rsid w:val="00D12E80"/>
    <w:rsid w:val="00D13398"/>
    <w:rsid w:val="00D1372E"/>
    <w:rsid w:val="00D16F87"/>
    <w:rsid w:val="00D20100"/>
    <w:rsid w:val="00D215BA"/>
    <w:rsid w:val="00D21857"/>
    <w:rsid w:val="00D21DDA"/>
    <w:rsid w:val="00D224CE"/>
    <w:rsid w:val="00D23399"/>
    <w:rsid w:val="00D23565"/>
    <w:rsid w:val="00D23D83"/>
    <w:rsid w:val="00D24798"/>
    <w:rsid w:val="00D25CF6"/>
    <w:rsid w:val="00D26598"/>
    <w:rsid w:val="00D27890"/>
    <w:rsid w:val="00D27F9F"/>
    <w:rsid w:val="00D30333"/>
    <w:rsid w:val="00D30344"/>
    <w:rsid w:val="00D3043C"/>
    <w:rsid w:val="00D306EF"/>
    <w:rsid w:val="00D30948"/>
    <w:rsid w:val="00D30B9C"/>
    <w:rsid w:val="00D311C6"/>
    <w:rsid w:val="00D31ECB"/>
    <w:rsid w:val="00D32289"/>
    <w:rsid w:val="00D32557"/>
    <w:rsid w:val="00D32580"/>
    <w:rsid w:val="00D32762"/>
    <w:rsid w:val="00D32D49"/>
    <w:rsid w:val="00D32FFC"/>
    <w:rsid w:val="00D330C2"/>
    <w:rsid w:val="00D33471"/>
    <w:rsid w:val="00D3359A"/>
    <w:rsid w:val="00D33DC9"/>
    <w:rsid w:val="00D343D6"/>
    <w:rsid w:val="00D3468A"/>
    <w:rsid w:val="00D34E46"/>
    <w:rsid w:val="00D34FA9"/>
    <w:rsid w:val="00D35B0A"/>
    <w:rsid w:val="00D360DD"/>
    <w:rsid w:val="00D368B9"/>
    <w:rsid w:val="00D37007"/>
    <w:rsid w:val="00D370EB"/>
    <w:rsid w:val="00D400F7"/>
    <w:rsid w:val="00D41191"/>
    <w:rsid w:val="00D42360"/>
    <w:rsid w:val="00D43B10"/>
    <w:rsid w:val="00D43C0D"/>
    <w:rsid w:val="00D442D6"/>
    <w:rsid w:val="00D44E49"/>
    <w:rsid w:val="00D4547F"/>
    <w:rsid w:val="00D45F2B"/>
    <w:rsid w:val="00D467FE"/>
    <w:rsid w:val="00D46F2B"/>
    <w:rsid w:val="00D477D9"/>
    <w:rsid w:val="00D47EE3"/>
    <w:rsid w:val="00D50773"/>
    <w:rsid w:val="00D51A8C"/>
    <w:rsid w:val="00D52157"/>
    <w:rsid w:val="00D52396"/>
    <w:rsid w:val="00D52688"/>
    <w:rsid w:val="00D52E39"/>
    <w:rsid w:val="00D53117"/>
    <w:rsid w:val="00D53149"/>
    <w:rsid w:val="00D540C5"/>
    <w:rsid w:val="00D54E88"/>
    <w:rsid w:val="00D55A60"/>
    <w:rsid w:val="00D56329"/>
    <w:rsid w:val="00D563E7"/>
    <w:rsid w:val="00D56F7F"/>
    <w:rsid w:val="00D57123"/>
    <w:rsid w:val="00D57468"/>
    <w:rsid w:val="00D600BA"/>
    <w:rsid w:val="00D60B34"/>
    <w:rsid w:val="00D61527"/>
    <w:rsid w:val="00D617B7"/>
    <w:rsid w:val="00D618E9"/>
    <w:rsid w:val="00D62996"/>
    <w:rsid w:val="00D62C6B"/>
    <w:rsid w:val="00D632DA"/>
    <w:rsid w:val="00D63373"/>
    <w:rsid w:val="00D63F1D"/>
    <w:rsid w:val="00D647C0"/>
    <w:rsid w:val="00D65723"/>
    <w:rsid w:val="00D659AE"/>
    <w:rsid w:val="00D660B5"/>
    <w:rsid w:val="00D668AB"/>
    <w:rsid w:val="00D66945"/>
    <w:rsid w:val="00D66B6A"/>
    <w:rsid w:val="00D671F2"/>
    <w:rsid w:val="00D67B01"/>
    <w:rsid w:val="00D718B3"/>
    <w:rsid w:val="00D71E2D"/>
    <w:rsid w:val="00D730DF"/>
    <w:rsid w:val="00D745AF"/>
    <w:rsid w:val="00D7552B"/>
    <w:rsid w:val="00D76978"/>
    <w:rsid w:val="00D76E0F"/>
    <w:rsid w:val="00D80B47"/>
    <w:rsid w:val="00D81237"/>
    <w:rsid w:val="00D812BD"/>
    <w:rsid w:val="00D81BE7"/>
    <w:rsid w:val="00D822DB"/>
    <w:rsid w:val="00D826A8"/>
    <w:rsid w:val="00D83760"/>
    <w:rsid w:val="00D83BDB"/>
    <w:rsid w:val="00D85AF2"/>
    <w:rsid w:val="00D85F22"/>
    <w:rsid w:val="00D86BEE"/>
    <w:rsid w:val="00D87D31"/>
    <w:rsid w:val="00D907C4"/>
    <w:rsid w:val="00D9108C"/>
    <w:rsid w:val="00D91913"/>
    <w:rsid w:val="00D9195C"/>
    <w:rsid w:val="00D91A4D"/>
    <w:rsid w:val="00D950AB"/>
    <w:rsid w:val="00D95425"/>
    <w:rsid w:val="00D957BA"/>
    <w:rsid w:val="00D957BC"/>
    <w:rsid w:val="00D966CE"/>
    <w:rsid w:val="00D967A3"/>
    <w:rsid w:val="00D973BD"/>
    <w:rsid w:val="00DA1344"/>
    <w:rsid w:val="00DA19CA"/>
    <w:rsid w:val="00DA1E74"/>
    <w:rsid w:val="00DA26BF"/>
    <w:rsid w:val="00DA2B69"/>
    <w:rsid w:val="00DA2C59"/>
    <w:rsid w:val="00DA3774"/>
    <w:rsid w:val="00DA3838"/>
    <w:rsid w:val="00DA3BC3"/>
    <w:rsid w:val="00DA4842"/>
    <w:rsid w:val="00DA49E0"/>
    <w:rsid w:val="00DA5739"/>
    <w:rsid w:val="00DA5A62"/>
    <w:rsid w:val="00DA6510"/>
    <w:rsid w:val="00DA729B"/>
    <w:rsid w:val="00DA7592"/>
    <w:rsid w:val="00DB013A"/>
    <w:rsid w:val="00DB175C"/>
    <w:rsid w:val="00DB28F5"/>
    <w:rsid w:val="00DB2932"/>
    <w:rsid w:val="00DB2A02"/>
    <w:rsid w:val="00DB4050"/>
    <w:rsid w:val="00DB5DBB"/>
    <w:rsid w:val="00DB7D85"/>
    <w:rsid w:val="00DB7FB5"/>
    <w:rsid w:val="00DC0841"/>
    <w:rsid w:val="00DC2934"/>
    <w:rsid w:val="00DC2E7C"/>
    <w:rsid w:val="00DC327D"/>
    <w:rsid w:val="00DC3C6C"/>
    <w:rsid w:val="00DC4123"/>
    <w:rsid w:val="00DC5425"/>
    <w:rsid w:val="00DC5A00"/>
    <w:rsid w:val="00DC5AD4"/>
    <w:rsid w:val="00DC6F41"/>
    <w:rsid w:val="00DC799C"/>
    <w:rsid w:val="00DD1716"/>
    <w:rsid w:val="00DD2A65"/>
    <w:rsid w:val="00DD2B17"/>
    <w:rsid w:val="00DD3C43"/>
    <w:rsid w:val="00DD6718"/>
    <w:rsid w:val="00DD7B06"/>
    <w:rsid w:val="00DE0B41"/>
    <w:rsid w:val="00DE0E2E"/>
    <w:rsid w:val="00DE1273"/>
    <w:rsid w:val="00DE1B7E"/>
    <w:rsid w:val="00DE2B09"/>
    <w:rsid w:val="00DE2C0B"/>
    <w:rsid w:val="00DE2EEF"/>
    <w:rsid w:val="00DE335C"/>
    <w:rsid w:val="00DE363D"/>
    <w:rsid w:val="00DE4368"/>
    <w:rsid w:val="00DE43DE"/>
    <w:rsid w:val="00DE472D"/>
    <w:rsid w:val="00DE61E8"/>
    <w:rsid w:val="00DE6335"/>
    <w:rsid w:val="00DE63E0"/>
    <w:rsid w:val="00DE74F1"/>
    <w:rsid w:val="00DE7C04"/>
    <w:rsid w:val="00DF0C57"/>
    <w:rsid w:val="00DF371D"/>
    <w:rsid w:val="00DF3DAA"/>
    <w:rsid w:val="00DF54DB"/>
    <w:rsid w:val="00DF55E9"/>
    <w:rsid w:val="00DF5EC7"/>
    <w:rsid w:val="00DF6620"/>
    <w:rsid w:val="00DF66FC"/>
    <w:rsid w:val="00DF6D08"/>
    <w:rsid w:val="00DF6DD1"/>
    <w:rsid w:val="00DF74EB"/>
    <w:rsid w:val="00DF786C"/>
    <w:rsid w:val="00E003C8"/>
    <w:rsid w:val="00E005D9"/>
    <w:rsid w:val="00E0128E"/>
    <w:rsid w:val="00E01793"/>
    <w:rsid w:val="00E01825"/>
    <w:rsid w:val="00E02664"/>
    <w:rsid w:val="00E02A45"/>
    <w:rsid w:val="00E03DA3"/>
    <w:rsid w:val="00E043F6"/>
    <w:rsid w:val="00E0573E"/>
    <w:rsid w:val="00E06571"/>
    <w:rsid w:val="00E073CD"/>
    <w:rsid w:val="00E07AE2"/>
    <w:rsid w:val="00E07AE8"/>
    <w:rsid w:val="00E11589"/>
    <w:rsid w:val="00E123AF"/>
    <w:rsid w:val="00E129AC"/>
    <w:rsid w:val="00E12B3A"/>
    <w:rsid w:val="00E13354"/>
    <w:rsid w:val="00E13816"/>
    <w:rsid w:val="00E14145"/>
    <w:rsid w:val="00E14295"/>
    <w:rsid w:val="00E1455B"/>
    <w:rsid w:val="00E148D4"/>
    <w:rsid w:val="00E149D0"/>
    <w:rsid w:val="00E14E11"/>
    <w:rsid w:val="00E1510E"/>
    <w:rsid w:val="00E1611A"/>
    <w:rsid w:val="00E162A6"/>
    <w:rsid w:val="00E16614"/>
    <w:rsid w:val="00E16B51"/>
    <w:rsid w:val="00E16D7E"/>
    <w:rsid w:val="00E174D9"/>
    <w:rsid w:val="00E21D68"/>
    <w:rsid w:val="00E2207C"/>
    <w:rsid w:val="00E22374"/>
    <w:rsid w:val="00E227F7"/>
    <w:rsid w:val="00E22C03"/>
    <w:rsid w:val="00E23053"/>
    <w:rsid w:val="00E232B2"/>
    <w:rsid w:val="00E2370B"/>
    <w:rsid w:val="00E25B72"/>
    <w:rsid w:val="00E261A2"/>
    <w:rsid w:val="00E261BC"/>
    <w:rsid w:val="00E26EF5"/>
    <w:rsid w:val="00E2747C"/>
    <w:rsid w:val="00E31574"/>
    <w:rsid w:val="00E32449"/>
    <w:rsid w:val="00E32D33"/>
    <w:rsid w:val="00E33174"/>
    <w:rsid w:val="00E3342B"/>
    <w:rsid w:val="00E33487"/>
    <w:rsid w:val="00E34356"/>
    <w:rsid w:val="00E34442"/>
    <w:rsid w:val="00E345E0"/>
    <w:rsid w:val="00E34B32"/>
    <w:rsid w:val="00E35198"/>
    <w:rsid w:val="00E36381"/>
    <w:rsid w:val="00E365A2"/>
    <w:rsid w:val="00E36B21"/>
    <w:rsid w:val="00E36F28"/>
    <w:rsid w:val="00E37208"/>
    <w:rsid w:val="00E375A6"/>
    <w:rsid w:val="00E375D9"/>
    <w:rsid w:val="00E378F1"/>
    <w:rsid w:val="00E400EF"/>
    <w:rsid w:val="00E4025C"/>
    <w:rsid w:val="00E40A8E"/>
    <w:rsid w:val="00E40B10"/>
    <w:rsid w:val="00E41327"/>
    <w:rsid w:val="00E4158E"/>
    <w:rsid w:val="00E41A7E"/>
    <w:rsid w:val="00E42E16"/>
    <w:rsid w:val="00E43282"/>
    <w:rsid w:val="00E440FB"/>
    <w:rsid w:val="00E44167"/>
    <w:rsid w:val="00E445C3"/>
    <w:rsid w:val="00E44BC1"/>
    <w:rsid w:val="00E46B2E"/>
    <w:rsid w:val="00E46C37"/>
    <w:rsid w:val="00E51080"/>
    <w:rsid w:val="00E523E7"/>
    <w:rsid w:val="00E530D4"/>
    <w:rsid w:val="00E53258"/>
    <w:rsid w:val="00E53508"/>
    <w:rsid w:val="00E550EE"/>
    <w:rsid w:val="00E56661"/>
    <w:rsid w:val="00E56D5A"/>
    <w:rsid w:val="00E57244"/>
    <w:rsid w:val="00E60911"/>
    <w:rsid w:val="00E61A70"/>
    <w:rsid w:val="00E61B28"/>
    <w:rsid w:val="00E61BE5"/>
    <w:rsid w:val="00E6284C"/>
    <w:rsid w:val="00E63809"/>
    <w:rsid w:val="00E63F80"/>
    <w:rsid w:val="00E64E66"/>
    <w:rsid w:val="00E669DF"/>
    <w:rsid w:val="00E7022E"/>
    <w:rsid w:val="00E70369"/>
    <w:rsid w:val="00E711DA"/>
    <w:rsid w:val="00E719A9"/>
    <w:rsid w:val="00E72360"/>
    <w:rsid w:val="00E723CB"/>
    <w:rsid w:val="00E728D7"/>
    <w:rsid w:val="00E74F64"/>
    <w:rsid w:val="00E75085"/>
    <w:rsid w:val="00E750C0"/>
    <w:rsid w:val="00E761E3"/>
    <w:rsid w:val="00E7641D"/>
    <w:rsid w:val="00E7690C"/>
    <w:rsid w:val="00E773C9"/>
    <w:rsid w:val="00E77599"/>
    <w:rsid w:val="00E77780"/>
    <w:rsid w:val="00E77813"/>
    <w:rsid w:val="00E77874"/>
    <w:rsid w:val="00E8015B"/>
    <w:rsid w:val="00E80247"/>
    <w:rsid w:val="00E813C2"/>
    <w:rsid w:val="00E818A5"/>
    <w:rsid w:val="00E8443A"/>
    <w:rsid w:val="00E857D5"/>
    <w:rsid w:val="00E85C93"/>
    <w:rsid w:val="00E8609A"/>
    <w:rsid w:val="00E86957"/>
    <w:rsid w:val="00E87C38"/>
    <w:rsid w:val="00E90005"/>
    <w:rsid w:val="00E90C0F"/>
    <w:rsid w:val="00E91642"/>
    <w:rsid w:val="00E91F60"/>
    <w:rsid w:val="00E93C9A"/>
    <w:rsid w:val="00E93FF0"/>
    <w:rsid w:val="00E950B5"/>
    <w:rsid w:val="00E95487"/>
    <w:rsid w:val="00E9697A"/>
    <w:rsid w:val="00E96B53"/>
    <w:rsid w:val="00E96B88"/>
    <w:rsid w:val="00E974F5"/>
    <w:rsid w:val="00EA04A4"/>
    <w:rsid w:val="00EA0601"/>
    <w:rsid w:val="00EA073E"/>
    <w:rsid w:val="00EA1382"/>
    <w:rsid w:val="00EA1D83"/>
    <w:rsid w:val="00EA2E28"/>
    <w:rsid w:val="00EA3D1D"/>
    <w:rsid w:val="00EA42C7"/>
    <w:rsid w:val="00EA61D8"/>
    <w:rsid w:val="00EA6561"/>
    <w:rsid w:val="00EB0B0A"/>
    <w:rsid w:val="00EB2024"/>
    <w:rsid w:val="00EB3669"/>
    <w:rsid w:val="00EB39E9"/>
    <w:rsid w:val="00EB3BCA"/>
    <w:rsid w:val="00EB3C44"/>
    <w:rsid w:val="00EB3CCE"/>
    <w:rsid w:val="00EB4411"/>
    <w:rsid w:val="00EB4562"/>
    <w:rsid w:val="00EB48EA"/>
    <w:rsid w:val="00EB6A11"/>
    <w:rsid w:val="00EC008F"/>
    <w:rsid w:val="00EC3031"/>
    <w:rsid w:val="00EC309C"/>
    <w:rsid w:val="00EC3654"/>
    <w:rsid w:val="00EC401B"/>
    <w:rsid w:val="00EC5308"/>
    <w:rsid w:val="00EC546F"/>
    <w:rsid w:val="00EC7EA5"/>
    <w:rsid w:val="00ED0B89"/>
    <w:rsid w:val="00ED0FB4"/>
    <w:rsid w:val="00ED10D4"/>
    <w:rsid w:val="00ED1A57"/>
    <w:rsid w:val="00ED229E"/>
    <w:rsid w:val="00ED2377"/>
    <w:rsid w:val="00ED26C6"/>
    <w:rsid w:val="00ED2B6E"/>
    <w:rsid w:val="00ED2EFD"/>
    <w:rsid w:val="00ED34A7"/>
    <w:rsid w:val="00ED41B5"/>
    <w:rsid w:val="00ED75DA"/>
    <w:rsid w:val="00ED782D"/>
    <w:rsid w:val="00EE0F43"/>
    <w:rsid w:val="00EE1312"/>
    <w:rsid w:val="00EE21F1"/>
    <w:rsid w:val="00EE2296"/>
    <w:rsid w:val="00EE24C2"/>
    <w:rsid w:val="00EE37FD"/>
    <w:rsid w:val="00EE3BF3"/>
    <w:rsid w:val="00EE47A0"/>
    <w:rsid w:val="00EE4D38"/>
    <w:rsid w:val="00EE59DF"/>
    <w:rsid w:val="00EE667A"/>
    <w:rsid w:val="00EE71ED"/>
    <w:rsid w:val="00EE797D"/>
    <w:rsid w:val="00EF04F3"/>
    <w:rsid w:val="00EF0BA1"/>
    <w:rsid w:val="00EF0C64"/>
    <w:rsid w:val="00EF0D69"/>
    <w:rsid w:val="00EF0F6F"/>
    <w:rsid w:val="00EF22CE"/>
    <w:rsid w:val="00EF2547"/>
    <w:rsid w:val="00EF25F0"/>
    <w:rsid w:val="00EF2C09"/>
    <w:rsid w:val="00EF305B"/>
    <w:rsid w:val="00EF3064"/>
    <w:rsid w:val="00EF3A48"/>
    <w:rsid w:val="00EF3E4C"/>
    <w:rsid w:val="00EF4308"/>
    <w:rsid w:val="00EF4609"/>
    <w:rsid w:val="00EF54A4"/>
    <w:rsid w:val="00EF7064"/>
    <w:rsid w:val="00EF7281"/>
    <w:rsid w:val="00EF79F4"/>
    <w:rsid w:val="00F00562"/>
    <w:rsid w:val="00F0070D"/>
    <w:rsid w:val="00F00E41"/>
    <w:rsid w:val="00F00F93"/>
    <w:rsid w:val="00F01307"/>
    <w:rsid w:val="00F0335A"/>
    <w:rsid w:val="00F03C5B"/>
    <w:rsid w:val="00F03DB7"/>
    <w:rsid w:val="00F03DBE"/>
    <w:rsid w:val="00F0408E"/>
    <w:rsid w:val="00F045FD"/>
    <w:rsid w:val="00F04C17"/>
    <w:rsid w:val="00F04F55"/>
    <w:rsid w:val="00F05741"/>
    <w:rsid w:val="00F05C9B"/>
    <w:rsid w:val="00F06848"/>
    <w:rsid w:val="00F072AB"/>
    <w:rsid w:val="00F07395"/>
    <w:rsid w:val="00F07DE6"/>
    <w:rsid w:val="00F101B7"/>
    <w:rsid w:val="00F12704"/>
    <w:rsid w:val="00F1275B"/>
    <w:rsid w:val="00F12C44"/>
    <w:rsid w:val="00F12CE2"/>
    <w:rsid w:val="00F1303A"/>
    <w:rsid w:val="00F14D90"/>
    <w:rsid w:val="00F15444"/>
    <w:rsid w:val="00F15694"/>
    <w:rsid w:val="00F15FAE"/>
    <w:rsid w:val="00F15FF6"/>
    <w:rsid w:val="00F16338"/>
    <w:rsid w:val="00F16647"/>
    <w:rsid w:val="00F1793D"/>
    <w:rsid w:val="00F20794"/>
    <w:rsid w:val="00F219AD"/>
    <w:rsid w:val="00F21ECE"/>
    <w:rsid w:val="00F223C4"/>
    <w:rsid w:val="00F22451"/>
    <w:rsid w:val="00F231BE"/>
    <w:rsid w:val="00F237FA"/>
    <w:rsid w:val="00F238E0"/>
    <w:rsid w:val="00F23A17"/>
    <w:rsid w:val="00F2523D"/>
    <w:rsid w:val="00F253AE"/>
    <w:rsid w:val="00F2550C"/>
    <w:rsid w:val="00F25A53"/>
    <w:rsid w:val="00F26055"/>
    <w:rsid w:val="00F26119"/>
    <w:rsid w:val="00F27034"/>
    <w:rsid w:val="00F270C9"/>
    <w:rsid w:val="00F27D75"/>
    <w:rsid w:val="00F30C08"/>
    <w:rsid w:val="00F310D9"/>
    <w:rsid w:val="00F318DF"/>
    <w:rsid w:val="00F3202D"/>
    <w:rsid w:val="00F3208A"/>
    <w:rsid w:val="00F324B6"/>
    <w:rsid w:val="00F330CB"/>
    <w:rsid w:val="00F33303"/>
    <w:rsid w:val="00F335FB"/>
    <w:rsid w:val="00F33A54"/>
    <w:rsid w:val="00F33B8E"/>
    <w:rsid w:val="00F347B4"/>
    <w:rsid w:val="00F351D9"/>
    <w:rsid w:val="00F353C4"/>
    <w:rsid w:val="00F35BC0"/>
    <w:rsid w:val="00F36381"/>
    <w:rsid w:val="00F36422"/>
    <w:rsid w:val="00F371B5"/>
    <w:rsid w:val="00F37391"/>
    <w:rsid w:val="00F376D6"/>
    <w:rsid w:val="00F40D35"/>
    <w:rsid w:val="00F40FAA"/>
    <w:rsid w:val="00F418AD"/>
    <w:rsid w:val="00F419CE"/>
    <w:rsid w:val="00F41F75"/>
    <w:rsid w:val="00F422EF"/>
    <w:rsid w:val="00F42A25"/>
    <w:rsid w:val="00F42DCE"/>
    <w:rsid w:val="00F43049"/>
    <w:rsid w:val="00F43058"/>
    <w:rsid w:val="00F43967"/>
    <w:rsid w:val="00F46F00"/>
    <w:rsid w:val="00F46FE5"/>
    <w:rsid w:val="00F4721F"/>
    <w:rsid w:val="00F47249"/>
    <w:rsid w:val="00F474F3"/>
    <w:rsid w:val="00F4768C"/>
    <w:rsid w:val="00F47B73"/>
    <w:rsid w:val="00F47C5B"/>
    <w:rsid w:val="00F47E9E"/>
    <w:rsid w:val="00F50252"/>
    <w:rsid w:val="00F51311"/>
    <w:rsid w:val="00F5193B"/>
    <w:rsid w:val="00F51AE6"/>
    <w:rsid w:val="00F51D08"/>
    <w:rsid w:val="00F523A6"/>
    <w:rsid w:val="00F5299D"/>
    <w:rsid w:val="00F52AC1"/>
    <w:rsid w:val="00F52FFF"/>
    <w:rsid w:val="00F5366F"/>
    <w:rsid w:val="00F53A8E"/>
    <w:rsid w:val="00F53F16"/>
    <w:rsid w:val="00F5400D"/>
    <w:rsid w:val="00F544BF"/>
    <w:rsid w:val="00F54BA7"/>
    <w:rsid w:val="00F54C7D"/>
    <w:rsid w:val="00F55408"/>
    <w:rsid w:val="00F55FD0"/>
    <w:rsid w:val="00F5638B"/>
    <w:rsid w:val="00F56750"/>
    <w:rsid w:val="00F574F3"/>
    <w:rsid w:val="00F5766D"/>
    <w:rsid w:val="00F6064B"/>
    <w:rsid w:val="00F60683"/>
    <w:rsid w:val="00F607CD"/>
    <w:rsid w:val="00F608D1"/>
    <w:rsid w:val="00F61982"/>
    <w:rsid w:val="00F62D25"/>
    <w:rsid w:val="00F63319"/>
    <w:rsid w:val="00F6333B"/>
    <w:rsid w:val="00F64200"/>
    <w:rsid w:val="00F659E6"/>
    <w:rsid w:val="00F70776"/>
    <w:rsid w:val="00F7114A"/>
    <w:rsid w:val="00F717D7"/>
    <w:rsid w:val="00F718BC"/>
    <w:rsid w:val="00F71E4B"/>
    <w:rsid w:val="00F72279"/>
    <w:rsid w:val="00F727FF"/>
    <w:rsid w:val="00F74521"/>
    <w:rsid w:val="00F74C90"/>
    <w:rsid w:val="00F7536E"/>
    <w:rsid w:val="00F763CA"/>
    <w:rsid w:val="00F76935"/>
    <w:rsid w:val="00F76E78"/>
    <w:rsid w:val="00F77C6B"/>
    <w:rsid w:val="00F8073C"/>
    <w:rsid w:val="00F80F91"/>
    <w:rsid w:val="00F82066"/>
    <w:rsid w:val="00F820C4"/>
    <w:rsid w:val="00F838A8"/>
    <w:rsid w:val="00F83FD7"/>
    <w:rsid w:val="00F842DE"/>
    <w:rsid w:val="00F84A12"/>
    <w:rsid w:val="00F85DB3"/>
    <w:rsid w:val="00F8685C"/>
    <w:rsid w:val="00F87278"/>
    <w:rsid w:val="00F87D86"/>
    <w:rsid w:val="00F87D9A"/>
    <w:rsid w:val="00F900DF"/>
    <w:rsid w:val="00F90C66"/>
    <w:rsid w:val="00F9333F"/>
    <w:rsid w:val="00F933C8"/>
    <w:rsid w:val="00F94ABC"/>
    <w:rsid w:val="00F954A5"/>
    <w:rsid w:val="00F9709F"/>
    <w:rsid w:val="00F9725A"/>
    <w:rsid w:val="00F97A4B"/>
    <w:rsid w:val="00F97C20"/>
    <w:rsid w:val="00F97E7E"/>
    <w:rsid w:val="00FA07AF"/>
    <w:rsid w:val="00FA088A"/>
    <w:rsid w:val="00FA116B"/>
    <w:rsid w:val="00FA28B4"/>
    <w:rsid w:val="00FA29AC"/>
    <w:rsid w:val="00FA33E2"/>
    <w:rsid w:val="00FA4289"/>
    <w:rsid w:val="00FA4F25"/>
    <w:rsid w:val="00FA54A2"/>
    <w:rsid w:val="00FA5D17"/>
    <w:rsid w:val="00FA5DAC"/>
    <w:rsid w:val="00FA5DB4"/>
    <w:rsid w:val="00FA7330"/>
    <w:rsid w:val="00FA7F76"/>
    <w:rsid w:val="00FB0454"/>
    <w:rsid w:val="00FB06BB"/>
    <w:rsid w:val="00FB0CB4"/>
    <w:rsid w:val="00FB0E05"/>
    <w:rsid w:val="00FB1451"/>
    <w:rsid w:val="00FB22E3"/>
    <w:rsid w:val="00FB2AA4"/>
    <w:rsid w:val="00FB2B28"/>
    <w:rsid w:val="00FB2C03"/>
    <w:rsid w:val="00FB3091"/>
    <w:rsid w:val="00FB30EA"/>
    <w:rsid w:val="00FB3B7B"/>
    <w:rsid w:val="00FB45CA"/>
    <w:rsid w:val="00FB4696"/>
    <w:rsid w:val="00FB472E"/>
    <w:rsid w:val="00FB4846"/>
    <w:rsid w:val="00FB4B87"/>
    <w:rsid w:val="00FB4C31"/>
    <w:rsid w:val="00FB4E43"/>
    <w:rsid w:val="00FB54A4"/>
    <w:rsid w:val="00FB5508"/>
    <w:rsid w:val="00FB5636"/>
    <w:rsid w:val="00FB5641"/>
    <w:rsid w:val="00FB61A7"/>
    <w:rsid w:val="00FB61EE"/>
    <w:rsid w:val="00FB6206"/>
    <w:rsid w:val="00FB6FC3"/>
    <w:rsid w:val="00FB705F"/>
    <w:rsid w:val="00FB7F23"/>
    <w:rsid w:val="00FC14E1"/>
    <w:rsid w:val="00FC1E09"/>
    <w:rsid w:val="00FC1E8A"/>
    <w:rsid w:val="00FC217F"/>
    <w:rsid w:val="00FC2479"/>
    <w:rsid w:val="00FC2A05"/>
    <w:rsid w:val="00FC2F47"/>
    <w:rsid w:val="00FC34B8"/>
    <w:rsid w:val="00FC3777"/>
    <w:rsid w:val="00FC3BFD"/>
    <w:rsid w:val="00FC4C9B"/>
    <w:rsid w:val="00FC5375"/>
    <w:rsid w:val="00FC554B"/>
    <w:rsid w:val="00FC57B1"/>
    <w:rsid w:val="00FC5E66"/>
    <w:rsid w:val="00FC6907"/>
    <w:rsid w:val="00FC6B77"/>
    <w:rsid w:val="00FD1120"/>
    <w:rsid w:val="00FD1569"/>
    <w:rsid w:val="00FD2D1C"/>
    <w:rsid w:val="00FD2EAA"/>
    <w:rsid w:val="00FD5249"/>
    <w:rsid w:val="00FD6B45"/>
    <w:rsid w:val="00FD70FF"/>
    <w:rsid w:val="00FD7564"/>
    <w:rsid w:val="00FD7796"/>
    <w:rsid w:val="00FD7AC3"/>
    <w:rsid w:val="00FD7D10"/>
    <w:rsid w:val="00FE1469"/>
    <w:rsid w:val="00FE2241"/>
    <w:rsid w:val="00FE2405"/>
    <w:rsid w:val="00FE34E8"/>
    <w:rsid w:val="00FE3B5E"/>
    <w:rsid w:val="00FE4E51"/>
    <w:rsid w:val="00FE5493"/>
    <w:rsid w:val="00FE5770"/>
    <w:rsid w:val="00FE5A21"/>
    <w:rsid w:val="00FE600D"/>
    <w:rsid w:val="00FE6789"/>
    <w:rsid w:val="00FE6F34"/>
    <w:rsid w:val="00FE7158"/>
    <w:rsid w:val="00FE78D8"/>
    <w:rsid w:val="00FF036A"/>
    <w:rsid w:val="00FF073C"/>
    <w:rsid w:val="00FF0B16"/>
    <w:rsid w:val="00FF0D27"/>
    <w:rsid w:val="00FF1A32"/>
    <w:rsid w:val="00FF33A6"/>
    <w:rsid w:val="00FF364B"/>
    <w:rsid w:val="00FF3AB0"/>
    <w:rsid w:val="00FF4145"/>
    <w:rsid w:val="00FF4BF3"/>
    <w:rsid w:val="00FF56C5"/>
    <w:rsid w:val="00FF57B8"/>
    <w:rsid w:val="00FF5F34"/>
    <w:rsid w:val="00FF6786"/>
    <w:rsid w:val="00FF6DB2"/>
    <w:rsid w:val="00FF7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F583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pPr>
        <w:spacing w:after="160" w:line="480"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55CB"/>
  </w:style>
  <w:style w:type="paragraph" w:styleId="Heading1">
    <w:name w:val="heading 1"/>
    <w:basedOn w:val="Normal"/>
    <w:link w:val="Heading1Char"/>
    <w:uiPriority w:val="9"/>
    <w:qFormat/>
    <w:rsid w:val="004A285F"/>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nhideWhenUsed/>
    <w:qFormat/>
    <w:rsid w:val="001A0DD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APA">
    <w:name w:val="APA"/>
    <w:basedOn w:val="BodyText"/>
    <w:pPr>
      <w:spacing w:after="0"/>
      <w:ind w:firstLine="720"/>
    </w:pPr>
    <w:rPr>
      <w:sz w:val="24"/>
    </w:rPr>
  </w:style>
  <w:style w:type="paragraph" w:styleId="BodyText">
    <w:name w:val="Body Text"/>
    <w:basedOn w:val="Normal"/>
    <w:pPr>
      <w:spacing w:after="1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APAHeading1">
    <w:name w:val="APA Heading 1"/>
    <w:basedOn w:val="APA"/>
    <w:next w:val="APA"/>
    <w:rsid w:val="004B26B0"/>
    <w:pPr>
      <w:ind w:firstLine="0"/>
      <w:jc w:val="center"/>
      <w:outlineLvl w:val="0"/>
    </w:pPr>
    <w:rPr>
      <w:b/>
    </w:rPr>
  </w:style>
  <w:style w:type="paragraph" w:customStyle="1" w:styleId="APAHeading2">
    <w:name w:val="APA Heading 2"/>
    <w:basedOn w:val="APAHeading1"/>
    <w:next w:val="APA"/>
    <w:rsid w:val="004B26B0"/>
    <w:pPr>
      <w:jc w:val="left"/>
      <w:outlineLvl w:val="1"/>
    </w:pPr>
  </w:style>
  <w:style w:type="paragraph" w:customStyle="1" w:styleId="APAHeading3">
    <w:name w:val="APA Heading 3"/>
    <w:basedOn w:val="APAHeading1"/>
    <w:next w:val="APA"/>
    <w:rsid w:val="004B26B0"/>
    <w:pPr>
      <w:ind w:firstLine="720"/>
      <w:jc w:val="left"/>
      <w:outlineLvl w:val="2"/>
    </w:pPr>
  </w:style>
  <w:style w:type="paragraph" w:customStyle="1" w:styleId="APAHeading4">
    <w:name w:val="APA Heading 4"/>
    <w:basedOn w:val="APAHeading1"/>
    <w:next w:val="APA"/>
    <w:rsid w:val="000428F1"/>
    <w:pPr>
      <w:ind w:firstLine="720"/>
      <w:jc w:val="left"/>
      <w:outlineLvl w:val="3"/>
    </w:pPr>
    <w:rPr>
      <w:i/>
    </w:rPr>
  </w:style>
  <w:style w:type="paragraph" w:customStyle="1" w:styleId="APAHeading5">
    <w:name w:val="APA Heading 5"/>
    <w:basedOn w:val="APAHeading1"/>
    <w:next w:val="APA"/>
    <w:rsid w:val="00C53F13"/>
    <w:pPr>
      <w:ind w:firstLine="720"/>
      <w:jc w:val="left"/>
      <w:outlineLvl w:val="4"/>
    </w:pPr>
    <w:rPr>
      <w:b w:val="0"/>
      <w:i/>
    </w:rPr>
  </w:style>
  <w:style w:type="paragraph" w:customStyle="1" w:styleId="APABlockQuote1stpara">
    <w:name w:val="APA Block Quote 1st para"/>
    <w:basedOn w:val="APA"/>
    <w:next w:val="APA"/>
    <w:pPr>
      <w:ind w:left="720" w:firstLine="0"/>
    </w:pPr>
  </w:style>
  <w:style w:type="paragraph" w:customStyle="1" w:styleId="APABlockQuoteSubsequentPara">
    <w:name w:val="APA Block Quote Subsequent Para"/>
    <w:basedOn w:val="APA"/>
    <w:next w:val="APA"/>
    <w:pPr>
      <w:ind w:left="720"/>
    </w:pPr>
  </w:style>
  <w:style w:type="paragraph" w:customStyle="1" w:styleId="APAAbstract">
    <w:name w:val="APA Abstract"/>
    <w:basedOn w:val="APA"/>
    <w:rsid w:val="001E6595"/>
    <w:pPr>
      <w:ind w:firstLine="0"/>
    </w:pPr>
  </w:style>
  <w:style w:type="paragraph" w:customStyle="1" w:styleId="APARunningHead">
    <w:name w:val="APA Running Head"/>
    <w:basedOn w:val="Normal"/>
    <w:rPr>
      <w:sz w:val="24"/>
    </w:rPr>
  </w:style>
  <w:style w:type="paragraph" w:customStyle="1" w:styleId="APAPageHeading">
    <w:name w:val="APA Page Heading"/>
    <w:basedOn w:val="APA"/>
    <w:rsid w:val="004A1B0D"/>
    <w:pPr>
      <w:tabs>
        <w:tab w:val="right" w:pos="9360"/>
      </w:tabs>
      <w:ind w:firstLine="0"/>
    </w:pPr>
  </w:style>
  <w:style w:type="paragraph" w:customStyle="1" w:styleId="APAReference">
    <w:name w:val="APA Reference"/>
    <w:basedOn w:val="APA"/>
    <w:pPr>
      <w:ind w:left="720" w:hanging="720"/>
    </w:pPr>
  </w:style>
  <w:style w:type="paragraph" w:customStyle="1" w:styleId="APAHeadingCenter">
    <w:name w:val="APA Heading Center"/>
    <w:basedOn w:val="APA"/>
    <w:next w:val="APA"/>
    <w:rsid w:val="00640162"/>
    <w:pPr>
      <w:ind w:firstLine="0"/>
      <w:jc w:val="center"/>
    </w:pPr>
  </w:style>
  <w:style w:type="paragraph" w:customStyle="1" w:styleId="MLA">
    <w:name w:val="MLA"/>
    <w:rsid w:val="00964BF9"/>
    <w:pPr>
      <w:ind w:firstLine="720"/>
    </w:pPr>
    <w:rPr>
      <w:sz w:val="24"/>
    </w:rPr>
  </w:style>
  <w:style w:type="paragraph" w:customStyle="1" w:styleId="MLAReference">
    <w:name w:val="MLA Reference"/>
    <w:basedOn w:val="MLA"/>
    <w:rsid w:val="00964BF9"/>
    <w:pPr>
      <w:ind w:left="720" w:hanging="720"/>
    </w:pPr>
  </w:style>
  <w:style w:type="paragraph" w:customStyle="1" w:styleId="MLAPageHeading">
    <w:name w:val="MLA Page Heading"/>
    <w:basedOn w:val="MLA"/>
    <w:next w:val="MLA"/>
    <w:rsid w:val="000D2B19"/>
    <w:pPr>
      <w:ind w:firstLine="0"/>
      <w:jc w:val="right"/>
    </w:pPr>
  </w:style>
  <w:style w:type="paragraph" w:customStyle="1" w:styleId="MLAHeadingCenter">
    <w:name w:val="MLA Heading Center"/>
    <w:basedOn w:val="APAHeadingCenter"/>
    <w:next w:val="MLA"/>
    <w:rsid w:val="00964BF9"/>
  </w:style>
  <w:style w:type="paragraph" w:customStyle="1" w:styleId="MLASectionHeading1">
    <w:name w:val="MLA Section Heading 1"/>
    <w:basedOn w:val="MLA"/>
    <w:next w:val="MLA"/>
    <w:rsid w:val="00211BF1"/>
    <w:pPr>
      <w:ind w:firstLine="0"/>
      <w:outlineLvl w:val="0"/>
    </w:pPr>
    <w:rPr>
      <w:b/>
      <w:szCs w:val="24"/>
    </w:rPr>
  </w:style>
  <w:style w:type="paragraph" w:customStyle="1" w:styleId="MLASectionHeading2">
    <w:name w:val="MLA Section Heading 2"/>
    <w:basedOn w:val="MLA"/>
    <w:next w:val="MLA"/>
    <w:rsid w:val="00211BF1"/>
    <w:pPr>
      <w:ind w:firstLine="0"/>
      <w:outlineLvl w:val="1"/>
    </w:pPr>
    <w:rPr>
      <w:i/>
      <w:szCs w:val="24"/>
    </w:rPr>
  </w:style>
  <w:style w:type="paragraph" w:customStyle="1" w:styleId="MLASectionHeading3">
    <w:name w:val="MLA Section Heading 3"/>
    <w:basedOn w:val="MLA"/>
    <w:next w:val="MLA"/>
    <w:rsid w:val="00211BF1"/>
    <w:pPr>
      <w:ind w:firstLine="0"/>
      <w:jc w:val="center"/>
      <w:outlineLvl w:val="2"/>
    </w:pPr>
    <w:rPr>
      <w:b/>
      <w:szCs w:val="24"/>
    </w:rPr>
  </w:style>
  <w:style w:type="paragraph" w:customStyle="1" w:styleId="MLASectionHeading4">
    <w:name w:val="MLA Section Heading 4"/>
    <w:basedOn w:val="MLA"/>
    <w:next w:val="MLA"/>
    <w:rsid w:val="00211BF1"/>
    <w:pPr>
      <w:ind w:firstLine="0"/>
      <w:jc w:val="center"/>
      <w:outlineLvl w:val="3"/>
    </w:pPr>
    <w:rPr>
      <w:i/>
      <w:szCs w:val="24"/>
    </w:rPr>
  </w:style>
  <w:style w:type="paragraph" w:customStyle="1" w:styleId="MLASectionHeading5">
    <w:name w:val="MLA Section Heading 5"/>
    <w:basedOn w:val="MLA"/>
    <w:next w:val="MLA"/>
    <w:rsid w:val="00211BF1"/>
    <w:pPr>
      <w:ind w:firstLine="0"/>
      <w:outlineLvl w:val="4"/>
    </w:pPr>
    <w:rPr>
      <w:szCs w:val="24"/>
      <w:u w:val="single"/>
    </w:rPr>
  </w:style>
  <w:style w:type="paragraph" w:customStyle="1" w:styleId="MLATitleInfo">
    <w:name w:val="MLA Title Info"/>
    <w:basedOn w:val="MLA"/>
    <w:next w:val="MLA"/>
    <w:rsid w:val="00035FF6"/>
    <w:pPr>
      <w:ind w:firstLine="0"/>
    </w:pPr>
  </w:style>
  <w:style w:type="paragraph" w:customStyle="1" w:styleId="APAAnnotation">
    <w:name w:val="APA Annotation"/>
    <w:basedOn w:val="APA"/>
    <w:next w:val="APAReference"/>
    <w:link w:val="APAAnnotationChar"/>
    <w:rsid w:val="0014356D"/>
    <w:pPr>
      <w:spacing w:after="240"/>
      <w:ind w:left="720" w:firstLine="0"/>
    </w:pPr>
  </w:style>
  <w:style w:type="character" w:customStyle="1" w:styleId="APAAnnotationChar">
    <w:name w:val="APA Annotation Char"/>
    <w:link w:val="APAAnnotation"/>
    <w:rsid w:val="0014356D"/>
    <w:rPr>
      <w:sz w:val="24"/>
    </w:rPr>
  </w:style>
  <w:style w:type="paragraph" w:customStyle="1" w:styleId="APAHeadingCenterIncludedInTOC">
    <w:name w:val="APA Heading Center Included In TOC"/>
    <w:basedOn w:val="APA"/>
    <w:next w:val="APA"/>
    <w:link w:val="APAHeadingCenterIncludedInTOCChar"/>
    <w:rsid w:val="0014356D"/>
    <w:pPr>
      <w:ind w:firstLine="0"/>
      <w:jc w:val="center"/>
      <w:outlineLvl w:val="0"/>
    </w:pPr>
  </w:style>
  <w:style w:type="character" w:customStyle="1" w:styleId="APAHeadingCenterIncludedInTOCChar">
    <w:name w:val="APA Heading Center Included In TOC Char"/>
    <w:link w:val="APAHeadingCenterIncludedInTOC"/>
    <w:rsid w:val="0014356D"/>
    <w:rPr>
      <w:sz w:val="24"/>
    </w:rPr>
  </w:style>
  <w:style w:type="paragraph" w:customStyle="1" w:styleId="APAOutlineLevel1">
    <w:name w:val="APA Outline Level 1"/>
    <w:basedOn w:val="APA"/>
    <w:next w:val="APA"/>
    <w:link w:val="APAOutlineLevel1Char"/>
    <w:rsid w:val="0014356D"/>
    <w:pPr>
      <w:spacing w:after="240"/>
      <w:ind w:firstLine="0"/>
    </w:pPr>
  </w:style>
  <w:style w:type="character" w:customStyle="1" w:styleId="APAOutlineLevel1Char">
    <w:name w:val="APA Outline Level 1 Char"/>
    <w:link w:val="APAOutlineLevel1"/>
    <w:rsid w:val="0014356D"/>
    <w:rPr>
      <w:sz w:val="24"/>
    </w:rPr>
  </w:style>
  <w:style w:type="paragraph" w:customStyle="1" w:styleId="APAOutlineLevel2">
    <w:name w:val="APA Outline Level 2"/>
    <w:basedOn w:val="APA"/>
    <w:next w:val="APA"/>
    <w:link w:val="APAOutlineLevel2Char"/>
    <w:rsid w:val="0014356D"/>
    <w:pPr>
      <w:spacing w:after="240"/>
      <w:ind w:left="720" w:firstLine="0"/>
    </w:pPr>
  </w:style>
  <w:style w:type="character" w:customStyle="1" w:styleId="APAOutlineLevel2Char">
    <w:name w:val="APA Outline Level 2 Char"/>
    <w:link w:val="APAOutlineLevel2"/>
    <w:rsid w:val="0014356D"/>
    <w:rPr>
      <w:sz w:val="24"/>
    </w:rPr>
  </w:style>
  <w:style w:type="paragraph" w:customStyle="1" w:styleId="APAOutlineLevel3">
    <w:name w:val="APA Outline Level 3"/>
    <w:basedOn w:val="APA"/>
    <w:next w:val="APA"/>
    <w:link w:val="APAOutlineLevel3Char"/>
    <w:rsid w:val="0014356D"/>
    <w:pPr>
      <w:spacing w:after="240"/>
      <w:ind w:left="1440" w:firstLine="0"/>
    </w:pPr>
  </w:style>
  <w:style w:type="character" w:customStyle="1" w:styleId="APAOutlineLevel3Char">
    <w:name w:val="APA Outline Level 3 Char"/>
    <w:link w:val="APAOutlineLevel3"/>
    <w:rsid w:val="0014356D"/>
    <w:rPr>
      <w:sz w:val="24"/>
    </w:rPr>
  </w:style>
  <w:style w:type="paragraph" w:customStyle="1" w:styleId="APAOutlineLevel4">
    <w:name w:val="APA Outline Level 4"/>
    <w:basedOn w:val="APA"/>
    <w:next w:val="APA"/>
    <w:link w:val="APAOutlineLevel4Char"/>
    <w:rsid w:val="0014356D"/>
    <w:pPr>
      <w:spacing w:after="240"/>
      <w:ind w:left="2160" w:firstLine="0"/>
    </w:pPr>
  </w:style>
  <w:style w:type="character" w:customStyle="1" w:styleId="APAOutlineLevel4Char">
    <w:name w:val="APA Outline Level 4 Char"/>
    <w:link w:val="APAOutlineLevel4"/>
    <w:rsid w:val="0014356D"/>
    <w:rPr>
      <w:sz w:val="24"/>
    </w:rPr>
  </w:style>
  <w:style w:type="paragraph" w:customStyle="1" w:styleId="APAOutlineLevel5">
    <w:name w:val="APA Outline Level 5"/>
    <w:basedOn w:val="APA"/>
    <w:next w:val="APA"/>
    <w:link w:val="APAOutlineLevel5Char"/>
    <w:rsid w:val="0014356D"/>
    <w:pPr>
      <w:spacing w:after="240"/>
      <w:ind w:left="2880" w:firstLine="0"/>
    </w:pPr>
  </w:style>
  <w:style w:type="character" w:customStyle="1" w:styleId="APAOutlineLevel5Char">
    <w:name w:val="APA Outline Level 5 Char"/>
    <w:link w:val="APAOutlineLevel5"/>
    <w:rsid w:val="0014356D"/>
    <w:rPr>
      <w:sz w:val="24"/>
    </w:rPr>
  </w:style>
  <w:style w:type="paragraph" w:customStyle="1" w:styleId="APAOutlineLevel6">
    <w:name w:val="APA Outline Level 6"/>
    <w:basedOn w:val="APA"/>
    <w:next w:val="APA"/>
    <w:link w:val="APAOutlineLevel6Char"/>
    <w:rsid w:val="0014356D"/>
    <w:pPr>
      <w:spacing w:after="240"/>
      <w:ind w:left="3600" w:firstLine="0"/>
    </w:pPr>
  </w:style>
  <w:style w:type="character" w:customStyle="1" w:styleId="APAOutlineLevel6Char">
    <w:name w:val="APA Outline Level 6 Char"/>
    <w:link w:val="APAOutlineLevel6"/>
    <w:rsid w:val="0014356D"/>
    <w:rPr>
      <w:sz w:val="24"/>
    </w:rPr>
  </w:style>
  <w:style w:type="paragraph" w:styleId="CommentText">
    <w:name w:val="annotation text"/>
    <w:basedOn w:val="Normal"/>
    <w:link w:val="CommentTextChar"/>
    <w:uiPriority w:val="99"/>
    <w:unhideWhenUsed/>
    <w:rsid w:val="002155CB"/>
  </w:style>
  <w:style w:type="character" w:customStyle="1" w:styleId="CommentTextChar">
    <w:name w:val="Comment Text Char"/>
    <w:basedOn w:val="DefaultParagraphFont"/>
    <w:link w:val="CommentText"/>
    <w:uiPriority w:val="99"/>
    <w:rsid w:val="002155CB"/>
  </w:style>
  <w:style w:type="character" w:styleId="CommentReference">
    <w:name w:val="annotation reference"/>
    <w:uiPriority w:val="99"/>
    <w:unhideWhenUsed/>
    <w:rsid w:val="002155CB"/>
    <w:rPr>
      <w:sz w:val="16"/>
      <w:szCs w:val="16"/>
    </w:rPr>
  </w:style>
  <w:style w:type="paragraph" w:styleId="BalloonText">
    <w:name w:val="Balloon Text"/>
    <w:basedOn w:val="Normal"/>
    <w:link w:val="BalloonTextChar"/>
    <w:semiHidden/>
    <w:unhideWhenUsed/>
    <w:rsid w:val="002155CB"/>
    <w:rPr>
      <w:rFonts w:ascii="Segoe UI" w:hAnsi="Segoe UI" w:cs="Segoe UI"/>
      <w:sz w:val="18"/>
      <w:szCs w:val="18"/>
    </w:rPr>
  </w:style>
  <w:style w:type="character" w:customStyle="1" w:styleId="BalloonTextChar">
    <w:name w:val="Balloon Text Char"/>
    <w:link w:val="BalloonText"/>
    <w:semiHidden/>
    <w:rsid w:val="002155CB"/>
    <w:rPr>
      <w:rFonts w:ascii="Segoe UI" w:hAnsi="Segoe UI" w:cs="Segoe UI"/>
      <w:sz w:val="18"/>
      <w:szCs w:val="18"/>
    </w:rPr>
  </w:style>
  <w:style w:type="paragraph" w:styleId="CommentSubject">
    <w:name w:val="annotation subject"/>
    <w:basedOn w:val="CommentText"/>
    <w:next w:val="CommentText"/>
    <w:link w:val="CommentSubjectChar"/>
    <w:semiHidden/>
    <w:unhideWhenUsed/>
    <w:rsid w:val="004F3B06"/>
    <w:rPr>
      <w:b/>
      <w:bCs/>
    </w:rPr>
  </w:style>
  <w:style w:type="character" w:customStyle="1" w:styleId="CommentSubjectChar">
    <w:name w:val="Comment Subject Char"/>
    <w:basedOn w:val="CommentTextChar"/>
    <w:link w:val="CommentSubject"/>
    <w:semiHidden/>
    <w:rsid w:val="004F3B06"/>
    <w:rPr>
      <w:b/>
      <w:bCs/>
    </w:rPr>
  </w:style>
  <w:style w:type="table" w:styleId="TableGrid">
    <w:name w:val="Table Grid"/>
    <w:basedOn w:val="TableNormal"/>
    <w:uiPriority w:val="39"/>
    <w:rsid w:val="00447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44746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447460"/>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447460"/>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1">
    <w:name w:val="Light List Accent 1"/>
    <w:basedOn w:val="TableNormal"/>
    <w:uiPriority w:val="61"/>
    <w:rsid w:val="0019537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4">
    <w:name w:val="Light Shading Accent 4"/>
    <w:basedOn w:val="TableNormal"/>
    <w:uiPriority w:val="60"/>
    <w:rsid w:val="0019537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MediumShading1-Accent1">
    <w:name w:val="Medium Shading 1 Accent 1"/>
    <w:basedOn w:val="TableNormal"/>
    <w:uiPriority w:val="63"/>
    <w:rsid w:val="0019537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Revision">
    <w:name w:val="Revision"/>
    <w:hidden/>
    <w:uiPriority w:val="99"/>
    <w:semiHidden/>
    <w:rsid w:val="00290B2D"/>
  </w:style>
  <w:style w:type="paragraph" w:styleId="ListParagraph">
    <w:name w:val="List Paragraph"/>
    <w:basedOn w:val="Normal"/>
    <w:uiPriority w:val="34"/>
    <w:qFormat/>
    <w:rsid w:val="00085EFA"/>
    <w:pPr>
      <w:spacing w:after="200"/>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9F5462"/>
    <w:rPr>
      <w:b/>
      <w:bCs/>
    </w:rPr>
  </w:style>
  <w:style w:type="paragraph" w:customStyle="1" w:styleId="xmsonormal">
    <w:name w:val="x_msonormal"/>
    <w:basedOn w:val="Normal"/>
    <w:rsid w:val="00884B90"/>
    <w:pPr>
      <w:spacing w:before="100" w:beforeAutospacing="1" w:after="100" w:afterAutospacing="1"/>
    </w:pPr>
    <w:rPr>
      <w:sz w:val="24"/>
      <w:szCs w:val="24"/>
    </w:rPr>
  </w:style>
  <w:style w:type="character" w:customStyle="1" w:styleId="Heading1Char">
    <w:name w:val="Heading 1 Char"/>
    <w:basedOn w:val="DefaultParagraphFont"/>
    <w:link w:val="Heading1"/>
    <w:uiPriority w:val="9"/>
    <w:rsid w:val="004A285F"/>
    <w:rPr>
      <w:b/>
      <w:bCs/>
      <w:kern w:val="36"/>
      <w:sz w:val="48"/>
      <w:szCs w:val="48"/>
    </w:rPr>
  </w:style>
  <w:style w:type="paragraph" w:styleId="NormalWeb">
    <w:name w:val="Normal (Web)"/>
    <w:basedOn w:val="Normal"/>
    <w:uiPriority w:val="99"/>
    <w:unhideWhenUsed/>
    <w:rsid w:val="004A285F"/>
    <w:pPr>
      <w:spacing w:before="100" w:beforeAutospacing="1" w:after="100" w:afterAutospacing="1"/>
    </w:pPr>
    <w:rPr>
      <w:sz w:val="24"/>
      <w:szCs w:val="24"/>
    </w:rPr>
  </w:style>
  <w:style w:type="character" w:customStyle="1" w:styleId="Heading3Char">
    <w:name w:val="Heading 3 Char"/>
    <w:basedOn w:val="DefaultParagraphFont"/>
    <w:link w:val="Heading3"/>
    <w:rsid w:val="001A0DD5"/>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733932"/>
    <w:rPr>
      <w:color w:val="0000FF"/>
      <w:u w:val="single"/>
    </w:rPr>
  </w:style>
  <w:style w:type="character" w:styleId="FollowedHyperlink">
    <w:name w:val="FollowedHyperlink"/>
    <w:basedOn w:val="DefaultParagraphFont"/>
    <w:semiHidden/>
    <w:unhideWhenUsed/>
    <w:rsid w:val="002766F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7584">
      <w:bodyDiv w:val="1"/>
      <w:marLeft w:val="0"/>
      <w:marRight w:val="0"/>
      <w:marTop w:val="0"/>
      <w:marBottom w:val="0"/>
      <w:divBdr>
        <w:top w:val="none" w:sz="0" w:space="0" w:color="auto"/>
        <w:left w:val="none" w:sz="0" w:space="0" w:color="auto"/>
        <w:bottom w:val="none" w:sz="0" w:space="0" w:color="auto"/>
        <w:right w:val="none" w:sz="0" w:space="0" w:color="auto"/>
      </w:divBdr>
    </w:div>
    <w:div w:id="137000120">
      <w:bodyDiv w:val="1"/>
      <w:marLeft w:val="0"/>
      <w:marRight w:val="0"/>
      <w:marTop w:val="0"/>
      <w:marBottom w:val="0"/>
      <w:divBdr>
        <w:top w:val="none" w:sz="0" w:space="0" w:color="auto"/>
        <w:left w:val="none" w:sz="0" w:space="0" w:color="auto"/>
        <w:bottom w:val="none" w:sz="0" w:space="0" w:color="auto"/>
        <w:right w:val="none" w:sz="0" w:space="0" w:color="auto"/>
      </w:divBdr>
    </w:div>
    <w:div w:id="162207820">
      <w:bodyDiv w:val="1"/>
      <w:marLeft w:val="0"/>
      <w:marRight w:val="0"/>
      <w:marTop w:val="0"/>
      <w:marBottom w:val="0"/>
      <w:divBdr>
        <w:top w:val="none" w:sz="0" w:space="0" w:color="auto"/>
        <w:left w:val="none" w:sz="0" w:space="0" w:color="auto"/>
        <w:bottom w:val="none" w:sz="0" w:space="0" w:color="auto"/>
        <w:right w:val="none" w:sz="0" w:space="0" w:color="auto"/>
      </w:divBdr>
    </w:div>
    <w:div w:id="204996908">
      <w:bodyDiv w:val="1"/>
      <w:marLeft w:val="0"/>
      <w:marRight w:val="0"/>
      <w:marTop w:val="0"/>
      <w:marBottom w:val="0"/>
      <w:divBdr>
        <w:top w:val="none" w:sz="0" w:space="0" w:color="auto"/>
        <w:left w:val="none" w:sz="0" w:space="0" w:color="auto"/>
        <w:bottom w:val="none" w:sz="0" w:space="0" w:color="auto"/>
        <w:right w:val="none" w:sz="0" w:space="0" w:color="auto"/>
      </w:divBdr>
    </w:div>
    <w:div w:id="207188346">
      <w:bodyDiv w:val="1"/>
      <w:marLeft w:val="0"/>
      <w:marRight w:val="0"/>
      <w:marTop w:val="0"/>
      <w:marBottom w:val="0"/>
      <w:divBdr>
        <w:top w:val="none" w:sz="0" w:space="0" w:color="auto"/>
        <w:left w:val="none" w:sz="0" w:space="0" w:color="auto"/>
        <w:bottom w:val="none" w:sz="0" w:space="0" w:color="auto"/>
        <w:right w:val="none" w:sz="0" w:space="0" w:color="auto"/>
      </w:divBdr>
    </w:div>
    <w:div w:id="332296089">
      <w:bodyDiv w:val="1"/>
      <w:marLeft w:val="0"/>
      <w:marRight w:val="0"/>
      <w:marTop w:val="0"/>
      <w:marBottom w:val="0"/>
      <w:divBdr>
        <w:top w:val="none" w:sz="0" w:space="0" w:color="auto"/>
        <w:left w:val="none" w:sz="0" w:space="0" w:color="auto"/>
        <w:bottom w:val="none" w:sz="0" w:space="0" w:color="auto"/>
        <w:right w:val="none" w:sz="0" w:space="0" w:color="auto"/>
      </w:divBdr>
    </w:div>
    <w:div w:id="370346153">
      <w:bodyDiv w:val="1"/>
      <w:marLeft w:val="0"/>
      <w:marRight w:val="0"/>
      <w:marTop w:val="0"/>
      <w:marBottom w:val="0"/>
      <w:divBdr>
        <w:top w:val="none" w:sz="0" w:space="0" w:color="auto"/>
        <w:left w:val="none" w:sz="0" w:space="0" w:color="auto"/>
        <w:bottom w:val="none" w:sz="0" w:space="0" w:color="auto"/>
        <w:right w:val="none" w:sz="0" w:space="0" w:color="auto"/>
      </w:divBdr>
    </w:div>
    <w:div w:id="385877357">
      <w:bodyDiv w:val="1"/>
      <w:marLeft w:val="0"/>
      <w:marRight w:val="0"/>
      <w:marTop w:val="0"/>
      <w:marBottom w:val="0"/>
      <w:divBdr>
        <w:top w:val="none" w:sz="0" w:space="0" w:color="auto"/>
        <w:left w:val="none" w:sz="0" w:space="0" w:color="auto"/>
        <w:bottom w:val="none" w:sz="0" w:space="0" w:color="auto"/>
        <w:right w:val="none" w:sz="0" w:space="0" w:color="auto"/>
      </w:divBdr>
    </w:div>
    <w:div w:id="1007320257">
      <w:bodyDiv w:val="1"/>
      <w:marLeft w:val="0"/>
      <w:marRight w:val="0"/>
      <w:marTop w:val="0"/>
      <w:marBottom w:val="0"/>
      <w:divBdr>
        <w:top w:val="none" w:sz="0" w:space="0" w:color="auto"/>
        <w:left w:val="none" w:sz="0" w:space="0" w:color="auto"/>
        <w:bottom w:val="none" w:sz="0" w:space="0" w:color="auto"/>
        <w:right w:val="none" w:sz="0" w:space="0" w:color="auto"/>
      </w:divBdr>
    </w:div>
    <w:div w:id="1046367524">
      <w:bodyDiv w:val="1"/>
      <w:marLeft w:val="0"/>
      <w:marRight w:val="0"/>
      <w:marTop w:val="0"/>
      <w:marBottom w:val="0"/>
      <w:divBdr>
        <w:top w:val="none" w:sz="0" w:space="0" w:color="auto"/>
        <w:left w:val="none" w:sz="0" w:space="0" w:color="auto"/>
        <w:bottom w:val="none" w:sz="0" w:space="0" w:color="auto"/>
        <w:right w:val="none" w:sz="0" w:space="0" w:color="auto"/>
      </w:divBdr>
    </w:div>
    <w:div w:id="1113674416">
      <w:bodyDiv w:val="1"/>
      <w:marLeft w:val="0"/>
      <w:marRight w:val="0"/>
      <w:marTop w:val="0"/>
      <w:marBottom w:val="0"/>
      <w:divBdr>
        <w:top w:val="none" w:sz="0" w:space="0" w:color="auto"/>
        <w:left w:val="none" w:sz="0" w:space="0" w:color="auto"/>
        <w:bottom w:val="none" w:sz="0" w:space="0" w:color="auto"/>
        <w:right w:val="none" w:sz="0" w:space="0" w:color="auto"/>
      </w:divBdr>
    </w:div>
    <w:div w:id="1251162973">
      <w:bodyDiv w:val="1"/>
      <w:marLeft w:val="0"/>
      <w:marRight w:val="0"/>
      <w:marTop w:val="0"/>
      <w:marBottom w:val="0"/>
      <w:divBdr>
        <w:top w:val="none" w:sz="0" w:space="0" w:color="auto"/>
        <w:left w:val="none" w:sz="0" w:space="0" w:color="auto"/>
        <w:bottom w:val="none" w:sz="0" w:space="0" w:color="auto"/>
        <w:right w:val="none" w:sz="0" w:space="0" w:color="auto"/>
      </w:divBdr>
    </w:div>
    <w:div w:id="1279801070">
      <w:bodyDiv w:val="1"/>
      <w:marLeft w:val="0"/>
      <w:marRight w:val="0"/>
      <w:marTop w:val="0"/>
      <w:marBottom w:val="0"/>
      <w:divBdr>
        <w:top w:val="none" w:sz="0" w:space="0" w:color="auto"/>
        <w:left w:val="none" w:sz="0" w:space="0" w:color="auto"/>
        <w:bottom w:val="none" w:sz="0" w:space="0" w:color="auto"/>
        <w:right w:val="none" w:sz="0" w:space="0" w:color="auto"/>
      </w:divBdr>
    </w:div>
    <w:div w:id="1358770262">
      <w:bodyDiv w:val="1"/>
      <w:marLeft w:val="0"/>
      <w:marRight w:val="0"/>
      <w:marTop w:val="0"/>
      <w:marBottom w:val="0"/>
      <w:divBdr>
        <w:top w:val="none" w:sz="0" w:space="0" w:color="auto"/>
        <w:left w:val="none" w:sz="0" w:space="0" w:color="auto"/>
        <w:bottom w:val="none" w:sz="0" w:space="0" w:color="auto"/>
        <w:right w:val="none" w:sz="0" w:space="0" w:color="auto"/>
      </w:divBdr>
    </w:div>
    <w:div w:id="1509906153">
      <w:bodyDiv w:val="1"/>
      <w:marLeft w:val="0"/>
      <w:marRight w:val="0"/>
      <w:marTop w:val="0"/>
      <w:marBottom w:val="0"/>
      <w:divBdr>
        <w:top w:val="none" w:sz="0" w:space="0" w:color="auto"/>
        <w:left w:val="none" w:sz="0" w:space="0" w:color="auto"/>
        <w:bottom w:val="none" w:sz="0" w:space="0" w:color="auto"/>
        <w:right w:val="none" w:sz="0" w:space="0" w:color="auto"/>
      </w:divBdr>
    </w:div>
    <w:div w:id="1673871889">
      <w:bodyDiv w:val="1"/>
      <w:marLeft w:val="0"/>
      <w:marRight w:val="0"/>
      <w:marTop w:val="0"/>
      <w:marBottom w:val="0"/>
      <w:divBdr>
        <w:top w:val="none" w:sz="0" w:space="0" w:color="auto"/>
        <w:left w:val="none" w:sz="0" w:space="0" w:color="auto"/>
        <w:bottom w:val="none" w:sz="0" w:space="0" w:color="auto"/>
        <w:right w:val="none" w:sz="0" w:space="0" w:color="auto"/>
      </w:divBdr>
    </w:div>
    <w:div w:id="1807355549">
      <w:bodyDiv w:val="1"/>
      <w:marLeft w:val="0"/>
      <w:marRight w:val="0"/>
      <w:marTop w:val="0"/>
      <w:marBottom w:val="0"/>
      <w:divBdr>
        <w:top w:val="none" w:sz="0" w:space="0" w:color="auto"/>
        <w:left w:val="none" w:sz="0" w:space="0" w:color="auto"/>
        <w:bottom w:val="none" w:sz="0" w:space="0" w:color="auto"/>
        <w:right w:val="none" w:sz="0" w:space="0" w:color="auto"/>
      </w:divBdr>
    </w:div>
    <w:div w:id="1941646397">
      <w:bodyDiv w:val="1"/>
      <w:marLeft w:val="0"/>
      <w:marRight w:val="0"/>
      <w:marTop w:val="0"/>
      <w:marBottom w:val="0"/>
      <w:divBdr>
        <w:top w:val="none" w:sz="0" w:space="0" w:color="auto"/>
        <w:left w:val="none" w:sz="0" w:space="0" w:color="auto"/>
        <w:bottom w:val="none" w:sz="0" w:space="0" w:color="auto"/>
        <w:right w:val="none" w:sz="0" w:space="0" w:color="auto"/>
      </w:divBdr>
      <w:divsChild>
        <w:div w:id="435440395">
          <w:marLeft w:val="1238"/>
          <w:marRight w:val="0"/>
          <w:marTop w:val="50"/>
          <w:marBottom w:val="0"/>
          <w:divBdr>
            <w:top w:val="none" w:sz="0" w:space="0" w:color="auto"/>
            <w:left w:val="none" w:sz="0" w:space="0" w:color="auto"/>
            <w:bottom w:val="none" w:sz="0" w:space="0" w:color="auto"/>
            <w:right w:val="none" w:sz="0" w:space="0" w:color="auto"/>
          </w:divBdr>
        </w:div>
      </w:divsChild>
    </w:div>
    <w:div w:id="1942764672">
      <w:bodyDiv w:val="1"/>
      <w:marLeft w:val="0"/>
      <w:marRight w:val="0"/>
      <w:marTop w:val="0"/>
      <w:marBottom w:val="0"/>
      <w:divBdr>
        <w:top w:val="none" w:sz="0" w:space="0" w:color="auto"/>
        <w:left w:val="none" w:sz="0" w:space="0" w:color="auto"/>
        <w:bottom w:val="none" w:sz="0" w:space="0" w:color="auto"/>
        <w:right w:val="none" w:sz="0" w:space="0" w:color="auto"/>
      </w:divBdr>
    </w:div>
    <w:div w:id="208995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Roles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B3E-46EB-8E83-43E49F8389C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B3E-46EB-8E83-43E49F8389C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B3E-46EB-8E83-43E49F8389C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B3E-46EB-8E83-43E49F8389CB}"/>
              </c:ext>
            </c:extLst>
          </c:dPt>
          <c:dLbls>
            <c:dLbl>
              <c:idx val="0"/>
              <c:layout>
                <c:manualLayout>
                  <c:x val="-0.18606292731927027"/>
                  <c:y val="-8.577780718586657E-2"/>
                </c:manualLayout>
              </c:layout>
              <c:tx>
                <c:rich>
                  <a:bodyPr/>
                  <a:lstStyle/>
                  <a:p>
                    <a:r>
                      <a:rPr lang="en-US"/>
                      <a:t>59%</a:t>
                    </a:r>
                  </a:p>
                </c:rich>
              </c:tx>
              <c:dLblPos val="bestFit"/>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B3E-46EB-8E83-43E49F8389CB}"/>
                </c:ext>
              </c:extLst>
            </c:dLbl>
            <c:dLbl>
              <c:idx val="1"/>
              <c:tx>
                <c:rich>
                  <a:bodyPr/>
                  <a:lstStyle/>
                  <a:p>
                    <a:r>
                      <a:rPr lang="en-US" baseline="0"/>
                      <a:t> </a:t>
                    </a:r>
                    <a:fld id="{4EA5C3A4-DAA4-4CB2-BDAC-79FB975B653C}" type="PERCENTAGE">
                      <a:rPr lang="en-US" sz="1400" baseline="0"/>
                      <a:pPr/>
                      <a:t>[PERCENTAGE]</a:t>
                    </a:fld>
                    <a:endParaRPr lang="en-US" baseline="0"/>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B3E-46EB-8E83-43E49F8389CB}"/>
                </c:ext>
              </c:extLst>
            </c:dLbl>
            <c:dLbl>
              <c:idx val="2"/>
              <c:layout>
                <c:manualLayout>
                  <c:x val="9.1350247885680969E-2"/>
                  <c:y val="0.20200666093208935"/>
                </c:manualLayout>
              </c:layout>
              <c:tx>
                <c:rich>
                  <a:bodyPr/>
                  <a:lstStyle/>
                  <a:p>
                    <a:r>
                      <a:rPr lang="en-US"/>
                      <a:t>4%</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B3E-46EB-8E83-43E49F8389CB}"/>
                </c:ext>
              </c:extLst>
            </c:dLbl>
            <c:dLbl>
              <c:idx val="3"/>
              <c:layout>
                <c:manualLayout>
                  <c:x val="2.3612196623570201E-2"/>
                  <c:y val="8.3589845386973657E-2"/>
                </c:manualLayout>
              </c:layout>
              <c:tx>
                <c:rich>
                  <a:bodyPr/>
                  <a:lstStyle/>
                  <a:p>
                    <a:fld id="{5C0CF594-E1D0-47B5-9FC9-A22F6EAEAEA0}" type="PERCENTAGE">
                      <a:rPr lang="en-US" sz="1400" baseline="0"/>
                      <a:pPr/>
                      <a:t>[PERCENTAGE]</a:t>
                    </a:fld>
                    <a:endParaRPr lang="en-US"/>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2B3E-46EB-8E83-43E49F8389CB}"/>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Times New Roman" panose="02020603050405020304" pitchFamily="18" charset="0"/>
                    <a:ea typeface="+mn-ea"/>
                    <a:cs typeface="+mn-cs"/>
                  </a:defRPr>
                </a:pPr>
                <a:endParaRPr lang="en-US"/>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RN</c:v>
                </c:pt>
                <c:pt idx="1">
                  <c:v>CNA</c:v>
                </c:pt>
                <c:pt idx="2">
                  <c:v>LPN</c:v>
                </c:pt>
                <c:pt idx="3">
                  <c:v>Other</c:v>
                </c:pt>
              </c:strCache>
            </c:strRef>
          </c:cat>
          <c:val>
            <c:numRef>
              <c:f>Sheet1!$B$2:$B$5</c:f>
              <c:numCache>
                <c:formatCode>General</c:formatCode>
                <c:ptCount val="4"/>
                <c:pt idx="0">
                  <c:v>13</c:v>
                </c:pt>
                <c:pt idx="1">
                  <c:v>7</c:v>
                </c:pt>
                <c:pt idx="2">
                  <c:v>1</c:v>
                </c:pt>
                <c:pt idx="3">
                  <c:v>1</c:v>
                </c:pt>
              </c:numCache>
            </c:numRef>
          </c:val>
          <c:extLst>
            <c:ext xmlns:c16="http://schemas.microsoft.com/office/drawing/2014/chart" uri="{C3380CC4-5D6E-409C-BE32-E72D297353CC}">
              <c16:uniqueId val="{00000008-2B3E-46EB-8E83-43E49F8389CB}"/>
            </c:ext>
          </c:extLst>
        </c:ser>
        <c:dLbls>
          <c:dLblPos val="ctr"/>
          <c:showLegendKey val="0"/>
          <c:showVal val="1"/>
          <c:showCatName val="0"/>
          <c:showSerName val="0"/>
          <c:showPercent val="0"/>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Entry>
      <c:legendEntry>
        <c:idx val="1"/>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Entry>
      <c:legendEntry>
        <c:idx val="2"/>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Entry>
      <c:legendEntry>
        <c:idx val="3"/>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Entry>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Education Module Provided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bar"/>
        <c:grouping val="stacked"/>
        <c:varyColors val="0"/>
        <c:ser>
          <c:idx val="0"/>
          <c:order val="0"/>
          <c:tx>
            <c:strRef>
              <c:f>Sheet1!$B$1</c:f>
              <c:strCache>
                <c:ptCount val="1"/>
                <c:pt idx="0">
                  <c:v>Column2</c:v>
                </c:pt>
              </c:strCache>
            </c:strRef>
          </c:tx>
          <c:spPr>
            <a:solidFill>
              <a:schemeClr val="accent1"/>
            </a:solidFill>
            <a:ln>
              <a:noFill/>
            </a:ln>
            <a:effectLst/>
          </c:spPr>
          <c:invertIfNegative val="0"/>
          <c:cat>
            <c:strRef>
              <c:f>Sheet1!$A$2:$A$5</c:f>
              <c:strCache>
                <c:ptCount val="3"/>
                <c:pt idx="0">
                  <c:v>No Answer</c:v>
                </c:pt>
                <c:pt idx="1">
                  <c:v>New Hire Only</c:v>
                </c:pt>
                <c:pt idx="2">
                  <c:v>New Hire/Annually</c:v>
                </c:pt>
              </c:strCache>
            </c:strRef>
          </c:cat>
          <c:val>
            <c:numRef>
              <c:f>Sheet1!$B$2:$B$5</c:f>
              <c:numCache>
                <c:formatCode>General</c:formatCode>
                <c:ptCount val="4"/>
                <c:pt idx="0">
                  <c:v>4</c:v>
                </c:pt>
                <c:pt idx="1">
                  <c:v>2</c:v>
                </c:pt>
                <c:pt idx="2">
                  <c:v>15</c:v>
                </c:pt>
              </c:numCache>
            </c:numRef>
          </c:val>
          <c:extLst>
            <c:ext xmlns:c16="http://schemas.microsoft.com/office/drawing/2014/chart" uri="{C3380CC4-5D6E-409C-BE32-E72D297353CC}">
              <c16:uniqueId val="{00000000-FB8E-45E8-A14C-AC40DD1E4BD9}"/>
            </c:ext>
          </c:extLst>
        </c:ser>
        <c:ser>
          <c:idx val="1"/>
          <c:order val="1"/>
          <c:tx>
            <c:strRef>
              <c:f>Sheet1!$C$1</c:f>
              <c:strCache>
                <c:ptCount val="1"/>
                <c:pt idx="0">
                  <c:v>Column3</c:v>
                </c:pt>
              </c:strCache>
            </c:strRef>
          </c:tx>
          <c:spPr>
            <a:solidFill>
              <a:schemeClr val="accent2"/>
            </a:solidFill>
            <a:ln>
              <a:noFill/>
            </a:ln>
            <a:effectLst/>
          </c:spPr>
          <c:invertIfNegative val="0"/>
          <c:cat>
            <c:strRef>
              <c:f>Sheet1!$A$2:$A$5</c:f>
              <c:strCache>
                <c:ptCount val="3"/>
                <c:pt idx="0">
                  <c:v>No Answer</c:v>
                </c:pt>
                <c:pt idx="1">
                  <c:v>New Hire Only</c:v>
                </c:pt>
                <c:pt idx="2">
                  <c:v>New Hire/Annually</c:v>
                </c:pt>
              </c:strCache>
            </c:strRef>
          </c:cat>
          <c:val>
            <c:numRef>
              <c:f>Sheet1!$C$2:$C$5</c:f>
              <c:numCache>
                <c:formatCode>General</c:formatCode>
                <c:ptCount val="4"/>
              </c:numCache>
            </c:numRef>
          </c:val>
          <c:extLst>
            <c:ext xmlns:c16="http://schemas.microsoft.com/office/drawing/2014/chart" uri="{C3380CC4-5D6E-409C-BE32-E72D297353CC}">
              <c16:uniqueId val="{00000001-FB8E-45E8-A14C-AC40DD1E4BD9}"/>
            </c:ext>
          </c:extLst>
        </c:ser>
        <c:ser>
          <c:idx val="2"/>
          <c:order val="2"/>
          <c:tx>
            <c:strRef>
              <c:f>Sheet1!$D$1</c:f>
              <c:strCache>
                <c:ptCount val="1"/>
                <c:pt idx="0">
                  <c:v>Column4</c:v>
                </c:pt>
              </c:strCache>
            </c:strRef>
          </c:tx>
          <c:spPr>
            <a:solidFill>
              <a:schemeClr val="accent3"/>
            </a:solidFill>
            <a:ln>
              <a:noFill/>
            </a:ln>
            <a:effectLst/>
          </c:spPr>
          <c:invertIfNegative val="0"/>
          <c:cat>
            <c:strRef>
              <c:f>Sheet1!$A$2:$A$5</c:f>
              <c:strCache>
                <c:ptCount val="3"/>
                <c:pt idx="0">
                  <c:v>No Answer</c:v>
                </c:pt>
                <c:pt idx="1">
                  <c:v>New Hire Only</c:v>
                </c:pt>
                <c:pt idx="2">
                  <c:v>New Hire/Annually</c:v>
                </c:pt>
              </c:strCache>
            </c:strRef>
          </c:cat>
          <c:val>
            <c:numRef>
              <c:f>Sheet1!$D$2:$D$5</c:f>
              <c:numCache>
                <c:formatCode>General</c:formatCode>
                <c:ptCount val="4"/>
              </c:numCache>
            </c:numRef>
          </c:val>
          <c:extLst>
            <c:ext xmlns:c16="http://schemas.microsoft.com/office/drawing/2014/chart" uri="{C3380CC4-5D6E-409C-BE32-E72D297353CC}">
              <c16:uniqueId val="{00000002-FB8E-45E8-A14C-AC40DD1E4BD9}"/>
            </c:ext>
          </c:extLst>
        </c:ser>
        <c:dLbls>
          <c:showLegendKey val="0"/>
          <c:showVal val="0"/>
          <c:showCatName val="0"/>
          <c:showSerName val="0"/>
          <c:showPercent val="0"/>
          <c:showBubbleSize val="0"/>
        </c:dLbls>
        <c:gapWidth val="150"/>
        <c:overlap val="100"/>
        <c:axId val="207552568"/>
        <c:axId val="207552960"/>
      </c:barChart>
      <c:catAx>
        <c:axId val="2075525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7552960"/>
        <c:crosses val="autoZero"/>
        <c:auto val="1"/>
        <c:lblAlgn val="ctr"/>
        <c:lblOffset val="100"/>
        <c:noMultiLvlLbl val="0"/>
      </c:catAx>
      <c:valAx>
        <c:axId val="2075529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75525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47D83-2ABB-4918-A1A4-A43A9EBCC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20898</Words>
  <Characters>121895</Characters>
  <Application>Microsoft Office Word</Application>
  <DocSecurity>0</DocSecurity>
  <Lines>1015</Lines>
  <Paragraphs>285</Paragraphs>
  <ScaleCrop>false</ScaleCrop>
  <HeadingPairs>
    <vt:vector size="2" baseType="variant">
      <vt:variant>
        <vt:lpstr>Title</vt:lpstr>
      </vt:variant>
      <vt:variant>
        <vt:i4>1</vt:i4>
      </vt:variant>
    </vt:vector>
  </HeadingPairs>
  <TitlesOfParts>
    <vt:vector size="1" baseType="lpstr">
      <vt:lpstr>Capstone Template NUR 799</vt:lpstr>
    </vt:vector>
  </TitlesOfParts>
  <Company/>
  <LinksUpToDate>false</LinksUpToDate>
  <CharactersWithSpaces>142508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Capstone Template NUR 799</dc:title>
  <dc:subject/>
  <dc:creator/>
  <cp:keywords/>
  <dc:description/>
  <cp:lastModifiedBy/>
  <cp:revision>1</cp:revision>
  <dcterms:created xsi:type="dcterms:W3CDTF">2019-04-22T14:15:00Z</dcterms:created>
  <dcterms:modified xsi:type="dcterms:W3CDTF">2019-04-22T14:21:00Z</dcterms:modified>
</cp:coreProperties>
</file>