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687" w:rsidRDefault="00030687" w:rsidP="00030687">
      <w:pPr>
        <w:spacing w:before="100" w:beforeAutospacing="1" w:after="0" w:line="240" w:lineRule="auto"/>
        <w:rPr>
          <w:rFonts w:ascii="Arial" w:eastAsia="Times New Roman" w:hAnsi="Arial" w:cs="Arial"/>
          <w:b/>
        </w:rPr>
      </w:pPr>
      <w:r>
        <w:rPr>
          <w:rFonts w:ascii="Arial" w:eastAsia="Times New Roman" w:hAnsi="Arial" w:cs="Arial"/>
          <w:b/>
        </w:rPr>
        <w:t xml:space="preserve">PUBLISHING IN OPEN ACCESS JOURNALS IN THE SOCIAL SCIENCES AND HUMANITIES: WHO’S DOING IT AND WHY </w:t>
      </w:r>
    </w:p>
    <w:p w:rsidR="00030687" w:rsidRDefault="00030687" w:rsidP="00030687">
      <w:pPr>
        <w:spacing w:before="100" w:beforeAutospacing="1" w:after="0" w:line="240" w:lineRule="auto"/>
        <w:rPr>
          <w:rFonts w:ascii="Arial" w:eastAsia="Times New Roman" w:hAnsi="Arial" w:cs="Arial"/>
          <w:b/>
        </w:rPr>
      </w:pPr>
    </w:p>
    <w:p w:rsidR="00030687" w:rsidRDefault="00030687" w:rsidP="00030687">
      <w:pPr>
        <w:spacing w:after="0" w:line="240" w:lineRule="auto"/>
        <w:rPr>
          <w:rFonts w:ascii="Arial" w:eastAsia="Times New Roman" w:hAnsi="Arial" w:cs="Arial"/>
          <w:i/>
        </w:rPr>
      </w:pPr>
      <w:r>
        <w:rPr>
          <w:rFonts w:ascii="Arial" w:eastAsia="Times New Roman" w:hAnsi="Arial" w:cs="Arial"/>
          <w:i/>
        </w:rPr>
        <w:t xml:space="preserve">Bryna Coonin, Reference Department, East Carolina University E-mail: </w:t>
      </w:r>
      <w:hyperlink r:id="rId5" w:history="1">
        <w:r>
          <w:rPr>
            <w:rStyle w:val="Hyperlink"/>
            <w:rFonts w:ascii="Arial" w:eastAsia="Times New Roman" w:hAnsi="Arial" w:cs="Arial"/>
            <w:i/>
          </w:rPr>
          <w:t>coonin@ecu.edu</w:t>
        </w:r>
      </w:hyperlink>
    </w:p>
    <w:p w:rsidR="00030687" w:rsidRDefault="00030687" w:rsidP="00030687">
      <w:pPr>
        <w:spacing w:after="0" w:line="240" w:lineRule="auto"/>
        <w:rPr>
          <w:rFonts w:ascii="Arial" w:eastAsia="Times New Roman" w:hAnsi="Arial" w:cs="Arial"/>
          <w:i/>
        </w:rPr>
      </w:pPr>
      <w:r>
        <w:rPr>
          <w:rFonts w:ascii="Arial" w:eastAsia="Times New Roman" w:hAnsi="Arial" w:cs="Arial"/>
          <w:i/>
        </w:rPr>
        <w:t xml:space="preserve">Leigh Younce, Reference Department, East Carolina University, E-mail: </w:t>
      </w:r>
      <w:hyperlink r:id="rId6" w:history="1">
        <w:r>
          <w:rPr>
            <w:rStyle w:val="Hyperlink"/>
            <w:rFonts w:ascii="Arial" w:eastAsia="Times New Roman" w:hAnsi="Arial" w:cs="Arial"/>
            <w:i/>
          </w:rPr>
          <w:t>medfordl@ecu.edu</w:t>
        </w:r>
      </w:hyperlink>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
          <w:bCs/>
        </w:rPr>
        <w:t>INTRODUCTION</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Open access (OA) publishing is now an accepted pillar of the scholarly communication movement. However, the greatest traction for open access publishing thus far has been gained in the sciences, particularly in the life and medical sciences, and in physics. The penetration of open access publishing has been much slower among disciplines in the social sciences and humanities.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John </w:t>
      </w:r>
      <w:proofErr w:type="spellStart"/>
      <w:r>
        <w:rPr>
          <w:rFonts w:ascii="Arial" w:eastAsia="Times New Roman" w:hAnsi="Arial" w:cs="Arial"/>
        </w:rPr>
        <w:t>Willinsky</w:t>
      </w:r>
      <w:proofErr w:type="spellEnd"/>
      <w:r>
        <w:rPr>
          <w:rFonts w:ascii="Arial" w:eastAsia="Times New Roman" w:hAnsi="Arial" w:cs="Arial"/>
        </w:rPr>
        <w:t xml:space="preserve">, in </w:t>
      </w:r>
      <w:r>
        <w:rPr>
          <w:rFonts w:ascii="Arial" w:eastAsia="Times New Roman" w:hAnsi="Arial" w:cs="Arial"/>
          <w:i/>
          <w:iCs/>
        </w:rPr>
        <w:t>The Access Principle</w:t>
      </w:r>
      <w:r>
        <w:rPr>
          <w:rFonts w:ascii="Arial" w:eastAsia="Times New Roman" w:hAnsi="Arial" w:cs="Arial"/>
        </w:rPr>
        <w:t xml:space="preserve">, recaps milestone open access events of 2003, in which </w:t>
      </w:r>
      <w:r>
        <w:rPr>
          <w:rFonts w:ascii="Arial" w:eastAsia="Times New Roman" w:hAnsi="Arial" w:cs="Arial"/>
          <w:i/>
          <w:iCs/>
        </w:rPr>
        <w:t>Nature,</w:t>
      </w:r>
      <w:r>
        <w:rPr>
          <w:rFonts w:ascii="Arial" w:eastAsia="Times New Roman" w:hAnsi="Arial" w:cs="Arial"/>
        </w:rPr>
        <w:t xml:space="preserve"> </w:t>
      </w:r>
      <w:r>
        <w:rPr>
          <w:rFonts w:ascii="Arial" w:eastAsia="Times New Roman" w:hAnsi="Arial" w:cs="Arial"/>
          <w:i/>
          <w:iCs/>
        </w:rPr>
        <w:t xml:space="preserve">Science, </w:t>
      </w:r>
      <w:proofErr w:type="gramStart"/>
      <w:r>
        <w:rPr>
          <w:rFonts w:ascii="Arial" w:eastAsia="Times New Roman" w:hAnsi="Arial" w:cs="Arial"/>
          <w:i/>
          <w:iCs/>
        </w:rPr>
        <w:t>The</w:t>
      </w:r>
      <w:proofErr w:type="gramEnd"/>
      <w:r>
        <w:rPr>
          <w:rFonts w:ascii="Arial" w:eastAsia="Times New Roman" w:hAnsi="Arial" w:cs="Arial"/>
          <w:i/>
          <w:iCs/>
        </w:rPr>
        <w:t xml:space="preserve"> Scientist</w:t>
      </w:r>
      <w:r>
        <w:rPr>
          <w:rFonts w:ascii="Arial" w:eastAsia="Times New Roman" w:hAnsi="Arial" w:cs="Arial"/>
        </w:rPr>
        <w:t xml:space="preserve">, and the </w:t>
      </w:r>
      <w:r>
        <w:rPr>
          <w:rFonts w:ascii="Arial" w:eastAsia="Times New Roman" w:hAnsi="Arial" w:cs="Arial"/>
          <w:i/>
          <w:iCs/>
        </w:rPr>
        <w:t>Wall Street Journal</w:t>
      </w:r>
      <w:r>
        <w:rPr>
          <w:rFonts w:ascii="Arial" w:eastAsia="Times New Roman" w:hAnsi="Arial" w:cs="Arial"/>
        </w:rPr>
        <w:t xml:space="preserve"> all ranked open access among their top science stories of the year. </w:t>
      </w:r>
      <w:r>
        <w:rPr>
          <w:rFonts w:ascii="Arial" w:eastAsia="Times New Roman" w:hAnsi="Arial" w:cs="Arial"/>
          <w:b/>
          <w:vertAlign w:val="superscript"/>
        </w:rPr>
        <w:t>1</w:t>
      </w:r>
      <w:proofErr w:type="gramStart"/>
      <w:r>
        <w:rPr>
          <w:rFonts w:ascii="Arial" w:eastAsia="Times New Roman" w:hAnsi="Arial" w:cs="Arial"/>
          <w:b/>
          <w:vertAlign w:val="superscript"/>
        </w:rPr>
        <w:t> </w:t>
      </w:r>
      <w:r>
        <w:rPr>
          <w:rFonts w:ascii="Arial" w:eastAsia="Times New Roman" w:hAnsi="Arial" w:cs="Arial"/>
        </w:rPr>
        <w:t> Examples</w:t>
      </w:r>
      <w:proofErr w:type="gramEnd"/>
      <w:r>
        <w:rPr>
          <w:rFonts w:ascii="Arial" w:eastAsia="Times New Roman" w:hAnsi="Arial" w:cs="Arial"/>
        </w:rPr>
        <w:t xml:space="preserve"> of movement toward open access were evident long before, however, and some research outputs were openly accessible before the availability of the Internet itself.  Peter </w:t>
      </w:r>
      <w:proofErr w:type="spellStart"/>
      <w:r>
        <w:rPr>
          <w:rFonts w:ascii="Arial" w:eastAsia="Times New Roman" w:hAnsi="Arial" w:cs="Arial"/>
        </w:rPr>
        <w:t>Suber</w:t>
      </w:r>
      <w:proofErr w:type="spellEnd"/>
      <w:r>
        <w:rPr>
          <w:rFonts w:ascii="Arial" w:eastAsia="Times New Roman" w:hAnsi="Arial" w:cs="Arial"/>
        </w:rPr>
        <w:t xml:space="preserve">, on his </w:t>
      </w:r>
      <w:r>
        <w:rPr>
          <w:rFonts w:ascii="Arial" w:eastAsia="Times New Roman" w:hAnsi="Arial" w:cs="Arial"/>
          <w:i/>
          <w:iCs/>
        </w:rPr>
        <w:t>Timeline of the Open Access Movement</w:t>
      </w:r>
      <w:r>
        <w:rPr>
          <w:rFonts w:ascii="Arial" w:eastAsia="Times New Roman" w:hAnsi="Arial" w:cs="Arial"/>
        </w:rPr>
        <w:t xml:space="preserve"> indicates many of the major milestones in the open access movement, across disciplines.</w:t>
      </w:r>
      <w:r>
        <w:rPr>
          <w:rFonts w:ascii="Arial" w:eastAsia="Times New Roman" w:hAnsi="Arial" w:cs="Arial"/>
          <w:b/>
          <w:vertAlign w:val="superscript"/>
        </w:rPr>
        <w:t>2</w:t>
      </w:r>
      <w:r>
        <w:rPr>
          <w:rFonts w:ascii="Arial" w:eastAsia="Times New Roman" w:hAnsi="Arial" w:cs="Arial"/>
          <w:b/>
        </w:rPr>
        <w:t xml:space="preserve">  </w:t>
      </w:r>
      <w:r>
        <w:rPr>
          <w:rFonts w:ascii="Arial" w:eastAsia="Times New Roman" w:hAnsi="Arial" w:cs="Arial"/>
          <w:color w:val="FF0000"/>
        </w:rPr>
        <w:t xml:space="preserve"> </w:t>
      </w:r>
      <w:proofErr w:type="gramStart"/>
      <w:r>
        <w:rPr>
          <w:rFonts w:ascii="Arial" w:eastAsia="Times New Roman" w:hAnsi="Arial" w:cs="Arial"/>
        </w:rPr>
        <w:t>As</w:t>
      </w:r>
      <w:proofErr w:type="gramEnd"/>
      <w:r>
        <w:rPr>
          <w:rFonts w:ascii="Arial" w:eastAsia="Times New Roman" w:hAnsi="Arial" w:cs="Arial"/>
        </w:rPr>
        <w:t xml:space="preserve"> librarians we are familiar with ERIC, launched by the U.S. Department of Education in 1966, and, although now no longer free, NTIS at its inception made funded research openly available via microforms deposited in designated libraries.</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There are currently two major strategies recommended by the Budapest Open Access Initiative of 2002 to achieve open access to </w:t>
      </w:r>
      <w:proofErr w:type="gramStart"/>
      <w:r>
        <w:rPr>
          <w:rFonts w:ascii="Arial" w:eastAsia="Times New Roman" w:hAnsi="Arial" w:cs="Arial"/>
        </w:rPr>
        <w:t>research.</w:t>
      </w:r>
      <w:r>
        <w:rPr>
          <w:rFonts w:ascii="Arial" w:eastAsia="Times New Roman" w:hAnsi="Arial" w:cs="Arial"/>
          <w:b/>
          <w:vertAlign w:val="superscript"/>
        </w:rPr>
        <w:t>3</w:t>
      </w:r>
      <w:r>
        <w:rPr>
          <w:rFonts w:ascii="Arial" w:eastAsia="Times New Roman" w:hAnsi="Arial" w:cs="Arial"/>
          <w:b/>
        </w:rPr>
        <w:t xml:space="preserve"> </w:t>
      </w:r>
      <w:r>
        <w:rPr>
          <w:rFonts w:ascii="Arial" w:eastAsia="Times New Roman" w:hAnsi="Arial" w:cs="Arial"/>
        </w:rPr>
        <w:t xml:space="preserve"> The</w:t>
      </w:r>
      <w:proofErr w:type="gramEnd"/>
      <w:r>
        <w:rPr>
          <w:rFonts w:ascii="Arial" w:eastAsia="Times New Roman" w:hAnsi="Arial" w:cs="Arial"/>
        </w:rPr>
        <w:t xml:space="preserve"> first is self-archiving of refereed journal articles in freely available electronic archives, such as university institutional repositories, or discipline-based archives. The second is the publication of refereed open access journals. A sizable body of research has developed around the strategy of self-archiving and repositories, and research attempting to measure the impact of open access publishing is also building.  However, at this time there is limited research available concerning the viewpoint of authors currently (or potentially) publishing in open access journals. Where this does exist, it concentrates heavily on the sciences rather than on the social science or humanities disciplines.</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Arthur Sale points out that faculty actively engaged in research take on two different guises relative to open access – they wear two “hats” – depending on which phase of their research they are in. While they are looking for information about the research topic they are </w:t>
      </w:r>
      <w:r>
        <w:rPr>
          <w:rFonts w:ascii="Arial" w:eastAsia="Times New Roman" w:hAnsi="Arial" w:cs="Arial"/>
          <w:i/>
          <w:iCs/>
        </w:rPr>
        <w:t>searchers</w:t>
      </w:r>
      <w:r>
        <w:rPr>
          <w:rFonts w:ascii="Arial" w:eastAsia="Times New Roman" w:hAnsi="Arial" w:cs="Arial"/>
        </w:rPr>
        <w:t xml:space="preserve">.   When the research is complete they move into the role of disseminator – that of </w:t>
      </w:r>
      <w:r>
        <w:rPr>
          <w:rFonts w:ascii="Arial" w:eastAsia="Times New Roman" w:hAnsi="Arial" w:cs="Arial"/>
          <w:i/>
          <w:iCs/>
        </w:rPr>
        <w:t xml:space="preserve">author.  </w:t>
      </w:r>
      <w:r>
        <w:rPr>
          <w:rFonts w:ascii="Arial" w:eastAsia="Times New Roman" w:hAnsi="Arial" w:cs="Arial"/>
        </w:rPr>
        <w:t>As librarians, particularly in an academic setting, we are used to dealing with the searcher. Increasingly though, as publishing models are changing, we are called upon to engage with faculty as authors.  This role is somewhat less familiar, and going forward, we will need more data about how researchers behave when in author</w:t>
      </w:r>
      <w:r>
        <w:rPr>
          <w:rFonts w:ascii="Arial" w:eastAsia="Times New Roman" w:hAnsi="Arial" w:cs="Arial"/>
          <w:i/>
          <w:iCs/>
        </w:rPr>
        <w:t xml:space="preserve"> </w:t>
      </w:r>
      <w:r>
        <w:rPr>
          <w:rFonts w:ascii="Arial" w:eastAsia="Times New Roman" w:hAnsi="Arial" w:cs="Arial"/>
        </w:rPr>
        <w:t>mode, during which they are responding primarily to the expectations of peers in their discipline.</w:t>
      </w:r>
      <w:r>
        <w:rPr>
          <w:rFonts w:ascii="Arial" w:eastAsia="Times New Roman" w:hAnsi="Arial" w:cs="Arial"/>
          <w:b/>
        </w:rPr>
        <w:t xml:space="preserve"> </w:t>
      </w:r>
      <w:r>
        <w:rPr>
          <w:rFonts w:ascii="Arial" w:eastAsia="Times New Roman" w:hAnsi="Arial" w:cs="Arial"/>
          <w:b/>
          <w:vertAlign w:val="superscript"/>
        </w:rPr>
        <w:t>4</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Rick Anderson cautions that convincing people to read open access articles isn’t the problem.  “If high-quality content is available it will tend to get used…the issue is attracting authors, especially in the ‘early going’ when authors have other publishing alternatives.”</w:t>
      </w:r>
      <w:r>
        <w:rPr>
          <w:rFonts w:ascii="Arial" w:eastAsia="Times New Roman" w:hAnsi="Arial" w:cs="Arial"/>
          <w:b/>
        </w:rPr>
        <w:t xml:space="preserve"> </w:t>
      </w:r>
      <w:r>
        <w:rPr>
          <w:rFonts w:ascii="Arial" w:eastAsia="Times New Roman" w:hAnsi="Arial" w:cs="Arial"/>
          <w:b/>
          <w:vertAlign w:val="superscript"/>
        </w:rPr>
        <w:t>5</w:t>
      </w:r>
      <w:r>
        <w:rPr>
          <w:rFonts w:ascii="Arial" w:eastAsia="Times New Roman" w:hAnsi="Arial" w:cs="Arial"/>
          <w:b/>
          <w:color w:val="FF0000"/>
          <w:vertAlign w:val="superscript"/>
        </w:rPr>
        <w:t xml:space="preserve"> </w:t>
      </w:r>
      <w:r>
        <w:rPr>
          <w:rFonts w:ascii="Arial" w:eastAsia="Times New Roman" w:hAnsi="Arial" w:cs="Arial"/>
          <w:color w:val="FF0000"/>
          <w:vertAlign w:val="superscript"/>
        </w:rPr>
        <w:t xml:space="preserve">  </w:t>
      </w:r>
      <w:r>
        <w:rPr>
          <w:rFonts w:ascii="Arial" w:eastAsia="Times New Roman" w:hAnsi="Arial" w:cs="Arial"/>
        </w:rPr>
        <w:t xml:space="preserve">The social sciences and humanities are still very much in the ‘early going’ stage of open access publishing. </w:t>
      </w:r>
      <w:r>
        <w:rPr>
          <w:rFonts w:ascii="Arial" w:eastAsia="Times New Roman" w:hAnsi="Arial" w:cs="Arial"/>
        </w:rPr>
        <w:lastRenderedPageBreak/>
        <w:t xml:space="preserve">Thus, it may be unclear to many authors in these disciplines whether OA is at the edge of a viable publishing trend, or on the fringe of it.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
          <w:bCs/>
        </w:rPr>
        <w:t>RELEVANT LITERATURE</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Nicholas and </w:t>
      </w:r>
      <w:proofErr w:type="spellStart"/>
      <w:r>
        <w:rPr>
          <w:rFonts w:ascii="Arial" w:eastAsia="Times New Roman" w:hAnsi="Arial" w:cs="Arial"/>
        </w:rPr>
        <w:t>Rowlands</w:t>
      </w:r>
      <w:proofErr w:type="spellEnd"/>
      <w:r>
        <w:rPr>
          <w:rFonts w:ascii="Arial" w:eastAsia="Times New Roman" w:hAnsi="Arial" w:cs="Arial"/>
        </w:rPr>
        <w:t xml:space="preserve"> point out that, as of 2003/2004, the discussion surrounding open access took into account viewpoints of open access advocacy groups, publishers, and librarians, “…but what was largely missing were the views of the authors, arguably the most important stakeholder group.”</w:t>
      </w:r>
      <w:r>
        <w:rPr>
          <w:rFonts w:ascii="Arial" w:eastAsia="Times New Roman" w:hAnsi="Arial" w:cs="Arial"/>
          <w:b/>
        </w:rPr>
        <w:t xml:space="preserve"> </w:t>
      </w:r>
      <w:r>
        <w:rPr>
          <w:rFonts w:ascii="Arial" w:eastAsia="Times New Roman" w:hAnsi="Arial" w:cs="Arial"/>
          <w:b/>
          <w:vertAlign w:val="superscript"/>
        </w:rPr>
        <w:t xml:space="preserve">6 </w:t>
      </w:r>
    </w:p>
    <w:p w:rsidR="00030687" w:rsidRDefault="00030687" w:rsidP="00030687">
      <w:pPr>
        <w:spacing w:before="100" w:beforeAutospacing="1" w:after="100" w:afterAutospacing="1" w:line="240" w:lineRule="auto"/>
        <w:rPr>
          <w:rFonts w:ascii="Arial" w:eastAsia="Times New Roman" w:hAnsi="Arial" w:cs="Arial"/>
        </w:rPr>
      </w:pPr>
      <w:r>
        <w:rPr>
          <w:rFonts w:ascii="Arial" w:eastAsia="Times New Roman" w:hAnsi="Arial" w:cs="Arial"/>
        </w:rPr>
        <w:t xml:space="preserve">In 2004, U.K. authors Alma Swan and Sheridan Brown, on behalf of the </w:t>
      </w:r>
      <w:r>
        <w:rPr>
          <w:rFonts w:ascii="Arial" w:eastAsia="Times New Roman" w:hAnsi="Arial" w:cs="Arial"/>
          <w:i/>
          <w:iCs/>
          <w:color w:val="000000"/>
        </w:rPr>
        <w:t>Joint Information Systems Committee</w:t>
      </w:r>
      <w:r>
        <w:rPr>
          <w:rFonts w:ascii="Arial" w:eastAsia="Times New Roman" w:hAnsi="Arial" w:cs="Arial"/>
          <w:color w:val="000000"/>
        </w:rPr>
        <w:t xml:space="preserve"> (JISC) </w:t>
      </w:r>
      <w:r>
        <w:rPr>
          <w:rFonts w:ascii="Arial" w:eastAsia="Times New Roman" w:hAnsi="Arial" w:cs="Arial"/>
        </w:rPr>
        <w:t>and the Open Society Institute (OSI</w:t>
      </w:r>
      <w:proofErr w:type="gramStart"/>
      <w:r>
        <w:rPr>
          <w:rFonts w:ascii="Arial" w:eastAsia="Times New Roman" w:hAnsi="Arial" w:cs="Arial"/>
        </w:rPr>
        <w:t>),</w:t>
      </w:r>
      <w:proofErr w:type="gramEnd"/>
      <w:r>
        <w:rPr>
          <w:rFonts w:ascii="Arial" w:eastAsia="Times New Roman" w:hAnsi="Arial" w:cs="Arial"/>
        </w:rPr>
        <w:t xml:space="preserve"> surveyed 154 authors who published in open access journals and 157 who had not. </w:t>
      </w:r>
      <w:r>
        <w:rPr>
          <w:rFonts w:ascii="Arial" w:eastAsia="Times New Roman" w:hAnsi="Arial" w:cs="Arial"/>
          <w:b/>
          <w:vertAlign w:val="superscript"/>
        </w:rPr>
        <w:t>7</w:t>
      </w:r>
      <w:proofErr w:type="gramStart"/>
      <w:r>
        <w:rPr>
          <w:rFonts w:ascii="Arial" w:eastAsia="Times New Roman" w:hAnsi="Arial" w:cs="Arial"/>
        </w:rPr>
        <w:t>  Swan</w:t>
      </w:r>
      <w:proofErr w:type="gramEnd"/>
      <w:r>
        <w:rPr>
          <w:rFonts w:ascii="Arial" w:eastAsia="Times New Roman" w:hAnsi="Arial" w:cs="Arial"/>
        </w:rPr>
        <w:t xml:space="preserve"> and Brown investigated authors’ awareness of open access, and their experiences of publishing their work as OA.  Swan and Brown also explored authors’ concerns about the implications open access publishing may have for their </w:t>
      </w:r>
      <w:proofErr w:type="gramStart"/>
      <w:r>
        <w:rPr>
          <w:rFonts w:ascii="Arial" w:eastAsia="Times New Roman" w:hAnsi="Arial" w:cs="Arial"/>
        </w:rPr>
        <w:t>careers,</w:t>
      </w:r>
      <w:proofErr w:type="gramEnd"/>
      <w:r>
        <w:rPr>
          <w:rFonts w:ascii="Arial" w:eastAsia="Times New Roman" w:hAnsi="Arial" w:cs="Arial"/>
        </w:rPr>
        <w:t xml:space="preserve"> and the reasons why (or not) they chose to publish through an open access outlet. Among their findings was a very high percentage (90%) of open access authors who said their primary reason for choosing an open access journal was the principle of free access to research information. The non-OA group believed that open access journals were of lower reputation and prestige.  Both groups had some concerns that publishing in an open access journal would affect their chance of winning research grants. (It should be noted that the </w:t>
      </w:r>
      <w:proofErr w:type="spellStart"/>
      <w:r>
        <w:rPr>
          <w:rFonts w:ascii="Arial" w:eastAsia="Times New Roman" w:hAnsi="Arial" w:cs="Arial"/>
        </w:rPr>
        <w:t>Wellcome</w:t>
      </w:r>
      <w:proofErr w:type="spellEnd"/>
      <w:r>
        <w:rPr>
          <w:rFonts w:ascii="Arial" w:eastAsia="Times New Roman" w:hAnsi="Arial" w:cs="Arial"/>
        </w:rPr>
        <w:t xml:space="preserve"> Trust’s initial position statement strongly endorsing open access was published only very shortly before, in October 2003.) </w:t>
      </w:r>
      <w:r>
        <w:rPr>
          <w:rFonts w:ascii="Arial" w:eastAsia="Times New Roman" w:hAnsi="Arial" w:cs="Arial"/>
          <w:b/>
          <w:vertAlign w:val="superscript"/>
        </w:rPr>
        <w:t>8</w:t>
      </w:r>
      <w:r>
        <w:rPr>
          <w:rFonts w:ascii="Arial" w:eastAsia="Times New Roman" w:hAnsi="Arial" w:cs="Arial"/>
        </w:rPr>
        <w:t xml:space="preserve"> The Swan and Brown survey included authors internationally and across a number of disciplines, but numbered only a very small selection of authors in the social sciences and humanities.</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David Nicholas, Paul Huntington, and Ian </w:t>
      </w:r>
      <w:proofErr w:type="spellStart"/>
      <w:r>
        <w:rPr>
          <w:rFonts w:ascii="Arial" w:eastAsia="Times New Roman" w:hAnsi="Arial" w:cs="Arial"/>
        </w:rPr>
        <w:t>Rowlands</w:t>
      </w:r>
      <w:proofErr w:type="spellEnd"/>
      <w:r>
        <w:rPr>
          <w:rFonts w:ascii="Arial" w:eastAsia="Times New Roman" w:hAnsi="Arial" w:cs="Arial"/>
        </w:rPr>
        <w:t xml:space="preserve"> sought to determine well-established authors’ attitudes toward OA publishing.</w:t>
      </w:r>
      <w:r>
        <w:rPr>
          <w:rFonts w:ascii="Arial" w:eastAsia="Times New Roman" w:hAnsi="Arial" w:cs="Arial"/>
          <w:b/>
          <w:vertAlign w:val="superscript"/>
        </w:rPr>
        <w:t>9</w:t>
      </w:r>
      <w:proofErr w:type="gramStart"/>
      <w:r>
        <w:rPr>
          <w:rFonts w:ascii="Arial" w:eastAsia="Times New Roman" w:hAnsi="Arial" w:cs="Arial"/>
          <w:b/>
        </w:rPr>
        <w:t> </w:t>
      </w:r>
      <w:r>
        <w:rPr>
          <w:rFonts w:ascii="Arial" w:eastAsia="Times New Roman" w:hAnsi="Arial" w:cs="Arial"/>
        </w:rPr>
        <w:t xml:space="preserve"> Surveying</w:t>
      </w:r>
      <w:proofErr w:type="gramEnd"/>
      <w:r>
        <w:rPr>
          <w:rFonts w:ascii="Arial" w:eastAsia="Times New Roman" w:hAnsi="Arial" w:cs="Arial"/>
        </w:rPr>
        <w:t xml:space="preserve"> nearly 4,000 senior authors from 97 countries, this was the largest author survey conducted concerning OA publishing.  One of the most striking findings to emerge from this study was the general ignorance of OA publishing among the senior authors surveyed.  In addition, real differences of opinion and practice emerged among authors of different disciplines. Like Swan and Brown, however, the disciplines covered were largely concentrated in the sciences, with a very small percentage of respondents from the social sciences and humanities.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
          <w:bCs/>
        </w:rPr>
        <w:t>METHODOLOGY</w:t>
      </w:r>
      <w:r>
        <w:rPr>
          <w:rFonts w:ascii="Arial" w:eastAsia="Times New Roman" w:hAnsi="Arial" w:cs="Arial"/>
        </w:rPr>
        <w:t xml:space="preserve">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This study surveyed 918 authors from 2007-2008 issues of open access journals in psychology, business management, women’s studies, and music. Journal titles selected were taken from the Directory of Open Access Journals (DOAJ), all had ISSN numbers, all were fully open access according the strictures established by DOAJ (all content is freely available with free user registration an acceptable option and no embargo period). All were journals that report primary results of research or overviews of research results to the scholarly community. All were in English and published in the United States. All were peer-reviewed.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The URL for the web-based survey, delivered via </w:t>
      </w:r>
      <w:proofErr w:type="spellStart"/>
      <w:r>
        <w:rPr>
          <w:rFonts w:ascii="Arial" w:eastAsia="Times New Roman" w:hAnsi="Arial" w:cs="Arial"/>
        </w:rPr>
        <w:t>SurveyMonkey</w:t>
      </w:r>
      <w:proofErr w:type="spellEnd"/>
      <w:r>
        <w:rPr>
          <w:rFonts w:ascii="Arial" w:eastAsia="Times New Roman" w:hAnsi="Arial" w:cs="Arial"/>
        </w:rPr>
        <w:t>, was e-mailed to the</w:t>
      </w:r>
      <w:r>
        <w:rPr>
          <w:rFonts w:ascii="Arial" w:eastAsia="Times New Roman" w:hAnsi="Arial" w:cs="Arial"/>
          <w:b/>
          <w:bCs/>
          <w:color w:val="FF0000"/>
        </w:rPr>
        <w:t xml:space="preserve"> </w:t>
      </w:r>
      <w:r>
        <w:rPr>
          <w:rFonts w:ascii="Arial" w:eastAsia="Times New Roman" w:hAnsi="Arial" w:cs="Arial"/>
        </w:rPr>
        <w:t>authors in October 2008. The survey closed on November 6, 2008. See Appendix.</w:t>
      </w:r>
    </w:p>
    <w:p w:rsidR="00030687" w:rsidRDefault="00030687" w:rsidP="00030687">
      <w:pPr>
        <w:spacing w:before="100" w:beforeAutospacing="1" w:after="0" w:line="240" w:lineRule="auto"/>
        <w:rPr>
          <w:rFonts w:ascii="Arial" w:eastAsia="Times New Roman" w:hAnsi="Arial" w:cs="Arial"/>
        </w:rPr>
      </w:pP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
          <w:bCs/>
        </w:rPr>
        <w:lastRenderedPageBreak/>
        <w:t>FINDINGS AND DISCUSSION</w:t>
      </w:r>
    </w:p>
    <w:p w:rsidR="00566C20" w:rsidRDefault="00030687" w:rsidP="00030687">
      <w:pPr>
        <w:spacing w:before="100" w:beforeAutospacing="1" w:after="0" w:line="240" w:lineRule="auto"/>
        <w:rPr>
          <w:rFonts w:ascii="Arial" w:eastAsia="Times New Roman" w:hAnsi="Arial" w:cs="Arial"/>
        </w:rPr>
      </w:pPr>
      <w:r>
        <w:rPr>
          <w:rFonts w:ascii="Arial" w:eastAsia="Times New Roman" w:hAnsi="Arial" w:cs="Arial"/>
        </w:rPr>
        <w:t>A total of 339</w:t>
      </w:r>
      <w:r>
        <w:rPr>
          <w:rFonts w:ascii="Arial" w:eastAsia="Times New Roman" w:hAnsi="Arial" w:cs="Arial"/>
          <w:b/>
          <w:bCs/>
          <w:color w:val="FF0000"/>
        </w:rPr>
        <w:t xml:space="preserve"> </w:t>
      </w:r>
      <w:r>
        <w:rPr>
          <w:rFonts w:ascii="Arial" w:eastAsia="Times New Roman" w:hAnsi="Arial" w:cs="Arial"/>
        </w:rPr>
        <w:t xml:space="preserve">surveys were returned, for an overall response rate of </w:t>
      </w:r>
      <w:r>
        <w:rPr>
          <w:rFonts w:ascii="Arial" w:eastAsia="Times New Roman" w:hAnsi="Arial" w:cs="Arial"/>
          <w:bCs/>
        </w:rPr>
        <w:t>36.9</w:t>
      </w:r>
      <w:r>
        <w:rPr>
          <w:rFonts w:ascii="Arial" w:eastAsia="Times New Roman" w:hAnsi="Arial" w:cs="Arial"/>
        </w:rPr>
        <w:t xml:space="preserve"> percent. The total number of respondents varies slightly by question.   Small discrepancies in figures are the result of rounding.</w:t>
      </w:r>
    </w:p>
    <w:p w:rsidR="00566C20" w:rsidRDefault="00566C20" w:rsidP="00030687">
      <w:pPr>
        <w:spacing w:before="100" w:beforeAutospacing="1" w:after="0" w:line="240" w:lineRule="auto"/>
        <w:rPr>
          <w:rFonts w:ascii="Arial" w:eastAsia="Times New Roman" w:hAnsi="Arial" w:cs="Arial"/>
        </w:rPr>
      </w:pPr>
      <w:r w:rsidRPr="00566C20">
        <w:rPr>
          <w:rFonts w:ascii="Arial" w:eastAsia="Times New Roman" w:hAnsi="Arial" w:cs="Arial"/>
        </w:rPr>
        <w:drawing>
          <wp:inline distT="0" distB="0" distL="0" distR="0">
            <wp:extent cx="5810251" cy="3648075"/>
            <wp:effectExtent l="19050" t="0" r="19049"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30687" w:rsidRPr="00566C20" w:rsidRDefault="00030687" w:rsidP="00030687">
      <w:pPr>
        <w:spacing w:before="100" w:beforeAutospacing="1" w:after="0" w:line="240" w:lineRule="auto"/>
        <w:rPr>
          <w:rFonts w:ascii="Arial" w:eastAsia="Times New Roman" w:hAnsi="Arial" w:cs="Arial"/>
          <w:b/>
        </w:rPr>
      </w:pPr>
      <w:r>
        <w:rPr>
          <w:rFonts w:ascii="Arial" w:eastAsia="Times New Roman" w:hAnsi="Arial" w:cs="Arial"/>
        </w:rPr>
        <w:t xml:space="preserve">The DOAJ’s journal subject categories were used to differentiate among the four disciplines – psychology, business, music, women’s studies.  ”Other” represents respondents who, although they published in these OA journals, primarily identified with other disciplines, such as sociology, criminal justice, or health. </w:t>
      </w:r>
      <w:r w:rsidRPr="00566C20">
        <w:rPr>
          <w:rFonts w:ascii="Arial" w:eastAsia="Times New Roman" w:hAnsi="Arial" w:cs="Arial"/>
          <w:b/>
        </w:rPr>
        <w:t>See Figure 1</w:t>
      </w:r>
      <w:r w:rsidR="00566C20" w:rsidRPr="00566C20">
        <w:rPr>
          <w:rFonts w:ascii="Arial" w:eastAsia="Times New Roman" w:hAnsi="Arial" w:cs="Arial"/>
          <w:b/>
        </w:rPr>
        <w:t xml:space="preserve"> above.</w:t>
      </w:r>
    </w:p>
    <w:p w:rsidR="00030687" w:rsidRDefault="00030687" w:rsidP="00030687">
      <w:pPr>
        <w:spacing w:before="100" w:beforeAutospacing="1" w:after="0" w:line="240" w:lineRule="auto"/>
        <w:rPr>
          <w:rFonts w:ascii="Arial" w:eastAsia="Times New Roman" w:hAnsi="Arial" w:cs="Arial"/>
          <w:b/>
          <w:i/>
        </w:rPr>
      </w:pPr>
      <w:r>
        <w:rPr>
          <w:rFonts w:ascii="Arial" w:eastAsia="Times New Roman" w:hAnsi="Arial" w:cs="Arial"/>
          <w:b/>
          <w:bCs/>
          <w:i/>
        </w:rPr>
        <w:t>Age and academic status</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Of the 338 respondents to this question 18% were between 18-30 years old, 29.9% were 31-40 years old, 22.5% were 41-50 years old, 21.9% were age 51-60, and 12.7% were 61 years or above.  </w:t>
      </w:r>
      <w:r>
        <w:rPr>
          <w:rFonts w:ascii="Arial" w:eastAsia="Times New Roman" w:hAnsi="Arial" w:cs="Arial"/>
          <w:color w:val="351C75"/>
        </w:rPr>
        <w:t xml:space="preserve"> </w:t>
      </w:r>
      <w:r>
        <w:rPr>
          <w:rFonts w:ascii="Arial" w:eastAsia="Times New Roman" w:hAnsi="Arial" w:cs="Arial"/>
        </w:rPr>
        <w:t>Of these 50.6% were tenured, 21.0% were tenure-track, 6.6% non-tenure Track, 9.9% were graduate students, 2.4% were retired/emeritus, 9.6% were “other,” including six post-docs, with the remaining a mixture of clinicians, independent scholars, adjunct/contact instructors, or individuals working in institutions that do not have a tenure system.</w:t>
      </w:r>
      <w:r>
        <w:rPr>
          <w:rFonts w:ascii="Arial" w:eastAsia="Times New Roman" w:hAnsi="Arial" w:cs="Arial"/>
          <w:color w:val="351C75"/>
        </w:rPr>
        <w:t xml:space="preserve">  </w:t>
      </w:r>
    </w:p>
    <w:p w:rsidR="00030687" w:rsidRDefault="00030687" w:rsidP="00030687">
      <w:pPr>
        <w:spacing w:before="100" w:beforeAutospacing="1" w:after="0" w:line="240" w:lineRule="auto"/>
        <w:rPr>
          <w:rFonts w:ascii="Arial" w:eastAsia="Times New Roman" w:hAnsi="Arial" w:cs="Arial"/>
          <w:b/>
          <w:i/>
        </w:rPr>
      </w:pPr>
      <w:r>
        <w:rPr>
          <w:rFonts w:ascii="Arial" w:eastAsia="Times New Roman" w:hAnsi="Arial" w:cs="Arial"/>
          <w:b/>
          <w:i/>
        </w:rPr>
        <w:t>Important factors in deciding where to publish</w:t>
      </w:r>
    </w:p>
    <w:p w:rsidR="00030687" w:rsidRDefault="00030687" w:rsidP="000B3B91">
      <w:pPr>
        <w:spacing w:before="100" w:beforeAutospacing="1" w:after="0" w:line="240" w:lineRule="auto"/>
        <w:rPr>
          <w:rFonts w:ascii="Arial" w:eastAsia="Times New Roman" w:hAnsi="Arial" w:cs="Arial"/>
          <w:b/>
        </w:rPr>
      </w:pPr>
      <w:r>
        <w:rPr>
          <w:rFonts w:ascii="Arial" w:eastAsia="Times New Roman" w:hAnsi="Arial" w:cs="Arial"/>
        </w:rPr>
        <w:t xml:space="preserve">Overall, respondents attached the greatest importance </w:t>
      </w:r>
      <w:r>
        <w:rPr>
          <w:rFonts w:ascii="Arial" w:eastAsia="Times New Roman" w:hAnsi="Arial" w:cs="Arial"/>
          <w:bCs/>
        </w:rPr>
        <w:t>(96.7%)</w:t>
      </w:r>
      <w:r>
        <w:rPr>
          <w:rFonts w:ascii="Arial" w:eastAsia="Times New Roman" w:hAnsi="Arial" w:cs="Arial"/>
          <w:b/>
          <w:bCs/>
          <w:color w:val="FF0000"/>
        </w:rPr>
        <w:t xml:space="preserve"> </w:t>
      </w:r>
      <w:r>
        <w:rPr>
          <w:rFonts w:ascii="Arial" w:eastAsia="Times New Roman" w:hAnsi="Arial" w:cs="Arial"/>
        </w:rPr>
        <w:t xml:space="preserve">to peer-review of the journal. The reputation of the journal </w:t>
      </w:r>
      <w:r>
        <w:rPr>
          <w:rFonts w:ascii="Arial" w:eastAsia="Times New Roman" w:hAnsi="Arial" w:cs="Arial"/>
          <w:bCs/>
        </w:rPr>
        <w:t>(90.2%)</w:t>
      </w:r>
      <w:r>
        <w:rPr>
          <w:rFonts w:ascii="Arial" w:eastAsia="Times New Roman" w:hAnsi="Arial" w:cs="Arial"/>
        </w:rPr>
        <w:t xml:space="preserve"> and the suitability (“match”) of the manuscript to the journal </w:t>
      </w:r>
      <w:r>
        <w:rPr>
          <w:rFonts w:ascii="Arial" w:eastAsia="Times New Roman" w:hAnsi="Arial" w:cs="Arial"/>
          <w:bCs/>
        </w:rPr>
        <w:t xml:space="preserve">(90.2%) </w:t>
      </w:r>
      <w:r>
        <w:rPr>
          <w:rFonts w:ascii="Arial" w:eastAsia="Times New Roman" w:hAnsi="Arial" w:cs="Arial"/>
        </w:rPr>
        <w:t xml:space="preserve">were both considered next in importance.  The quality of the editor/editorial board followed </w:t>
      </w:r>
      <w:r>
        <w:rPr>
          <w:rFonts w:ascii="Arial" w:eastAsia="Times New Roman" w:hAnsi="Arial" w:cs="Arial"/>
          <w:bCs/>
        </w:rPr>
        <w:t>(74.4%)</w:t>
      </w:r>
      <w:r>
        <w:rPr>
          <w:rFonts w:ascii="Arial" w:eastAsia="Times New Roman" w:hAnsi="Arial" w:cs="Arial"/>
        </w:rPr>
        <w:t xml:space="preserve">, indicating perhaps that peer-review alone, while of fundamental </w:t>
      </w:r>
      <w:r>
        <w:rPr>
          <w:rFonts w:ascii="Arial" w:eastAsia="Times New Roman" w:hAnsi="Arial" w:cs="Arial"/>
        </w:rPr>
        <w:lastRenderedPageBreak/>
        <w:t xml:space="preserve">importance, was not sufficient.  To many, it also mattered </w:t>
      </w:r>
      <w:proofErr w:type="gramStart"/>
      <w:r>
        <w:rPr>
          <w:rFonts w:ascii="Arial" w:eastAsia="Times New Roman" w:hAnsi="Arial" w:cs="Arial"/>
          <w:bCs/>
        </w:rPr>
        <w:t>who</w:t>
      </w:r>
      <w:proofErr w:type="gramEnd"/>
      <w:r>
        <w:rPr>
          <w:rFonts w:ascii="Arial" w:eastAsia="Times New Roman" w:hAnsi="Arial" w:cs="Arial"/>
        </w:rPr>
        <w:t xml:space="preserve"> the peers were that were involved in the review process</w:t>
      </w:r>
      <w:r w:rsidRPr="000B3B91">
        <w:rPr>
          <w:rFonts w:ascii="Arial" w:eastAsia="Times New Roman" w:hAnsi="Arial" w:cs="Arial"/>
          <w:b/>
        </w:rPr>
        <w:t>.  See Figure 2</w:t>
      </w:r>
      <w:r w:rsidR="000B3B91">
        <w:rPr>
          <w:rFonts w:ascii="Arial" w:eastAsia="Times New Roman" w:hAnsi="Arial" w:cs="Arial"/>
          <w:b/>
        </w:rPr>
        <w:t>.</w:t>
      </w:r>
    </w:p>
    <w:p w:rsidR="000B3B91" w:rsidRDefault="000B3B91" w:rsidP="000B3B91">
      <w:pPr>
        <w:spacing w:before="100" w:beforeAutospacing="1" w:after="0" w:line="240" w:lineRule="auto"/>
        <w:rPr>
          <w:rFonts w:ascii="Arial" w:eastAsia="Times New Roman" w:hAnsi="Arial" w:cs="Arial"/>
          <w:b/>
        </w:rPr>
      </w:pPr>
      <w:r w:rsidRPr="000B3B91">
        <w:rPr>
          <w:rFonts w:ascii="Arial" w:eastAsia="Times New Roman" w:hAnsi="Arial" w:cs="Arial"/>
          <w:b/>
        </w:rPr>
        <w:drawing>
          <wp:inline distT="0" distB="0" distL="0" distR="0">
            <wp:extent cx="5943600" cy="3728085"/>
            <wp:effectExtent l="19050" t="0" r="19050" b="571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Timeliness of publication </w:t>
      </w:r>
      <w:r>
        <w:rPr>
          <w:rFonts w:ascii="Arial" w:eastAsia="Times New Roman" w:hAnsi="Arial" w:cs="Arial"/>
          <w:bCs/>
        </w:rPr>
        <w:t xml:space="preserve">(67.6%), </w:t>
      </w:r>
      <w:r>
        <w:rPr>
          <w:rFonts w:ascii="Arial" w:eastAsia="Times New Roman" w:hAnsi="Arial" w:cs="Arial"/>
        </w:rPr>
        <w:t>citation ‘impact’</w:t>
      </w:r>
      <w:r>
        <w:rPr>
          <w:rFonts w:ascii="Arial" w:eastAsia="Times New Roman" w:hAnsi="Arial" w:cs="Arial"/>
          <w:bCs/>
        </w:rPr>
        <w:t xml:space="preserve"> (55.3%), and </w:t>
      </w:r>
      <w:r>
        <w:rPr>
          <w:rFonts w:ascii="Arial" w:eastAsia="Times New Roman" w:hAnsi="Arial" w:cs="Arial"/>
        </w:rPr>
        <w:t>acceptance rate</w:t>
      </w:r>
      <w:r>
        <w:rPr>
          <w:rFonts w:ascii="Arial" w:eastAsia="Times New Roman" w:hAnsi="Arial" w:cs="Arial"/>
          <w:bCs/>
        </w:rPr>
        <w:t xml:space="preserve"> (40%) </w:t>
      </w:r>
      <w:r>
        <w:rPr>
          <w:rFonts w:ascii="Arial" w:eastAsia="Times New Roman" w:hAnsi="Arial" w:cs="Arial"/>
        </w:rPr>
        <w:t>followed in relative importance.  Least important were the influence of the grant-awarding</w:t>
      </w:r>
      <w:r>
        <w:rPr>
          <w:rFonts w:ascii="Arial" w:eastAsia="Times New Roman" w:hAnsi="Arial" w:cs="Arial"/>
          <w:bCs/>
        </w:rPr>
        <w:t xml:space="preserve"> </w:t>
      </w:r>
      <w:r>
        <w:rPr>
          <w:rFonts w:ascii="Arial" w:eastAsia="Times New Roman" w:hAnsi="Arial" w:cs="Arial"/>
        </w:rPr>
        <w:t xml:space="preserve">body </w:t>
      </w:r>
      <w:r>
        <w:rPr>
          <w:rFonts w:ascii="Arial" w:eastAsia="Times New Roman" w:hAnsi="Arial" w:cs="Arial"/>
          <w:bCs/>
        </w:rPr>
        <w:t xml:space="preserve">(6.3%) </w:t>
      </w:r>
      <w:r>
        <w:rPr>
          <w:rFonts w:ascii="Arial" w:eastAsia="Times New Roman" w:hAnsi="Arial" w:cs="Arial"/>
        </w:rPr>
        <w:t xml:space="preserve">and the ability to retain copyright </w:t>
      </w:r>
      <w:r>
        <w:rPr>
          <w:rFonts w:ascii="Arial" w:eastAsia="Times New Roman" w:hAnsi="Arial" w:cs="Arial"/>
          <w:bCs/>
        </w:rPr>
        <w:t xml:space="preserve">(16.9%). </w:t>
      </w:r>
      <w:r>
        <w:rPr>
          <w:rFonts w:ascii="Arial" w:eastAsia="Times New Roman" w:hAnsi="Arial" w:cs="Arial"/>
        </w:rPr>
        <w:t xml:space="preserve">The relatively low importance attached to the issue of copyright retention is significant because it means that the existing publishing model is fairly entrenched. Attempts to encourage scholars to retain their rights may be greeted with a lukewarm response.   </w:t>
      </w:r>
    </w:p>
    <w:p w:rsidR="00030687" w:rsidRDefault="00030687" w:rsidP="00030687">
      <w:pPr>
        <w:spacing w:before="100" w:beforeAutospacing="1" w:after="0" w:line="240" w:lineRule="auto"/>
        <w:rPr>
          <w:rFonts w:ascii="Arial" w:eastAsia="Times New Roman" w:hAnsi="Arial" w:cs="Arial"/>
          <w:i/>
        </w:rPr>
      </w:pPr>
      <w:r>
        <w:rPr>
          <w:rFonts w:ascii="Arial" w:eastAsia="Times New Roman" w:hAnsi="Arial" w:cs="Arial"/>
          <w:b/>
          <w:bCs/>
          <w:i/>
        </w:rPr>
        <w:t>Self-archiving</w:t>
      </w:r>
      <w:r>
        <w:rPr>
          <w:rFonts w:ascii="Arial" w:eastAsia="Times New Roman" w:hAnsi="Arial" w:cs="Arial"/>
          <w:i/>
        </w:rPr>
        <w:t xml:space="preserve">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Nicholas found that those making available scholarly materials on their own web page or depositing in an institutional archive were about one and a half times more likely to publish in OA </w:t>
      </w:r>
      <w:proofErr w:type="gramStart"/>
      <w:r>
        <w:rPr>
          <w:rFonts w:ascii="Arial" w:eastAsia="Times New Roman" w:hAnsi="Arial" w:cs="Arial"/>
        </w:rPr>
        <w:t>journals.</w:t>
      </w:r>
      <w:r>
        <w:rPr>
          <w:rFonts w:ascii="Arial" w:eastAsia="Times New Roman" w:hAnsi="Arial" w:cs="Arial"/>
          <w:b/>
          <w:vertAlign w:val="superscript"/>
        </w:rPr>
        <w:t>10</w:t>
      </w:r>
      <w:r>
        <w:rPr>
          <w:rFonts w:ascii="Arial" w:eastAsia="Times New Roman" w:hAnsi="Arial" w:cs="Arial"/>
          <w:b/>
        </w:rPr>
        <w:t xml:space="preserve">  </w:t>
      </w:r>
      <w:r>
        <w:rPr>
          <w:rFonts w:ascii="Arial" w:eastAsia="Times New Roman" w:hAnsi="Arial" w:cs="Arial"/>
        </w:rPr>
        <w:t>Our</w:t>
      </w:r>
      <w:proofErr w:type="gramEnd"/>
      <w:r>
        <w:rPr>
          <w:rFonts w:ascii="Arial" w:eastAsia="Times New Roman" w:hAnsi="Arial" w:cs="Arial"/>
        </w:rPr>
        <w:t xml:space="preserve"> findings differed from Nicholas on this.  Of 335 respondents to this question, 37.0% replied that they had self-archived either on a personal or departmental web page, or in an institutional or subject-related archive; 63.0% said they had not.  </w:t>
      </w:r>
    </w:p>
    <w:p w:rsidR="00030687" w:rsidRDefault="00030687" w:rsidP="00030687">
      <w:pPr>
        <w:spacing w:before="100" w:beforeAutospacing="1" w:after="0" w:line="240" w:lineRule="auto"/>
        <w:rPr>
          <w:rFonts w:ascii="Arial" w:eastAsia="Times New Roman" w:hAnsi="Arial" w:cs="Arial"/>
        </w:rPr>
      </w:pPr>
    </w:p>
    <w:p w:rsidR="00030687" w:rsidRDefault="00030687" w:rsidP="00030687">
      <w:pPr>
        <w:spacing w:before="100" w:beforeAutospacing="1" w:after="0" w:line="240" w:lineRule="auto"/>
        <w:rPr>
          <w:rFonts w:ascii="Arial" w:eastAsia="Times New Roman" w:hAnsi="Arial" w:cs="Arial"/>
          <w:b/>
          <w:i/>
        </w:rPr>
      </w:pPr>
      <w:r>
        <w:rPr>
          <w:rFonts w:ascii="Arial" w:eastAsia="Times New Roman" w:hAnsi="Arial" w:cs="Arial"/>
          <w:b/>
          <w:i/>
        </w:rPr>
        <w:t xml:space="preserve">Electronic vs. </w:t>
      </w:r>
      <w:proofErr w:type="gramStart"/>
      <w:r>
        <w:rPr>
          <w:rFonts w:ascii="Arial" w:eastAsia="Times New Roman" w:hAnsi="Arial" w:cs="Arial"/>
          <w:b/>
          <w:i/>
        </w:rPr>
        <w:t>print  --</w:t>
      </w:r>
      <w:proofErr w:type="gramEnd"/>
      <w:r>
        <w:rPr>
          <w:rFonts w:ascii="Arial" w:eastAsia="Times New Roman" w:hAnsi="Arial" w:cs="Arial"/>
          <w:b/>
          <w:i/>
        </w:rPr>
        <w:t xml:space="preserve"> does it matter?</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Of the 329 </w:t>
      </w:r>
      <w:r>
        <w:rPr>
          <w:rFonts w:ascii="Arial" w:eastAsia="Times New Roman" w:hAnsi="Arial" w:cs="Arial"/>
          <w:bCs/>
        </w:rPr>
        <w:t>total</w:t>
      </w:r>
      <w:r>
        <w:rPr>
          <w:rFonts w:ascii="Arial" w:eastAsia="Times New Roman" w:hAnsi="Arial" w:cs="Arial"/>
        </w:rPr>
        <w:t xml:space="preserve"> respondents to this question 40.7% responded that electronic journals were acceptable; 0.6% said they were not acceptable; 36.2% responded that they were “less desirable than print”; 22.5% said this is not an Issue – that ‘other’ factors more important. </w:t>
      </w:r>
      <w:r>
        <w:rPr>
          <w:rFonts w:ascii="Arial" w:eastAsia="Times New Roman" w:hAnsi="Arial" w:cs="Arial"/>
        </w:rPr>
        <w:lastRenderedPageBreak/>
        <w:t xml:space="preserve">Notably, this overall response is reflected fairly evenly across the four disciplines surveyed.   </w:t>
      </w:r>
      <w:r w:rsidRPr="000B3B91">
        <w:rPr>
          <w:rFonts w:ascii="Arial" w:eastAsia="Times New Roman" w:hAnsi="Arial" w:cs="Arial"/>
          <w:b/>
        </w:rPr>
        <w:t>See Figure 3.</w:t>
      </w:r>
    </w:p>
    <w:p w:rsidR="000B3B91" w:rsidRDefault="000B3B91" w:rsidP="00030687">
      <w:pPr>
        <w:spacing w:before="100" w:beforeAutospacing="1" w:after="0" w:line="240" w:lineRule="auto"/>
        <w:rPr>
          <w:rFonts w:ascii="Arial" w:eastAsia="Times New Roman" w:hAnsi="Arial" w:cs="Arial"/>
          <w:b/>
          <w:bCs/>
        </w:rPr>
      </w:pPr>
      <w:r w:rsidRPr="000B3B91">
        <w:rPr>
          <w:rFonts w:ascii="Arial" w:eastAsia="Times New Roman" w:hAnsi="Arial" w:cs="Arial"/>
          <w:b/>
          <w:bCs/>
        </w:rPr>
        <w:drawing>
          <wp:inline distT="0" distB="0" distL="0" distR="0">
            <wp:extent cx="4848225" cy="3181350"/>
            <wp:effectExtent l="19050" t="0" r="952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Cs/>
        </w:rPr>
        <w:t>From several responses in the “General Comments” section at the end of the survey it was evident that some scholars think of the terms ‘open access’ and ‘electronic’ journals synonymously rather than fully understanding open access as a publishing model, not just a format change.</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
          <w:bCs/>
          <w:i/>
        </w:rPr>
        <w:t>Importance of publication type for advancement in the discipline</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Cs/>
        </w:rPr>
        <w:t xml:space="preserve">Respondents uniformly indicated that publication in peer-review journals was most highly valued for tenure, promotion, and advancement.  </w:t>
      </w:r>
      <w:r>
        <w:rPr>
          <w:rFonts w:ascii="Arial" w:eastAsia="Times New Roman" w:hAnsi="Arial" w:cs="Arial"/>
        </w:rPr>
        <w:t xml:space="preserve">Of note is the regard for trade journals reported by business respondents. </w:t>
      </w:r>
      <w:r w:rsidRPr="004F11E7">
        <w:rPr>
          <w:rFonts w:ascii="Arial" w:eastAsia="Times New Roman" w:hAnsi="Arial" w:cs="Arial"/>
          <w:b/>
        </w:rPr>
        <w:t>See Figure 4.</w:t>
      </w:r>
    </w:p>
    <w:p w:rsidR="004F11E7" w:rsidRDefault="004F11E7" w:rsidP="00030687">
      <w:pPr>
        <w:spacing w:before="100" w:beforeAutospacing="1" w:after="0" w:line="240" w:lineRule="auto"/>
        <w:rPr>
          <w:rFonts w:ascii="Arial" w:eastAsia="Times New Roman" w:hAnsi="Arial" w:cs="Arial"/>
          <w:b/>
          <w:bCs/>
        </w:rPr>
      </w:pPr>
      <w:r w:rsidRPr="004F11E7">
        <w:rPr>
          <w:rFonts w:ascii="Arial" w:eastAsia="Times New Roman" w:hAnsi="Arial" w:cs="Arial"/>
          <w:b/>
          <w:bCs/>
        </w:rPr>
        <w:lastRenderedPageBreak/>
        <w:drawing>
          <wp:inline distT="0" distB="0" distL="0" distR="0">
            <wp:extent cx="5553075" cy="4057650"/>
            <wp:effectExtent l="19050" t="0" r="9525"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Psychology, business, and women’s studies valued books/monographs next. The high importance attributed to books is significant because these are far less likely to become open access items. The publishing environment for books is very different from journal publishing and books, unlike journal articles, may provide royalties to the author. Of interest, though, is the California Institute of Technology Library’s </w:t>
      </w:r>
      <w:proofErr w:type="spellStart"/>
      <w:r>
        <w:rPr>
          <w:rFonts w:ascii="Arial" w:eastAsia="Times New Roman" w:hAnsi="Arial" w:cs="Arial"/>
        </w:rPr>
        <w:t>CalTechBOOK</w:t>
      </w:r>
      <w:proofErr w:type="spellEnd"/>
      <w:r>
        <w:rPr>
          <w:rFonts w:ascii="Arial" w:eastAsia="Times New Roman" w:hAnsi="Arial" w:cs="Arial"/>
        </w:rPr>
        <w:t xml:space="preserve"> repository, which has successfully cornered some faculty tomes.</w:t>
      </w:r>
      <w:r>
        <w:rPr>
          <w:rFonts w:ascii="Arial" w:eastAsia="Times New Roman" w:hAnsi="Arial" w:cs="Arial"/>
          <w:b/>
          <w:vertAlign w:val="superscript"/>
        </w:rPr>
        <w:t>11</w:t>
      </w:r>
    </w:p>
    <w:p w:rsidR="00030687" w:rsidRDefault="00030687" w:rsidP="00030687">
      <w:pPr>
        <w:spacing w:before="100" w:beforeAutospacing="1" w:after="0" w:line="240" w:lineRule="auto"/>
        <w:rPr>
          <w:rFonts w:ascii="Arial" w:eastAsia="Times New Roman" w:hAnsi="Arial" w:cs="Arial"/>
          <w:b/>
          <w:i/>
        </w:rPr>
      </w:pPr>
      <w:r>
        <w:rPr>
          <w:rFonts w:ascii="Arial" w:eastAsia="Times New Roman" w:hAnsi="Arial" w:cs="Arial"/>
          <w:b/>
          <w:bCs/>
          <w:i/>
        </w:rPr>
        <w:t>Article Output -- how prolific overall, and how many were OA?</w:t>
      </w:r>
    </w:p>
    <w:p w:rsidR="00030687" w:rsidRDefault="00030687" w:rsidP="00030687">
      <w:pPr>
        <w:spacing w:before="100" w:beforeAutospacing="1" w:after="0" w:line="240" w:lineRule="auto"/>
        <w:rPr>
          <w:rFonts w:ascii="Arial" w:eastAsia="Times New Roman" w:hAnsi="Arial" w:cs="Arial"/>
          <w:b/>
          <w:i/>
        </w:rPr>
      </w:pPr>
      <w:r>
        <w:rPr>
          <w:rFonts w:ascii="Arial" w:eastAsia="Times New Roman" w:hAnsi="Arial" w:cs="Arial"/>
        </w:rPr>
        <w:t xml:space="preserve">Of the 329 </w:t>
      </w:r>
      <w:r>
        <w:rPr>
          <w:rFonts w:ascii="Arial" w:eastAsia="Times New Roman" w:hAnsi="Arial" w:cs="Arial"/>
          <w:bCs/>
        </w:rPr>
        <w:t>total</w:t>
      </w:r>
      <w:r>
        <w:rPr>
          <w:rFonts w:ascii="Arial" w:eastAsia="Times New Roman" w:hAnsi="Arial" w:cs="Arial"/>
        </w:rPr>
        <w:t xml:space="preserve"> respondents, 3.3% published one article; 17.6% published 2-5 articles; 16.7% published 5-10 articles; 19.5% published 10-20 articles; 42.9% published more than 20.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Of the 330 </w:t>
      </w:r>
      <w:r>
        <w:rPr>
          <w:rFonts w:ascii="Arial" w:eastAsia="Times New Roman" w:hAnsi="Arial" w:cs="Arial"/>
          <w:bCs/>
        </w:rPr>
        <w:t>total</w:t>
      </w:r>
      <w:r>
        <w:rPr>
          <w:rFonts w:ascii="Arial" w:eastAsia="Times New Roman" w:hAnsi="Arial" w:cs="Arial"/>
        </w:rPr>
        <w:t xml:space="preserve"> respondents to the question of how many of their output were OA, 40.9% published 1 article in OA journals; 39.1% published 2-5 in OA journals; 5.5% published 5-10 in OA journals; 2.4% have published 10 – 20 in OA journals; 1.5% published more than 20 this way; and 10.6% of the respondents did not know how many were OA.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Nicholas and </w:t>
      </w:r>
      <w:proofErr w:type="spellStart"/>
      <w:r>
        <w:rPr>
          <w:rFonts w:ascii="Arial" w:eastAsia="Times New Roman" w:hAnsi="Arial" w:cs="Arial"/>
        </w:rPr>
        <w:t>Rowlands</w:t>
      </w:r>
      <w:proofErr w:type="spellEnd"/>
      <w:r>
        <w:rPr>
          <w:rFonts w:ascii="Arial" w:eastAsia="Times New Roman" w:hAnsi="Arial" w:cs="Arial"/>
        </w:rPr>
        <w:t xml:space="preserve"> found that prolific authors were more likely to publish in open access </w:t>
      </w:r>
      <w:proofErr w:type="gramStart"/>
      <w:r>
        <w:rPr>
          <w:rFonts w:ascii="Arial" w:eastAsia="Times New Roman" w:hAnsi="Arial" w:cs="Arial"/>
        </w:rPr>
        <w:t>journals.</w:t>
      </w:r>
      <w:r>
        <w:rPr>
          <w:rFonts w:ascii="Arial" w:eastAsia="Times New Roman" w:hAnsi="Arial" w:cs="Arial"/>
          <w:b/>
          <w:vertAlign w:val="superscript"/>
        </w:rPr>
        <w:t>12</w:t>
      </w:r>
      <w:r>
        <w:rPr>
          <w:rFonts w:ascii="Arial" w:eastAsia="Times New Roman" w:hAnsi="Arial" w:cs="Arial"/>
        </w:rPr>
        <w:t xml:space="preserve">  Our</w:t>
      </w:r>
      <w:proofErr w:type="gramEnd"/>
      <w:r>
        <w:rPr>
          <w:rFonts w:ascii="Arial" w:eastAsia="Times New Roman" w:hAnsi="Arial" w:cs="Arial"/>
        </w:rPr>
        <w:t xml:space="preserve"> findings echo this assertion. Noteworthy is that 76.3% of the prolific authors (‘prolific’ here defined as publishing 10 or more articles) responding to our survey were tenured.</w:t>
      </w:r>
    </w:p>
    <w:p w:rsidR="00030687" w:rsidRDefault="00030687" w:rsidP="00030687">
      <w:pPr>
        <w:spacing w:before="100" w:beforeAutospacing="1" w:after="0" w:line="240" w:lineRule="auto"/>
        <w:rPr>
          <w:rFonts w:ascii="Arial" w:eastAsia="Times New Roman" w:hAnsi="Arial" w:cs="Arial"/>
          <w:b/>
          <w:i/>
        </w:rPr>
      </w:pPr>
      <w:r>
        <w:rPr>
          <w:rFonts w:ascii="Arial" w:eastAsia="Times New Roman" w:hAnsi="Arial" w:cs="Arial"/>
          <w:b/>
          <w:i/>
        </w:rPr>
        <w:t>Awareness of open access publishing</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lastRenderedPageBreak/>
        <w:t xml:space="preserve">Of the 325 respondents, 39.4% were “Very Aware”; 43.4% were “Somewhat Aware”; 17.2% were “Not at all </w:t>
      </w:r>
      <w:proofErr w:type="gramStart"/>
      <w:r>
        <w:rPr>
          <w:rFonts w:ascii="Arial" w:eastAsia="Times New Roman" w:hAnsi="Arial" w:cs="Arial"/>
        </w:rPr>
        <w:t>Aware</w:t>
      </w:r>
      <w:proofErr w:type="gramEnd"/>
      <w:r>
        <w:rPr>
          <w:rFonts w:ascii="Arial" w:eastAsia="Times New Roman" w:hAnsi="Arial" w:cs="Arial"/>
        </w:rPr>
        <w:t xml:space="preserve">.”  </w:t>
      </w:r>
      <w:r w:rsidRPr="00CA0DA3">
        <w:rPr>
          <w:rFonts w:ascii="Arial" w:eastAsia="Times New Roman" w:hAnsi="Arial" w:cs="Arial"/>
          <w:b/>
        </w:rPr>
        <w:t>See Figure 5.</w:t>
      </w:r>
    </w:p>
    <w:p w:rsidR="00CA0DA3" w:rsidRDefault="00CA0DA3" w:rsidP="00030687">
      <w:pPr>
        <w:spacing w:before="100" w:beforeAutospacing="1" w:after="0" w:line="240" w:lineRule="auto"/>
        <w:rPr>
          <w:rFonts w:ascii="Arial" w:eastAsia="Times New Roman" w:hAnsi="Arial" w:cs="Arial"/>
        </w:rPr>
      </w:pPr>
      <w:r w:rsidRPr="00CA0DA3">
        <w:rPr>
          <w:rFonts w:ascii="Arial" w:eastAsia="Times New Roman" w:hAnsi="Arial" w:cs="Arial"/>
        </w:rPr>
        <w:drawing>
          <wp:inline distT="0" distB="0" distL="0" distR="0">
            <wp:extent cx="4572000" cy="2838450"/>
            <wp:effectExtent l="19050" t="0" r="1905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Nicholas and </w:t>
      </w:r>
      <w:proofErr w:type="spellStart"/>
      <w:r>
        <w:rPr>
          <w:rFonts w:ascii="Arial" w:eastAsia="Times New Roman" w:hAnsi="Arial" w:cs="Arial"/>
        </w:rPr>
        <w:t>Rowlands</w:t>
      </w:r>
      <w:proofErr w:type="spellEnd"/>
      <w:r>
        <w:rPr>
          <w:rFonts w:ascii="Arial" w:eastAsia="Times New Roman" w:hAnsi="Arial" w:cs="Arial"/>
        </w:rPr>
        <w:t xml:space="preserve"> found older authors were more likely to report knowing nothing at all about open access.</w:t>
      </w:r>
      <w:r>
        <w:rPr>
          <w:rFonts w:ascii="Arial" w:eastAsia="Times New Roman" w:hAnsi="Arial" w:cs="Arial"/>
          <w:color w:val="FF0000"/>
          <w:vertAlign w:val="superscript"/>
        </w:rPr>
        <w:t xml:space="preserve"> </w:t>
      </w:r>
      <w:r>
        <w:rPr>
          <w:rFonts w:ascii="Arial" w:eastAsia="Times New Roman" w:hAnsi="Arial" w:cs="Arial"/>
          <w:b/>
          <w:vertAlign w:val="superscript"/>
        </w:rPr>
        <w:t>13</w:t>
      </w:r>
      <w:r>
        <w:rPr>
          <w:rFonts w:ascii="Arial" w:eastAsia="Times New Roman" w:hAnsi="Arial" w:cs="Arial"/>
        </w:rPr>
        <w:t xml:space="preserve">   Our findings belie this somewhat.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When asked how they became aware of open access publishing, 318 responded.  Of these 14.5% said, “this is the first I’ve heard of it,” indicating that they had published in an OA journal without being conscious of its being OA.  The largest percentage (43.4%) reported becoming aware of OA publishing from colleagues, 39.3% became aware while searching the Internet for publishing opportunities, 33.3% heard about OA via their professional societies; 11.6% said their institution made them aware of it, and 8.5% specified that their institution’s library made them aware.</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
          <w:i/>
        </w:rPr>
        <w:t>Perceptions of Open Access Publishing</w:t>
      </w:r>
      <w:r>
        <w:rPr>
          <w:rFonts w:ascii="Arial" w:eastAsia="Times New Roman" w:hAnsi="Arial" w:cs="Arial"/>
        </w:rPr>
        <w:t xml:space="preserve">  </w:t>
      </w:r>
    </w:p>
    <w:p w:rsidR="00030687" w:rsidRDefault="00030687" w:rsidP="00030687">
      <w:pPr>
        <w:spacing w:before="100" w:beforeAutospacing="1" w:after="0" w:line="240" w:lineRule="auto"/>
        <w:rPr>
          <w:rFonts w:ascii="Arial" w:eastAsia="Times New Roman" w:hAnsi="Arial" w:cs="Arial"/>
          <w:b/>
        </w:rPr>
      </w:pPr>
      <w:r>
        <w:rPr>
          <w:rFonts w:ascii="Arial" w:eastAsia="Times New Roman" w:hAnsi="Arial" w:cs="Arial"/>
        </w:rPr>
        <w:t xml:space="preserve">In discussing open access publishing with faculty it can be helpful to have an idea of how open access is perceived by them. </w:t>
      </w:r>
      <w:r w:rsidRPr="00EF6457">
        <w:rPr>
          <w:rFonts w:ascii="Arial" w:eastAsia="Times New Roman" w:hAnsi="Arial" w:cs="Arial"/>
          <w:b/>
        </w:rPr>
        <w:t>See Figure 6.</w:t>
      </w:r>
    </w:p>
    <w:p w:rsidR="00EF6457" w:rsidRDefault="00EF6457" w:rsidP="00030687">
      <w:pPr>
        <w:spacing w:before="100" w:beforeAutospacing="1" w:after="0" w:line="240" w:lineRule="auto"/>
        <w:rPr>
          <w:rFonts w:ascii="Arial" w:eastAsia="Times New Roman" w:hAnsi="Arial" w:cs="Arial"/>
          <w:b/>
        </w:rPr>
      </w:pPr>
    </w:p>
    <w:p w:rsidR="00EF6457" w:rsidRPr="00EF6457" w:rsidRDefault="00EF6457" w:rsidP="00EF6457">
      <w:pPr>
        <w:spacing w:after="0"/>
        <w:jc w:val="center"/>
        <w:rPr>
          <w:b/>
          <w:sz w:val="28"/>
          <w:szCs w:val="28"/>
        </w:rPr>
      </w:pPr>
      <w:r w:rsidRPr="00EF6457">
        <w:rPr>
          <w:b/>
          <w:sz w:val="28"/>
          <w:szCs w:val="28"/>
        </w:rPr>
        <w:t>Figure 6: Perceptions of Open Access Publishing</w:t>
      </w:r>
    </w:p>
    <w:p w:rsidR="00EF6457" w:rsidRPr="00EF6457" w:rsidRDefault="00EF6457" w:rsidP="00EF6457">
      <w:pPr>
        <w:spacing w:after="0"/>
        <w:jc w:val="center"/>
        <w:rPr>
          <w:b/>
          <w:sz w:val="28"/>
          <w:szCs w:val="28"/>
        </w:rPr>
      </w:pPr>
      <w:r w:rsidRPr="00EF6457">
        <w:rPr>
          <w:b/>
          <w:sz w:val="28"/>
          <w:szCs w:val="28"/>
        </w:rPr>
        <w:t>n=327</w:t>
      </w:r>
    </w:p>
    <w:p w:rsidR="00EF6457" w:rsidRDefault="00EF6457" w:rsidP="00EF6457">
      <w:pPr>
        <w:spacing w:after="0"/>
        <w:ind w:left="720"/>
        <w:rPr>
          <w:b/>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619" w:type="dxa"/>
          <w:left w:w="0" w:type="dxa"/>
          <w:bottom w:w="619" w:type="dxa"/>
          <w:right w:w="0" w:type="dxa"/>
        </w:tblCellMar>
        <w:tblLook w:val="04A0"/>
      </w:tblPr>
      <w:tblGrid>
        <w:gridCol w:w="3600"/>
        <w:gridCol w:w="1678"/>
        <w:gridCol w:w="2008"/>
        <w:gridCol w:w="2340"/>
      </w:tblGrid>
      <w:tr w:rsidR="00EF6457" w:rsidRPr="00610BE5" w:rsidTr="0018448C">
        <w:trPr>
          <w:trHeight w:val="502"/>
        </w:trPr>
        <w:tc>
          <w:tcPr>
            <w:tcW w:w="3600" w:type="dxa"/>
            <w:shd w:val="clear" w:color="auto" w:fill="auto"/>
            <w:tcMar>
              <w:top w:w="0" w:type="dxa"/>
              <w:left w:w="108" w:type="dxa"/>
              <w:bottom w:w="0" w:type="dxa"/>
              <w:right w:w="108" w:type="dxa"/>
            </w:tcMa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 xml:space="preserve">  </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b/>
                <w:bCs/>
              </w:rPr>
              <w:t>TRUE</w:t>
            </w: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b/>
                <w:bCs/>
              </w:rPr>
              <w:t>FALSE</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b/>
                <w:bCs/>
              </w:rPr>
              <w:t>No opinion</w:t>
            </w:r>
          </w:p>
        </w:tc>
      </w:tr>
      <w:tr w:rsidR="00EF6457" w:rsidRPr="00610BE5" w:rsidTr="0018448C">
        <w:trPr>
          <w:trHeight w:val="20"/>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OA means free access for all readers</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b/>
                <w:bCs/>
              </w:rPr>
            </w:pPr>
            <w:r w:rsidRPr="00610BE5">
              <w:rPr>
                <w:rFonts w:ascii="Arial" w:eastAsia="Times New Roman" w:hAnsi="Arial" w:cs="Arial"/>
                <w:b/>
                <w:bCs/>
              </w:rPr>
              <w:t>89.9%</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5.2%</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4.9%</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lastRenderedPageBreak/>
              <w:t>OA journals have faster publication times</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b/>
                <w:bCs/>
              </w:rPr>
            </w:pPr>
            <w:r w:rsidRPr="00610BE5">
              <w:rPr>
                <w:rFonts w:ascii="Arial" w:eastAsia="Times New Roman" w:hAnsi="Arial" w:cs="Arial"/>
                <w:b/>
                <w:bCs/>
              </w:rPr>
              <w:t>65.7%</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18.7%</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15.6%</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Readership will be larger</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b/>
                <w:bCs/>
              </w:rPr>
            </w:pPr>
            <w:r w:rsidRPr="00610BE5">
              <w:rPr>
                <w:rFonts w:ascii="Arial" w:eastAsia="Times New Roman" w:hAnsi="Arial" w:cs="Arial"/>
                <w:b/>
                <w:bCs/>
              </w:rPr>
              <w:t>47.2%</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26.9%</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25.9%</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Articles will be more frequently cited</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20.6%</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940034" w:rsidRDefault="00EF6457" w:rsidP="0018448C">
            <w:pPr>
              <w:spacing w:after="0" w:line="240" w:lineRule="auto"/>
              <w:jc w:val="center"/>
              <w:rPr>
                <w:rFonts w:ascii="Arial" w:eastAsia="Times New Roman" w:hAnsi="Arial" w:cs="Arial"/>
                <w:b/>
              </w:rPr>
            </w:pPr>
            <w:r w:rsidRPr="00940034">
              <w:rPr>
                <w:rFonts w:ascii="Arial" w:eastAsia="Times New Roman" w:hAnsi="Arial" w:cs="Arial"/>
                <w:b/>
              </w:rPr>
              <w:t>40.6%</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38.8%</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OA publishing will help reduce cost of publication subscriptions</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b/>
                <w:bCs/>
              </w:rPr>
            </w:pPr>
            <w:r w:rsidRPr="00610BE5">
              <w:rPr>
                <w:rFonts w:ascii="Arial" w:eastAsia="Times New Roman" w:hAnsi="Arial" w:cs="Arial"/>
                <w:b/>
                <w:bCs/>
              </w:rPr>
              <w:t>73.5%</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8.3%</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18.2%</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OA journals are less prestigious than subscription based journals</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b/>
                <w:bCs/>
              </w:rPr>
              <w:t>46.5%</w:t>
            </w: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30.6%</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22.9%</w:t>
            </w:r>
          </w:p>
          <w:p w:rsidR="00EF6457" w:rsidRPr="00610BE5" w:rsidRDefault="00EF6457" w:rsidP="0018448C">
            <w:pPr>
              <w:spacing w:after="0" w:line="240" w:lineRule="auto"/>
              <w:jc w:val="center"/>
              <w:rPr>
                <w:rFonts w:ascii="Arial" w:eastAsia="Times New Roman" w:hAnsi="Arial" w:cs="Arial"/>
              </w:rPr>
            </w:pP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OA journals will not be properly archived</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7.1%</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b/>
                <w:bCs/>
              </w:rPr>
              <w:t>62.2%</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30.8%</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OA journals may adversely affect the viability of scholarly societies</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8.0%</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b/>
                <w:bCs/>
              </w:rPr>
              <w:t>63.3%</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28.7%</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sidRPr="00610BE5">
              <w:rPr>
                <w:rFonts w:ascii="Arial" w:eastAsia="Times New Roman" w:hAnsi="Arial" w:cs="Arial"/>
              </w:rPr>
              <w:t>May adversely affect chances at promotion</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11.1%</w:t>
            </w:r>
          </w:p>
          <w:p w:rsidR="00EF6457" w:rsidRPr="00610BE5" w:rsidRDefault="00EF6457" w:rsidP="0018448C">
            <w:pPr>
              <w:spacing w:after="0" w:line="240" w:lineRule="auto"/>
              <w:jc w:val="center"/>
              <w:rPr>
                <w:rFonts w:ascii="Arial" w:eastAsia="Times New Roman" w:hAnsi="Arial" w:cs="Arial"/>
              </w:rPr>
            </w:pP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b/>
                <w:bCs/>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b/>
                <w:bCs/>
              </w:rPr>
              <w:t>62.7%</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26.2%</w:t>
            </w:r>
          </w:p>
        </w:tc>
      </w:tr>
      <w:tr w:rsidR="00EF6457" w:rsidRPr="00610BE5" w:rsidTr="0018448C">
        <w:trPr>
          <w:trHeight w:val="576"/>
        </w:trPr>
        <w:tc>
          <w:tcPr>
            <w:tcW w:w="3600" w:type="dxa"/>
            <w:shd w:val="clear" w:color="auto" w:fill="auto"/>
            <w:tcMar>
              <w:top w:w="0" w:type="dxa"/>
              <w:left w:w="108" w:type="dxa"/>
              <w:bottom w:w="0" w:type="dxa"/>
              <w:right w:w="108" w:type="dxa"/>
            </w:tcMar>
            <w:vAlign w:val="center"/>
            <w:hideMark/>
          </w:tcPr>
          <w:p w:rsidR="00EF6457" w:rsidRPr="00610BE5" w:rsidRDefault="00EF6457" w:rsidP="0018448C">
            <w:pPr>
              <w:spacing w:after="0" w:line="240" w:lineRule="auto"/>
              <w:rPr>
                <w:rFonts w:ascii="Arial" w:eastAsia="Times New Roman" w:hAnsi="Arial" w:cs="Arial"/>
              </w:rPr>
            </w:pPr>
            <w:r>
              <w:rPr>
                <w:rFonts w:ascii="Arial" w:eastAsia="Times New Roman" w:hAnsi="Arial" w:cs="Arial"/>
              </w:rPr>
              <w:t>OA journals are usually not peer r</w:t>
            </w:r>
            <w:r w:rsidRPr="00610BE5">
              <w:rPr>
                <w:rFonts w:ascii="Arial" w:eastAsia="Times New Roman" w:hAnsi="Arial" w:cs="Arial"/>
              </w:rPr>
              <w:t>eviewed</w:t>
            </w:r>
          </w:p>
        </w:tc>
        <w:tc>
          <w:tcPr>
            <w:tcW w:w="167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3.4%</w:t>
            </w:r>
          </w:p>
        </w:tc>
        <w:tc>
          <w:tcPr>
            <w:tcW w:w="2008"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b/>
              </w:rPr>
            </w:pPr>
            <w:r w:rsidRPr="00610BE5">
              <w:rPr>
                <w:rFonts w:ascii="Arial" w:eastAsia="Times New Roman" w:hAnsi="Arial" w:cs="Arial"/>
                <w:b/>
              </w:rPr>
              <w:t>76.9%</w:t>
            </w:r>
          </w:p>
        </w:tc>
        <w:tc>
          <w:tcPr>
            <w:tcW w:w="2340" w:type="dxa"/>
            <w:shd w:val="clear" w:color="auto" w:fill="auto"/>
            <w:tcMar>
              <w:top w:w="0" w:type="dxa"/>
              <w:left w:w="108" w:type="dxa"/>
              <w:bottom w:w="0" w:type="dxa"/>
              <w:right w:w="108" w:type="dxa"/>
            </w:tcMar>
            <w:hideMark/>
          </w:tcPr>
          <w:p w:rsidR="00EF6457" w:rsidRPr="00610BE5" w:rsidRDefault="00EF6457" w:rsidP="0018448C">
            <w:pPr>
              <w:spacing w:after="0" w:line="240" w:lineRule="auto"/>
              <w:jc w:val="center"/>
              <w:rPr>
                <w:rFonts w:ascii="Arial" w:eastAsia="Times New Roman" w:hAnsi="Arial" w:cs="Arial"/>
              </w:rPr>
            </w:pPr>
          </w:p>
          <w:p w:rsidR="00EF6457" w:rsidRPr="00610BE5" w:rsidRDefault="00EF6457" w:rsidP="0018448C">
            <w:pPr>
              <w:spacing w:after="0" w:line="240" w:lineRule="auto"/>
              <w:jc w:val="center"/>
              <w:rPr>
                <w:rFonts w:ascii="Arial" w:eastAsia="Times New Roman" w:hAnsi="Arial" w:cs="Arial"/>
              </w:rPr>
            </w:pPr>
            <w:r w:rsidRPr="00610BE5">
              <w:rPr>
                <w:rFonts w:ascii="Arial" w:eastAsia="Times New Roman" w:hAnsi="Arial" w:cs="Arial"/>
              </w:rPr>
              <w:t>19.8%</w:t>
            </w:r>
          </w:p>
        </w:tc>
      </w:tr>
    </w:tbl>
    <w:p w:rsidR="00EF6457" w:rsidRPr="00610BE5" w:rsidRDefault="00EF6457" w:rsidP="00EF6457">
      <w:pPr>
        <w:spacing w:after="0"/>
        <w:rPr>
          <w:rFonts w:ascii="Arial" w:hAnsi="Arial" w:cs="Arial"/>
          <w:b/>
        </w:rPr>
      </w:pPr>
    </w:p>
    <w:p w:rsidR="00EF6457" w:rsidRDefault="00EF6457" w:rsidP="00030687">
      <w:pPr>
        <w:spacing w:before="100" w:beforeAutospacing="1" w:after="0" w:line="240" w:lineRule="auto"/>
        <w:rPr>
          <w:rFonts w:ascii="Arial" w:eastAsia="Times New Roman" w:hAnsi="Arial" w:cs="Arial"/>
        </w:rPr>
      </w:pPr>
    </w:p>
    <w:p w:rsidR="00EF6457" w:rsidRDefault="00EF6457" w:rsidP="00030687">
      <w:pPr>
        <w:spacing w:before="100" w:beforeAutospacing="1" w:after="0" w:line="240" w:lineRule="auto"/>
        <w:rPr>
          <w:rFonts w:ascii="Arial" w:eastAsia="Times New Roman" w:hAnsi="Arial" w:cs="Arial"/>
          <w:b/>
          <w:bCs/>
        </w:rPr>
      </w:pP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Exploring further the perception of whether OA journals are “less prestigious than subscription based journals,” we found that among authors age 61 year or more, 52.4% said true (OA is less prestigious) and 21.4% said false. Of those aged 51-60, 43.7% said true (OA is less prestigious) and 33.8% said false. Younger authors were a bit more forgiving.  Of our authors under 30, 32.5% said true (OA is less prestigious); 47.5% said false.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The age of a journal (while not the sole determinant) can certainly be a factor in whether it is considered to be prestigious. Rick Anderson makes the point that many OA journals just do not yet have the long publication history necessary to build the reputation that a journal such as </w:t>
      </w:r>
      <w:r>
        <w:rPr>
          <w:rFonts w:ascii="Arial" w:eastAsia="Times New Roman" w:hAnsi="Arial" w:cs="Arial"/>
          <w:i/>
          <w:iCs/>
        </w:rPr>
        <w:t xml:space="preserve">Nature </w:t>
      </w:r>
      <w:r>
        <w:rPr>
          <w:rFonts w:ascii="Arial" w:eastAsia="Times New Roman" w:hAnsi="Arial" w:cs="Arial"/>
          <w:iCs/>
        </w:rPr>
        <w:t>(which began publishing in 1869)</w:t>
      </w:r>
      <w:r>
        <w:rPr>
          <w:rFonts w:ascii="Arial" w:eastAsia="Times New Roman" w:hAnsi="Arial" w:cs="Arial"/>
        </w:rPr>
        <w:t xml:space="preserve"> enjoys.</w:t>
      </w:r>
      <w:r>
        <w:rPr>
          <w:rFonts w:ascii="Arial" w:eastAsia="Times New Roman" w:hAnsi="Arial" w:cs="Arial"/>
          <w:b/>
          <w:vertAlign w:val="superscript"/>
        </w:rPr>
        <w:t>14</w:t>
      </w:r>
      <w:r>
        <w:rPr>
          <w:rFonts w:ascii="Arial" w:eastAsia="Times New Roman" w:hAnsi="Arial" w:cs="Arial"/>
          <w:b/>
        </w:rPr>
        <w:t> </w:t>
      </w:r>
      <w:r>
        <w:rPr>
          <w:rFonts w:ascii="Arial" w:eastAsia="Times New Roman" w:hAnsi="Arial" w:cs="Arial"/>
        </w:rPr>
        <w:t xml:space="preserve"> </w:t>
      </w:r>
    </w:p>
    <w:p w:rsidR="00030687" w:rsidRDefault="00030687" w:rsidP="00030687">
      <w:pPr>
        <w:spacing w:before="100" w:beforeAutospacing="1" w:after="0" w:line="240" w:lineRule="auto"/>
        <w:rPr>
          <w:rFonts w:ascii="Arial" w:eastAsia="Times New Roman" w:hAnsi="Arial" w:cs="Arial"/>
          <w:b/>
          <w:i/>
        </w:rPr>
      </w:pPr>
      <w:r>
        <w:rPr>
          <w:rFonts w:ascii="Arial" w:eastAsia="Times New Roman" w:hAnsi="Arial" w:cs="Arial"/>
          <w:b/>
          <w:i/>
        </w:rPr>
        <w:t> Author Publication Fees</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Open access means free to the reader, but not necessarily free for the publisher producing the journal.  The ‘author pays’ model is fairly well accepted in the sciences, where grant money routinely takes care of the fees.  For many in the social sciences and humanities, however, this may be a less acceptable model, whether because research is often undertaken without </w:t>
      </w:r>
      <w:r>
        <w:rPr>
          <w:rFonts w:ascii="Arial" w:eastAsia="Times New Roman" w:hAnsi="Arial" w:cs="Arial"/>
        </w:rPr>
        <w:lastRenderedPageBreak/>
        <w:t xml:space="preserve">substantial grant funding, or because (to some) it may sound a bit too close to “vanity press” publishing.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 Of the 323 respondents 26.9% said they have published in journals that had author fees.  Of these, 54% were in psychology, 35.6% were in business, zero in music, </w:t>
      </w:r>
      <w:proofErr w:type="gramStart"/>
      <w:r>
        <w:rPr>
          <w:rFonts w:ascii="Arial" w:eastAsia="Times New Roman" w:hAnsi="Arial" w:cs="Arial"/>
        </w:rPr>
        <w:t>3.44% in women’s</w:t>
      </w:r>
      <w:proofErr w:type="gramEnd"/>
      <w:r>
        <w:rPr>
          <w:rFonts w:ascii="Arial" w:eastAsia="Times New Roman" w:hAnsi="Arial" w:cs="Arial"/>
        </w:rPr>
        <w:t xml:space="preserve"> studies. Six respondents skipped this question.</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Of those who published in journals that used the “author pays” model, 31% said a funding agency paid the fee.  More than half (57%) who had funding agency assistance with this were in psychology, 24% were from business, with music and women’s studies each reporting at 9.9%.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Of the 323 respondents to this question 42.1% reported that they would not do ‘author pays.’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Rick Anderson points out that in a mixed publishing economy, where OA and non-OA publishing opportunities exist, given the choice between publishing in an OA journal at a substantial cost and an equally prestigious journal at no personal cost, an author would have to be powerfully motivated by the moral argument or by an external mandate of some kind.</w:t>
      </w:r>
      <w:r>
        <w:rPr>
          <w:rFonts w:ascii="Arial" w:eastAsia="Times New Roman" w:hAnsi="Arial" w:cs="Arial"/>
          <w:b/>
        </w:rPr>
        <w:t xml:space="preserve"> </w:t>
      </w:r>
      <w:r>
        <w:rPr>
          <w:rFonts w:ascii="Arial" w:eastAsia="Times New Roman" w:hAnsi="Arial" w:cs="Arial"/>
        </w:rPr>
        <w:t xml:space="preserve">He also emphasizes that the shift means the </w:t>
      </w:r>
      <w:r>
        <w:rPr>
          <w:rFonts w:ascii="Arial" w:eastAsia="Times New Roman" w:hAnsi="Arial" w:cs="Arial"/>
          <w:i/>
        </w:rPr>
        <w:t>author</w:t>
      </w:r>
      <w:r>
        <w:rPr>
          <w:rFonts w:ascii="Arial" w:eastAsia="Times New Roman" w:hAnsi="Arial" w:cs="Arial"/>
        </w:rPr>
        <w:t xml:space="preserve"> (not the publisher) takes responsibility for securing the necessary funding. </w:t>
      </w:r>
      <w:r>
        <w:rPr>
          <w:rFonts w:ascii="Arial" w:eastAsia="Times New Roman" w:hAnsi="Arial" w:cs="Arial"/>
          <w:b/>
          <w:vertAlign w:val="superscript"/>
        </w:rPr>
        <w:t>15</w:t>
      </w:r>
      <w:r>
        <w:rPr>
          <w:rFonts w:ascii="Arial" w:eastAsia="Times New Roman" w:hAnsi="Arial" w:cs="Arial"/>
          <w:b/>
          <w:color w:val="FF0000"/>
          <w:vertAlign w:val="superscript"/>
        </w:rPr>
        <w:t xml:space="preserve">  </w:t>
      </w:r>
      <w:r>
        <w:rPr>
          <w:rFonts w:ascii="Arial" w:eastAsia="Times New Roman" w:hAnsi="Arial" w:cs="Arial"/>
        </w:rPr>
        <w:t xml:space="preserve"> This scenario may represent a somewhat different “cultural norm” for many in the social science and humanities disciplines.</w:t>
      </w:r>
    </w:p>
    <w:p w:rsidR="00030687" w:rsidRDefault="00030687" w:rsidP="00030687">
      <w:pPr>
        <w:spacing w:before="100" w:beforeAutospacing="1" w:after="0" w:line="240" w:lineRule="auto"/>
        <w:rPr>
          <w:rFonts w:ascii="Arial" w:eastAsia="Times New Roman" w:hAnsi="Arial" w:cs="Arial"/>
        </w:rPr>
      </w:pPr>
      <w:proofErr w:type="gramStart"/>
      <w:r>
        <w:rPr>
          <w:rFonts w:ascii="Arial" w:eastAsia="Times New Roman" w:hAnsi="Arial" w:cs="Arial"/>
        </w:rPr>
        <w:t>‘Author pays’ in an open access setting, however (as distinct from ‘author pays’ in a subscription journal), means that the author is making the research available to everyone, not just to a subscriber base.</w:t>
      </w:r>
      <w:proofErr w:type="gramEnd"/>
      <w:r>
        <w:rPr>
          <w:rFonts w:ascii="Arial" w:eastAsia="Times New Roman" w:hAnsi="Arial" w:cs="Arial"/>
        </w:rPr>
        <w:t xml:space="preserve"> It is of interest that the </w:t>
      </w:r>
      <w:r>
        <w:rPr>
          <w:rFonts w:ascii="Arial" w:eastAsia="Times New Roman" w:hAnsi="Arial" w:cs="Arial"/>
          <w:i/>
        </w:rPr>
        <w:t>Directory of Open Access Journals</w:t>
      </w:r>
      <w:r>
        <w:rPr>
          <w:rFonts w:ascii="Arial" w:eastAsia="Times New Roman" w:hAnsi="Arial" w:cs="Arial"/>
        </w:rPr>
        <w:t xml:space="preserve"> (</w:t>
      </w:r>
      <w:hyperlink r:id="rId12" w:history="1">
        <w:r>
          <w:rPr>
            <w:rStyle w:val="Hyperlink"/>
            <w:rFonts w:ascii="Arial" w:eastAsia="Times New Roman" w:hAnsi="Arial" w:cs="Arial"/>
          </w:rPr>
          <w:t>http://www.doaj.org</w:t>
        </w:r>
      </w:hyperlink>
      <w:r>
        <w:rPr>
          <w:rFonts w:ascii="Arial" w:eastAsia="Times New Roman" w:hAnsi="Arial" w:cs="Arial"/>
        </w:rPr>
        <w:t xml:space="preserve">), in its “For Authors” section, offers a search option allowing authors to distinguish between ‘no publication fee’ and ‘publication fee.’  Here authors can readily distinguish between OA titles that ask a fee from the author’s side and those that do not.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b/>
          <w:bCs/>
        </w:rPr>
        <w:t xml:space="preserve">CONCLUSIONS </w:t>
      </w:r>
      <w:r>
        <w:rPr>
          <w:rFonts w:ascii="Arial" w:eastAsia="Times New Roman" w:hAnsi="Arial" w:cs="Arial"/>
        </w:rPr>
        <w:t> </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 xml:space="preserve">Peer review and peer acceptance is at the heart of scholarly research endeavors. The data suggest that peer-review will remain </w:t>
      </w:r>
      <w:proofErr w:type="gramStart"/>
      <w:r>
        <w:rPr>
          <w:rFonts w:ascii="Arial" w:eastAsia="Times New Roman" w:hAnsi="Arial" w:cs="Arial"/>
        </w:rPr>
        <w:t>key</w:t>
      </w:r>
      <w:proofErr w:type="gramEnd"/>
      <w:r>
        <w:rPr>
          <w:rFonts w:ascii="Arial" w:eastAsia="Times New Roman" w:hAnsi="Arial" w:cs="Arial"/>
        </w:rPr>
        <w:t xml:space="preserve"> to the decision of where to publish, regardless of the business model used for publishing.</w:t>
      </w:r>
    </w:p>
    <w:p w:rsidR="00030687" w:rsidRDefault="00030687" w:rsidP="00030687">
      <w:pPr>
        <w:spacing w:before="100" w:beforeAutospacing="1" w:after="0" w:line="240" w:lineRule="auto"/>
        <w:rPr>
          <w:rFonts w:ascii="Arial" w:eastAsia="Times New Roman" w:hAnsi="Arial" w:cs="Arial"/>
        </w:rPr>
      </w:pPr>
      <w:r>
        <w:rPr>
          <w:rFonts w:ascii="Arial" w:eastAsia="Times New Roman" w:hAnsi="Arial" w:cs="Arial"/>
        </w:rPr>
        <w:t>There also exists some confusion over the terms “electronic” publishing and “open access” publishing. In discussing open access publishing with faculty, it may be important to establish that the concept of open access is not the same as a format change from print to electronic.</w:t>
      </w:r>
    </w:p>
    <w:p w:rsidR="00030687" w:rsidRDefault="00030687" w:rsidP="00030687">
      <w:pPr>
        <w:spacing w:before="100" w:beforeAutospacing="1" w:after="0" w:line="240" w:lineRule="auto"/>
        <w:rPr>
          <w:rFonts w:ascii="Arial" w:eastAsia="Times New Roman" w:hAnsi="Arial" w:cs="Arial"/>
          <w:color w:val="000000"/>
        </w:rPr>
      </w:pPr>
      <w:r>
        <w:rPr>
          <w:rFonts w:ascii="Arial" w:eastAsia="Times New Roman" w:hAnsi="Arial" w:cs="Arial"/>
          <w:bCs/>
        </w:rPr>
        <w:t xml:space="preserve">The culture of the discipline has some bearing on this discussion. Psychology, for example, is a fairly concise discipline with a scholarly journal publishing history dating back to the 1800’s, although it should be noted that the American Psychological Association is now including in </w:t>
      </w:r>
      <w:proofErr w:type="spellStart"/>
      <w:r>
        <w:rPr>
          <w:rFonts w:ascii="Arial" w:eastAsia="Times New Roman" w:hAnsi="Arial" w:cs="Arial"/>
          <w:bCs/>
          <w:i/>
        </w:rPr>
        <w:t>PsycINFO</w:t>
      </w:r>
      <w:proofErr w:type="spellEnd"/>
      <w:r>
        <w:rPr>
          <w:rFonts w:ascii="Arial" w:eastAsia="Times New Roman" w:hAnsi="Arial" w:cs="Arial"/>
          <w:bCs/>
          <w:i/>
        </w:rPr>
        <w:t xml:space="preserve"> </w:t>
      </w:r>
      <w:r>
        <w:rPr>
          <w:rFonts w:ascii="Arial" w:eastAsia="Times New Roman" w:hAnsi="Arial" w:cs="Arial"/>
          <w:bCs/>
        </w:rPr>
        <w:t>quality peer-reviewed open access journals that meet the APA’s requirements for indexing.</w:t>
      </w:r>
      <w:r>
        <w:rPr>
          <w:rFonts w:ascii="Arial" w:eastAsia="Times New Roman" w:hAnsi="Arial" w:cs="Arial"/>
          <w:b/>
          <w:bCs/>
          <w:vertAlign w:val="superscript"/>
        </w:rPr>
        <w:t>16</w:t>
      </w:r>
      <w:r>
        <w:rPr>
          <w:rFonts w:ascii="Arial" w:eastAsia="Times New Roman" w:hAnsi="Arial" w:cs="Arial"/>
          <w:bCs/>
        </w:rPr>
        <w:t xml:space="preserve">   </w:t>
      </w:r>
      <w:r>
        <w:rPr>
          <w:rFonts w:ascii="Arial" w:eastAsia="Times New Roman" w:hAnsi="Arial" w:cs="Arial"/>
          <w:color w:val="000000"/>
        </w:rPr>
        <w:t>Women's Studies, on the other hand, is interdisciplinary and still relatively young.   It evolved out of the politics of its time: the Vietnam War protests, Women's Liberation, the Civil Rights movement, and the struggle for gay and lesbian rights. Marilyn Boxer states, "</w:t>
      </w:r>
      <w:proofErr w:type="gramStart"/>
      <w:r>
        <w:rPr>
          <w:rFonts w:ascii="Arial" w:eastAsia="Times New Roman" w:hAnsi="Arial" w:cs="Arial"/>
          <w:color w:val="000000"/>
        </w:rPr>
        <w:t>from</w:t>
      </w:r>
      <w:proofErr w:type="gramEnd"/>
      <w:r>
        <w:rPr>
          <w:rFonts w:ascii="Arial" w:eastAsia="Times New Roman" w:hAnsi="Arial" w:cs="Arial"/>
          <w:color w:val="000000"/>
        </w:rPr>
        <w:t xml:space="preserve"> the beginning, the goal of women's studies was not merely to study women's position in the world but to change it." </w:t>
      </w:r>
      <w:r>
        <w:rPr>
          <w:rFonts w:ascii="Arial" w:eastAsia="Times New Roman" w:hAnsi="Arial" w:cs="Arial"/>
          <w:b/>
          <w:vertAlign w:val="superscript"/>
        </w:rPr>
        <w:t xml:space="preserve">17  </w:t>
      </w:r>
      <w:r>
        <w:rPr>
          <w:rFonts w:ascii="Arial" w:eastAsia="Times New Roman" w:hAnsi="Arial" w:cs="Arial"/>
          <w:b/>
          <w:color w:val="FF0000"/>
          <w:vertAlign w:val="superscript"/>
        </w:rPr>
        <w:t xml:space="preserve">  </w:t>
      </w:r>
      <w:r>
        <w:rPr>
          <w:rFonts w:ascii="Arial" w:eastAsia="Times New Roman" w:hAnsi="Arial" w:cs="Arial"/>
        </w:rPr>
        <w:t xml:space="preserve">Women/gender studies attracts a wide variety of authors including medical doctors, gender activists, poets and artists, free-lance researchers, and even humanitarian workers who may be as interested (or more interested) in getting their research out than in seeking tenure. </w:t>
      </w:r>
    </w:p>
    <w:p w:rsidR="00030687" w:rsidRDefault="00030687" w:rsidP="00030687">
      <w:pPr>
        <w:spacing w:before="100" w:beforeAutospacing="1" w:after="0" w:line="240" w:lineRule="auto"/>
        <w:rPr>
          <w:rFonts w:ascii="Arial" w:eastAsia="Times New Roman" w:hAnsi="Arial" w:cs="Arial"/>
          <w:bCs/>
        </w:rPr>
      </w:pPr>
      <w:r>
        <w:rPr>
          <w:rFonts w:ascii="Arial" w:eastAsia="Times New Roman" w:hAnsi="Arial" w:cs="Arial"/>
          <w:bCs/>
        </w:rPr>
        <w:lastRenderedPageBreak/>
        <w:t xml:space="preserve">Increasingly, open access represents a leading edge in scholarly publishing, rather than the “fringe.”  However, an understanding (and acceptance) of open access journal publishing as a viable outlet for scholarly publishing is still quite dependent on the research and publishing culture within the disciplines. For authors working in the non-science disciplines especially, open access may take a while to reach fuller acceptance, if it does. </w:t>
      </w:r>
      <w:r>
        <w:rPr>
          <w:rFonts w:ascii="Arial" w:eastAsia="Times New Roman" w:hAnsi="Arial" w:cs="Arial"/>
        </w:rPr>
        <w:t>More discipline-related research is needed concerning open access publishing in the social sciences and humanities, among both OA and non-OA authors.</w:t>
      </w:r>
    </w:p>
    <w:p w:rsidR="00030687" w:rsidRPr="00DE31A0" w:rsidRDefault="00030687" w:rsidP="00030687">
      <w:pPr>
        <w:spacing w:before="100" w:beforeAutospacing="1" w:after="0" w:line="240" w:lineRule="auto"/>
        <w:rPr>
          <w:rFonts w:ascii="Arial" w:eastAsia="Times New Roman" w:hAnsi="Arial" w:cs="Arial"/>
          <w:b/>
          <w:bCs/>
          <w:sz w:val="24"/>
          <w:szCs w:val="24"/>
        </w:rPr>
      </w:pPr>
      <w:r w:rsidRPr="00DE31A0">
        <w:rPr>
          <w:rFonts w:ascii="Arial" w:eastAsia="Times New Roman" w:hAnsi="Arial" w:cs="Arial"/>
          <w:b/>
          <w:bCs/>
          <w:sz w:val="24"/>
          <w:szCs w:val="24"/>
        </w:rPr>
        <w:t>NOTES</w:t>
      </w:r>
    </w:p>
    <w:p w:rsidR="00030687" w:rsidRPr="00AE7EE9" w:rsidRDefault="00030687" w:rsidP="00030687">
      <w:pPr>
        <w:pStyle w:val="ListParagraph"/>
        <w:numPr>
          <w:ilvl w:val="0"/>
          <w:numId w:val="1"/>
        </w:numPr>
        <w:spacing w:after="0" w:line="360" w:lineRule="auto"/>
        <w:rPr>
          <w:rFonts w:ascii="Arial" w:hAnsi="Arial" w:cs="Arial"/>
          <w:sz w:val="20"/>
          <w:szCs w:val="20"/>
        </w:rPr>
      </w:pPr>
      <w:r w:rsidRPr="00AE7EE9">
        <w:rPr>
          <w:rFonts w:ascii="Arial" w:hAnsi="Arial" w:cs="Arial"/>
          <w:sz w:val="20"/>
          <w:szCs w:val="20"/>
        </w:rPr>
        <w:t xml:space="preserve">John </w:t>
      </w:r>
      <w:proofErr w:type="spellStart"/>
      <w:r w:rsidRPr="00AE7EE9">
        <w:rPr>
          <w:rFonts w:ascii="Arial" w:hAnsi="Arial" w:cs="Arial"/>
          <w:sz w:val="20"/>
          <w:szCs w:val="20"/>
        </w:rPr>
        <w:t>Willinsky</w:t>
      </w:r>
      <w:proofErr w:type="spellEnd"/>
      <w:r w:rsidRPr="00AE7EE9">
        <w:rPr>
          <w:rFonts w:ascii="Arial" w:hAnsi="Arial" w:cs="Arial"/>
          <w:sz w:val="20"/>
          <w:szCs w:val="20"/>
        </w:rPr>
        <w:t xml:space="preserve">. </w:t>
      </w:r>
      <w:r w:rsidRPr="00AE7EE9">
        <w:rPr>
          <w:rFonts w:ascii="Arial" w:hAnsi="Arial" w:cs="Arial"/>
          <w:i/>
          <w:iCs/>
          <w:sz w:val="20"/>
          <w:szCs w:val="20"/>
        </w:rPr>
        <w:t>The Access Principle: the Case for Open Access to Research and Scholarship.</w:t>
      </w:r>
      <w:r w:rsidRPr="00AE7EE9">
        <w:rPr>
          <w:rFonts w:ascii="Arial" w:hAnsi="Arial" w:cs="Arial"/>
          <w:sz w:val="20"/>
          <w:szCs w:val="20"/>
        </w:rPr>
        <w:t xml:space="preserve"> Cambridge, MA: MIT Press, 2006: 1.  </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Peter </w:t>
      </w:r>
      <w:proofErr w:type="spellStart"/>
      <w:r w:rsidRPr="00AE7EE9">
        <w:rPr>
          <w:rFonts w:ascii="Arial" w:hAnsi="Arial" w:cs="Arial"/>
          <w:sz w:val="20"/>
          <w:szCs w:val="20"/>
        </w:rPr>
        <w:t>Suber</w:t>
      </w:r>
      <w:proofErr w:type="spellEnd"/>
      <w:r w:rsidRPr="00AE7EE9">
        <w:rPr>
          <w:rFonts w:ascii="Arial" w:hAnsi="Arial" w:cs="Arial"/>
          <w:sz w:val="20"/>
          <w:szCs w:val="20"/>
        </w:rPr>
        <w:t xml:space="preserve">.  </w:t>
      </w:r>
      <w:r w:rsidRPr="00AE7EE9">
        <w:rPr>
          <w:rFonts w:ascii="Arial" w:hAnsi="Arial" w:cs="Arial"/>
          <w:i/>
          <w:iCs/>
          <w:sz w:val="20"/>
          <w:szCs w:val="20"/>
        </w:rPr>
        <w:t>Timeline of the Open Access Movement</w:t>
      </w:r>
      <w:r w:rsidRPr="00AE7EE9">
        <w:rPr>
          <w:rFonts w:ascii="Arial" w:hAnsi="Arial" w:cs="Arial"/>
          <w:sz w:val="20"/>
          <w:szCs w:val="20"/>
        </w:rPr>
        <w:t xml:space="preserve"> (formerly called the </w:t>
      </w:r>
      <w:r w:rsidRPr="00AE7EE9">
        <w:rPr>
          <w:rFonts w:ascii="Arial" w:hAnsi="Arial" w:cs="Arial"/>
          <w:i/>
          <w:iCs/>
          <w:sz w:val="20"/>
          <w:szCs w:val="20"/>
        </w:rPr>
        <w:t>Timeline of the Free Online Scholarship Movement</w:t>
      </w:r>
      <w:r w:rsidRPr="00AE7EE9">
        <w:rPr>
          <w:rFonts w:ascii="Arial" w:hAnsi="Arial" w:cs="Arial"/>
          <w:sz w:val="20"/>
          <w:szCs w:val="20"/>
        </w:rPr>
        <w:t xml:space="preserve">) </w:t>
      </w:r>
      <w:hyperlink r:id="rId13" w:history="1">
        <w:r w:rsidRPr="00AE7EE9">
          <w:rPr>
            <w:rStyle w:val="Hyperlink"/>
            <w:rFonts w:ascii="Arial" w:hAnsi="Arial" w:cs="Arial"/>
            <w:sz w:val="20"/>
            <w:szCs w:val="20"/>
          </w:rPr>
          <w:t>http://www.earlham.edu/~peters/fos/timeline.htm</w:t>
        </w:r>
      </w:hyperlink>
      <w:r w:rsidRPr="00AE7EE9">
        <w:rPr>
          <w:rFonts w:ascii="Arial" w:hAnsi="Arial" w:cs="Arial"/>
          <w:sz w:val="20"/>
          <w:szCs w:val="20"/>
        </w:rPr>
        <w:t xml:space="preserve"> .</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Budapest Open Access Initiative (2002). </w:t>
      </w:r>
      <w:hyperlink r:id="rId14" w:history="1">
        <w:r w:rsidRPr="00AE7EE9">
          <w:rPr>
            <w:rFonts w:ascii="Arial" w:hAnsi="Arial" w:cs="Arial"/>
            <w:sz w:val="20"/>
            <w:szCs w:val="20"/>
          </w:rPr>
          <w:t>http://www.soros.org/openaccess/read/shtml</w:t>
        </w:r>
      </w:hyperlink>
      <w:r w:rsidRPr="00AE7EE9">
        <w:rPr>
          <w:rFonts w:ascii="Arial" w:hAnsi="Arial" w:cs="Arial"/>
          <w:sz w:val="20"/>
          <w:szCs w:val="20"/>
        </w:rPr>
        <w:t xml:space="preserve"> .</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Arthur Sale. “Researchers and Institutional Repositories,” In </w:t>
      </w:r>
      <w:r w:rsidRPr="00AE7EE9">
        <w:rPr>
          <w:rFonts w:ascii="Arial" w:hAnsi="Arial" w:cs="Arial"/>
          <w:i/>
          <w:iCs/>
          <w:sz w:val="20"/>
          <w:szCs w:val="20"/>
        </w:rPr>
        <w:t>Open Access: Key Strategic, Technical and Economic Aspects</w:t>
      </w:r>
      <w:r w:rsidRPr="00AE7EE9">
        <w:rPr>
          <w:rFonts w:ascii="Arial" w:hAnsi="Arial" w:cs="Arial"/>
          <w:sz w:val="20"/>
          <w:szCs w:val="20"/>
        </w:rPr>
        <w:t xml:space="preserve">, edited by Neil Jacobs. Oxford: </w:t>
      </w:r>
      <w:proofErr w:type="spellStart"/>
      <w:r w:rsidRPr="00AE7EE9">
        <w:rPr>
          <w:rFonts w:ascii="Arial" w:hAnsi="Arial" w:cs="Arial"/>
          <w:sz w:val="20"/>
          <w:szCs w:val="20"/>
        </w:rPr>
        <w:t>Chandos</w:t>
      </w:r>
      <w:proofErr w:type="spellEnd"/>
      <w:r w:rsidRPr="00AE7EE9">
        <w:rPr>
          <w:rFonts w:ascii="Arial" w:hAnsi="Arial" w:cs="Arial"/>
          <w:sz w:val="20"/>
          <w:szCs w:val="20"/>
        </w:rPr>
        <w:t xml:space="preserve">, 2006: 87-98.  </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Rick Anderson, “Author Disincentives and Open Access,” </w:t>
      </w:r>
      <w:r w:rsidRPr="00AE7EE9">
        <w:rPr>
          <w:rFonts w:ascii="Arial" w:hAnsi="Arial" w:cs="Arial"/>
          <w:i/>
          <w:iCs/>
          <w:sz w:val="20"/>
          <w:szCs w:val="20"/>
        </w:rPr>
        <w:t>Serials Review</w:t>
      </w:r>
      <w:r w:rsidRPr="00AE7EE9">
        <w:rPr>
          <w:rFonts w:ascii="Arial" w:hAnsi="Arial" w:cs="Arial"/>
          <w:sz w:val="20"/>
          <w:szCs w:val="20"/>
        </w:rPr>
        <w:t xml:space="preserve"> 30, no. 4 (2004): 289.</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David Nicholas and Ian </w:t>
      </w:r>
      <w:proofErr w:type="spellStart"/>
      <w:r w:rsidRPr="00AE7EE9">
        <w:rPr>
          <w:rFonts w:ascii="Arial" w:hAnsi="Arial" w:cs="Arial"/>
          <w:sz w:val="20"/>
          <w:szCs w:val="20"/>
        </w:rPr>
        <w:t>Rowlands</w:t>
      </w:r>
      <w:proofErr w:type="spellEnd"/>
      <w:r w:rsidRPr="00AE7EE9">
        <w:rPr>
          <w:rFonts w:ascii="Arial" w:hAnsi="Arial" w:cs="Arial"/>
          <w:sz w:val="20"/>
          <w:szCs w:val="20"/>
        </w:rPr>
        <w:t xml:space="preserve">, “Open Access Publishing: The Evidence </w:t>
      </w:r>
      <w:proofErr w:type="gramStart"/>
      <w:r w:rsidRPr="00AE7EE9">
        <w:rPr>
          <w:rFonts w:ascii="Arial" w:hAnsi="Arial" w:cs="Arial"/>
          <w:sz w:val="20"/>
          <w:szCs w:val="20"/>
        </w:rPr>
        <w:t>From</w:t>
      </w:r>
      <w:proofErr w:type="gramEnd"/>
      <w:r w:rsidRPr="00AE7EE9">
        <w:rPr>
          <w:rFonts w:ascii="Arial" w:hAnsi="Arial" w:cs="Arial"/>
          <w:sz w:val="20"/>
          <w:szCs w:val="20"/>
        </w:rPr>
        <w:t xml:space="preserve"> the Authors,” </w:t>
      </w:r>
      <w:r w:rsidRPr="00AE7EE9">
        <w:rPr>
          <w:rFonts w:ascii="Arial" w:hAnsi="Arial" w:cs="Arial"/>
          <w:i/>
          <w:iCs/>
          <w:sz w:val="20"/>
          <w:szCs w:val="20"/>
        </w:rPr>
        <w:t>Journal of Academic Librarianship</w:t>
      </w:r>
      <w:r w:rsidRPr="00AE7EE9">
        <w:rPr>
          <w:rFonts w:ascii="Arial" w:hAnsi="Arial" w:cs="Arial"/>
          <w:sz w:val="20"/>
          <w:szCs w:val="20"/>
        </w:rPr>
        <w:t xml:space="preserve"> 31, no. 3 (2005): 179.</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Alma Swan and Sheridan Brown (Key Perspectives, Ltd.), “</w:t>
      </w:r>
      <w:r w:rsidRPr="00AE7EE9">
        <w:rPr>
          <w:rFonts w:ascii="Arial" w:hAnsi="Arial" w:cs="Arial"/>
          <w:i/>
          <w:iCs/>
          <w:color w:val="000000"/>
          <w:sz w:val="20"/>
          <w:szCs w:val="20"/>
        </w:rPr>
        <w:t>Joint Information Systems Committee (JISC)</w:t>
      </w:r>
      <w:r w:rsidRPr="00AE7EE9">
        <w:rPr>
          <w:rFonts w:ascii="Arial" w:hAnsi="Arial" w:cs="Arial"/>
          <w:color w:val="000000"/>
          <w:sz w:val="20"/>
          <w:szCs w:val="20"/>
        </w:rPr>
        <w:t xml:space="preserve"> </w:t>
      </w:r>
      <w:r w:rsidRPr="00AE7EE9">
        <w:rPr>
          <w:rFonts w:ascii="Arial" w:hAnsi="Arial" w:cs="Arial"/>
          <w:i/>
          <w:sz w:val="20"/>
          <w:szCs w:val="20"/>
        </w:rPr>
        <w:t>and the Open Society Institute (OSI) Journal Authors Survey Report</w:t>
      </w:r>
      <w:r w:rsidRPr="00AE7EE9">
        <w:rPr>
          <w:rFonts w:ascii="Arial" w:hAnsi="Arial" w:cs="Arial"/>
          <w:sz w:val="20"/>
          <w:szCs w:val="20"/>
        </w:rPr>
        <w:t xml:space="preserve">,” (2004) </w:t>
      </w:r>
      <w:hyperlink r:id="rId15" w:history="1">
        <w:r w:rsidRPr="00AE7EE9">
          <w:rPr>
            <w:rFonts w:ascii="Arial" w:hAnsi="Arial" w:cs="Arial"/>
            <w:sz w:val="20"/>
            <w:szCs w:val="20"/>
            <w:u w:val="single"/>
          </w:rPr>
          <w:t>http://www.jisc.ac.uk/media/documents/themes/infoenvironment/acf655.pdf</w:t>
        </w:r>
      </w:hyperlink>
      <w:r w:rsidRPr="00AE7EE9">
        <w:rPr>
          <w:rFonts w:ascii="Arial" w:hAnsi="Arial" w:cs="Arial"/>
          <w:sz w:val="20"/>
          <w:szCs w:val="20"/>
        </w:rPr>
        <w:t> .</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Peter </w:t>
      </w:r>
      <w:proofErr w:type="spellStart"/>
      <w:r w:rsidRPr="00AE7EE9">
        <w:rPr>
          <w:rFonts w:ascii="Arial" w:hAnsi="Arial" w:cs="Arial"/>
          <w:sz w:val="20"/>
          <w:szCs w:val="20"/>
        </w:rPr>
        <w:t>Suber</w:t>
      </w:r>
      <w:proofErr w:type="spellEnd"/>
      <w:r w:rsidRPr="00AE7EE9">
        <w:rPr>
          <w:rFonts w:ascii="Arial" w:hAnsi="Arial" w:cs="Arial"/>
          <w:sz w:val="20"/>
          <w:szCs w:val="20"/>
        </w:rPr>
        <w:t xml:space="preserve">.  </w:t>
      </w:r>
      <w:r w:rsidRPr="00AE7EE9">
        <w:rPr>
          <w:rFonts w:ascii="Arial" w:hAnsi="Arial" w:cs="Arial"/>
          <w:i/>
          <w:iCs/>
          <w:sz w:val="20"/>
          <w:szCs w:val="20"/>
        </w:rPr>
        <w:t>Timeline of the Open Access Movement</w:t>
      </w:r>
      <w:r w:rsidRPr="00AE7EE9">
        <w:rPr>
          <w:rFonts w:ascii="Arial" w:hAnsi="Arial" w:cs="Arial"/>
          <w:sz w:val="20"/>
          <w:szCs w:val="20"/>
        </w:rPr>
        <w:t xml:space="preserve"> (formerly called the </w:t>
      </w:r>
      <w:r w:rsidRPr="00AE7EE9">
        <w:rPr>
          <w:rFonts w:ascii="Arial" w:hAnsi="Arial" w:cs="Arial"/>
          <w:i/>
          <w:iCs/>
          <w:sz w:val="20"/>
          <w:szCs w:val="20"/>
        </w:rPr>
        <w:t>Timeline of the Free Online Scholarship Movement</w:t>
      </w:r>
      <w:r w:rsidRPr="00AE7EE9">
        <w:rPr>
          <w:rFonts w:ascii="Arial" w:hAnsi="Arial" w:cs="Arial"/>
          <w:sz w:val="20"/>
          <w:szCs w:val="20"/>
        </w:rPr>
        <w:t xml:space="preserve">) </w:t>
      </w:r>
      <w:hyperlink r:id="rId16" w:history="1">
        <w:r w:rsidRPr="00AE7EE9">
          <w:rPr>
            <w:rStyle w:val="Hyperlink"/>
            <w:rFonts w:ascii="Arial" w:hAnsi="Arial" w:cs="Arial"/>
            <w:sz w:val="20"/>
            <w:szCs w:val="20"/>
          </w:rPr>
          <w:t>http://www.earlham.edu/~peters/fos/timeline.htm</w:t>
        </w:r>
      </w:hyperlink>
      <w:r w:rsidRPr="00AE7EE9">
        <w:rPr>
          <w:rFonts w:ascii="Arial" w:hAnsi="Arial" w:cs="Arial"/>
          <w:sz w:val="20"/>
          <w:szCs w:val="20"/>
        </w:rPr>
        <w:t xml:space="preserve"> .</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David Nicholas, Paul Huntington, and Ian </w:t>
      </w:r>
      <w:proofErr w:type="spellStart"/>
      <w:r w:rsidRPr="00AE7EE9">
        <w:rPr>
          <w:rFonts w:ascii="Arial" w:hAnsi="Arial" w:cs="Arial"/>
          <w:sz w:val="20"/>
          <w:szCs w:val="20"/>
        </w:rPr>
        <w:t>Rowlands</w:t>
      </w:r>
      <w:proofErr w:type="spellEnd"/>
      <w:r w:rsidRPr="00AE7EE9">
        <w:rPr>
          <w:rFonts w:ascii="Arial" w:hAnsi="Arial" w:cs="Arial"/>
          <w:sz w:val="20"/>
          <w:szCs w:val="20"/>
        </w:rPr>
        <w:t xml:space="preserve">, “Open Access Journal Publishing: the Views of Some of the World’s Senior Authors,” </w:t>
      </w:r>
      <w:r w:rsidRPr="00AE7EE9">
        <w:rPr>
          <w:rFonts w:ascii="Arial" w:hAnsi="Arial" w:cs="Arial"/>
          <w:i/>
          <w:iCs/>
          <w:sz w:val="20"/>
          <w:szCs w:val="20"/>
        </w:rPr>
        <w:t>Journal of Documentation</w:t>
      </w:r>
      <w:r w:rsidRPr="00AE7EE9">
        <w:rPr>
          <w:rFonts w:ascii="Arial" w:hAnsi="Arial" w:cs="Arial"/>
          <w:sz w:val="20"/>
          <w:szCs w:val="20"/>
        </w:rPr>
        <w:t xml:space="preserve"> 61, no. 4 (2005): 497-519.</w:t>
      </w:r>
    </w:p>
    <w:p w:rsidR="00030687" w:rsidRPr="00AE7EE9" w:rsidRDefault="00030687" w:rsidP="00030687">
      <w:pPr>
        <w:pStyle w:val="ListParagraph"/>
        <w:numPr>
          <w:ilvl w:val="0"/>
          <w:numId w:val="1"/>
        </w:numPr>
        <w:spacing w:after="0" w:line="360" w:lineRule="auto"/>
        <w:rPr>
          <w:rFonts w:ascii="Arial" w:hAnsi="Arial" w:cs="Arial"/>
          <w:bCs/>
          <w:sz w:val="20"/>
          <w:szCs w:val="20"/>
        </w:rPr>
      </w:pPr>
      <w:proofErr w:type="gramStart"/>
      <w:r w:rsidRPr="00AE7EE9">
        <w:rPr>
          <w:rFonts w:ascii="Arial" w:hAnsi="Arial" w:cs="Arial"/>
          <w:bCs/>
          <w:sz w:val="20"/>
          <w:szCs w:val="20"/>
        </w:rPr>
        <w:t>Ibid.,</w:t>
      </w:r>
      <w:proofErr w:type="gramEnd"/>
      <w:r w:rsidRPr="00AE7EE9">
        <w:rPr>
          <w:rFonts w:ascii="Arial" w:hAnsi="Arial" w:cs="Arial"/>
          <w:bCs/>
          <w:sz w:val="20"/>
          <w:szCs w:val="20"/>
        </w:rPr>
        <w:t xml:space="preserve"> 505.</w:t>
      </w:r>
    </w:p>
    <w:p w:rsidR="00030687" w:rsidRPr="00AE7EE9" w:rsidRDefault="00030687" w:rsidP="00030687">
      <w:pPr>
        <w:pStyle w:val="ListParagraph"/>
        <w:numPr>
          <w:ilvl w:val="0"/>
          <w:numId w:val="1"/>
        </w:numPr>
        <w:spacing w:after="0" w:line="360" w:lineRule="auto"/>
        <w:rPr>
          <w:rFonts w:ascii="Arial" w:hAnsi="Arial" w:cs="Arial"/>
          <w:bCs/>
          <w:sz w:val="20"/>
          <w:szCs w:val="20"/>
        </w:rPr>
      </w:pPr>
      <w:r w:rsidRPr="00AE7EE9">
        <w:rPr>
          <w:rFonts w:ascii="Arial" w:hAnsi="Arial" w:cs="Arial"/>
          <w:sz w:val="20"/>
          <w:szCs w:val="20"/>
        </w:rPr>
        <w:t xml:space="preserve">California Institute of Technology.  </w:t>
      </w:r>
      <w:proofErr w:type="spellStart"/>
      <w:r w:rsidRPr="00AE7EE9">
        <w:rPr>
          <w:rFonts w:ascii="Arial" w:hAnsi="Arial" w:cs="Arial"/>
          <w:sz w:val="20"/>
          <w:szCs w:val="20"/>
        </w:rPr>
        <w:t>CalTechBOOKs</w:t>
      </w:r>
      <w:proofErr w:type="spellEnd"/>
      <w:r w:rsidRPr="00AE7EE9">
        <w:rPr>
          <w:rFonts w:ascii="Arial" w:hAnsi="Arial" w:cs="Arial"/>
          <w:sz w:val="20"/>
          <w:szCs w:val="20"/>
        </w:rPr>
        <w:t xml:space="preserve">. </w:t>
      </w:r>
      <w:hyperlink r:id="rId17" w:history="1">
        <w:r w:rsidRPr="00AE7EE9">
          <w:rPr>
            <w:rFonts w:ascii="Arial" w:hAnsi="Arial" w:cs="Arial"/>
            <w:color w:val="0000FF"/>
            <w:sz w:val="20"/>
            <w:szCs w:val="20"/>
            <w:u w:val="single"/>
          </w:rPr>
          <w:t>http://caltechbook.library.caltech.edu/</w:t>
        </w:r>
      </w:hyperlink>
      <w:r w:rsidRPr="00AE7EE9">
        <w:rPr>
          <w:sz w:val="20"/>
          <w:szCs w:val="20"/>
        </w:rPr>
        <w:t xml:space="preserve"> .</w:t>
      </w:r>
    </w:p>
    <w:p w:rsidR="00030687" w:rsidRPr="00AE7EE9" w:rsidRDefault="00030687" w:rsidP="00030687">
      <w:pPr>
        <w:pStyle w:val="ListParagraph"/>
        <w:numPr>
          <w:ilvl w:val="0"/>
          <w:numId w:val="1"/>
        </w:numPr>
        <w:spacing w:after="0" w:line="360" w:lineRule="auto"/>
        <w:rPr>
          <w:rFonts w:ascii="Arial" w:hAnsi="Arial" w:cs="Arial"/>
          <w:sz w:val="20"/>
          <w:szCs w:val="20"/>
        </w:rPr>
      </w:pPr>
      <w:r w:rsidRPr="00AE7EE9">
        <w:rPr>
          <w:rFonts w:ascii="Arial" w:hAnsi="Arial" w:cs="Arial"/>
          <w:sz w:val="20"/>
          <w:szCs w:val="20"/>
        </w:rPr>
        <w:t xml:space="preserve">Nicholas and </w:t>
      </w:r>
      <w:proofErr w:type="spellStart"/>
      <w:r w:rsidRPr="00AE7EE9">
        <w:rPr>
          <w:rFonts w:ascii="Arial" w:hAnsi="Arial" w:cs="Arial"/>
          <w:sz w:val="20"/>
          <w:szCs w:val="20"/>
        </w:rPr>
        <w:t>Rowlands</w:t>
      </w:r>
      <w:proofErr w:type="spellEnd"/>
      <w:r w:rsidRPr="00AE7EE9">
        <w:rPr>
          <w:rFonts w:ascii="Arial" w:hAnsi="Arial" w:cs="Arial"/>
          <w:sz w:val="20"/>
          <w:szCs w:val="20"/>
        </w:rPr>
        <w:t xml:space="preserve">, “Open Access Publishing: The Evidence </w:t>
      </w:r>
      <w:proofErr w:type="gramStart"/>
      <w:r w:rsidRPr="00AE7EE9">
        <w:rPr>
          <w:rFonts w:ascii="Arial" w:hAnsi="Arial" w:cs="Arial"/>
          <w:sz w:val="20"/>
          <w:szCs w:val="20"/>
        </w:rPr>
        <w:t>From</w:t>
      </w:r>
      <w:proofErr w:type="gramEnd"/>
      <w:r w:rsidRPr="00AE7EE9">
        <w:rPr>
          <w:rFonts w:ascii="Arial" w:hAnsi="Arial" w:cs="Arial"/>
          <w:sz w:val="20"/>
          <w:szCs w:val="20"/>
        </w:rPr>
        <w:t xml:space="preserve"> the Authors,” 180.</w:t>
      </w:r>
    </w:p>
    <w:p w:rsidR="00030687" w:rsidRPr="00AE7EE9" w:rsidRDefault="00030687" w:rsidP="00030687">
      <w:pPr>
        <w:pStyle w:val="ListParagraph"/>
        <w:numPr>
          <w:ilvl w:val="0"/>
          <w:numId w:val="1"/>
        </w:numPr>
        <w:spacing w:after="0" w:line="360" w:lineRule="auto"/>
        <w:rPr>
          <w:rFonts w:ascii="Arial" w:hAnsi="Arial" w:cs="Arial"/>
          <w:sz w:val="20"/>
          <w:szCs w:val="20"/>
        </w:rPr>
      </w:pPr>
      <w:r w:rsidRPr="00AE7EE9">
        <w:rPr>
          <w:rFonts w:ascii="Arial" w:hAnsi="Arial" w:cs="Arial"/>
          <w:sz w:val="20"/>
          <w:szCs w:val="20"/>
        </w:rPr>
        <w:t>Ibid.</w:t>
      </w:r>
      <w:proofErr w:type="gramStart"/>
      <w:r w:rsidRPr="00AE7EE9">
        <w:rPr>
          <w:rFonts w:ascii="Arial" w:hAnsi="Arial" w:cs="Arial"/>
          <w:sz w:val="20"/>
          <w:szCs w:val="20"/>
        </w:rPr>
        <w:t>,179</w:t>
      </w:r>
      <w:proofErr w:type="gramEnd"/>
      <w:r w:rsidRPr="00AE7EE9">
        <w:rPr>
          <w:rFonts w:ascii="Arial" w:hAnsi="Arial" w:cs="Arial"/>
          <w:sz w:val="20"/>
          <w:szCs w:val="20"/>
        </w:rPr>
        <w:t>.</w:t>
      </w:r>
    </w:p>
    <w:p w:rsidR="00030687" w:rsidRPr="00AE7EE9" w:rsidRDefault="00030687" w:rsidP="00030687">
      <w:pPr>
        <w:pStyle w:val="ListParagraph"/>
        <w:numPr>
          <w:ilvl w:val="0"/>
          <w:numId w:val="1"/>
        </w:numPr>
        <w:spacing w:after="0" w:line="360" w:lineRule="auto"/>
        <w:rPr>
          <w:rFonts w:ascii="Arial" w:hAnsi="Arial" w:cs="Arial"/>
          <w:sz w:val="20"/>
          <w:szCs w:val="20"/>
        </w:rPr>
      </w:pPr>
      <w:r w:rsidRPr="00AE7EE9">
        <w:rPr>
          <w:rFonts w:ascii="Arial" w:hAnsi="Arial" w:cs="Arial"/>
          <w:sz w:val="20"/>
          <w:szCs w:val="20"/>
        </w:rPr>
        <w:t>Rick Anderson, “Author Disincentives and Open Access,” 290.</w:t>
      </w:r>
    </w:p>
    <w:p w:rsidR="00030687" w:rsidRPr="00AE7EE9" w:rsidRDefault="00030687" w:rsidP="00030687">
      <w:pPr>
        <w:pStyle w:val="ListParagraph"/>
        <w:numPr>
          <w:ilvl w:val="0"/>
          <w:numId w:val="1"/>
        </w:numPr>
        <w:spacing w:after="0" w:line="360" w:lineRule="auto"/>
        <w:rPr>
          <w:rFonts w:ascii="Arial" w:hAnsi="Arial" w:cs="Arial"/>
          <w:sz w:val="20"/>
          <w:szCs w:val="20"/>
        </w:rPr>
      </w:pPr>
      <w:proofErr w:type="gramStart"/>
      <w:r w:rsidRPr="00AE7EE9">
        <w:rPr>
          <w:rFonts w:ascii="Arial" w:hAnsi="Arial" w:cs="Arial"/>
          <w:sz w:val="20"/>
          <w:szCs w:val="20"/>
        </w:rPr>
        <w:t>Ibid.,</w:t>
      </w:r>
      <w:proofErr w:type="gramEnd"/>
      <w:r w:rsidRPr="00AE7EE9">
        <w:rPr>
          <w:rFonts w:ascii="Arial" w:hAnsi="Arial" w:cs="Arial"/>
          <w:sz w:val="20"/>
          <w:szCs w:val="20"/>
        </w:rPr>
        <w:t xml:space="preserve"> 289. </w:t>
      </w:r>
    </w:p>
    <w:p w:rsidR="00030687" w:rsidRPr="00AE7EE9" w:rsidRDefault="00030687" w:rsidP="00030687">
      <w:pPr>
        <w:pStyle w:val="ListParagraph"/>
        <w:numPr>
          <w:ilvl w:val="0"/>
          <w:numId w:val="1"/>
        </w:numPr>
        <w:spacing w:after="0" w:line="360" w:lineRule="auto"/>
        <w:rPr>
          <w:rFonts w:ascii="Arial" w:hAnsi="Arial" w:cs="Arial"/>
          <w:sz w:val="20"/>
          <w:szCs w:val="20"/>
        </w:rPr>
      </w:pPr>
      <w:r w:rsidRPr="00AE7EE9">
        <w:rPr>
          <w:rFonts w:ascii="Arial" w:hAnsi="Arial" w:cs="Arial"/>
          <w:sz w:val="20"/>
          <w:szCs w:val="20"/>
        </w:rPr>
        <w:t xml:space="preserve">American Psychological Association, “Open Access Journal Coverage in </w:t>
      </w:r>
      <w:proofErr w:type="spellStart"/>
      <w:r w:rsidRPr="00AE7EE9">
        <w:rPr>
          <w:rFonts w:ascii="Arial" w:hAnsi="Arial" w:cs="Arial"/>
          <w:sz w:val="20"/>
          <w:szCs w:val="20"/>
        </w:rPr>
        <w:t>PsycINFO</w:t>
      </w:r>
      <w:proofErr w:type="spellEnd"/>
      <w:r w:rsidRPr="00AE7EE9">
        <w:rPr>
          <w:rFonts w:ascii="Arial" w:hAnsi="Arial" w:cs="Arial"/>
          <w:sz w:val="20"/>
          <w:szCs w:val="20"/>
        </w:rPr>
        <w:t xml:space="preserve">,” </w:t>
      </w:r>
      <w:proofErr w:type="spellStart"/>
      <w:r w:rsidRPr="00AE7EE9">
        <w:rPr>
          <w:rFonts w:ascii="Arial" w:hAnsi="Arial" w:cs="Arial"/>
          <w:i/>
          <w:sz w:val="20"/>
          <w:szCs w:val="20"/>
        </w:rPr>
        <w:t>PsycINFO</w:t>
      </w:r>
      <w:proofErr w:type="spellEnd"/>
      <w:r w:rsidRPr="00AE7EE9">
        <w:rPr>
          <w:rFonts w:ascii="Arial" w:hAnsi="Arial" w:cs="Arial"/>
          <w:i/>
          <w:sz w:val="20"/>
          <w:szCs w:val="20"/>
        </w:rPr>
        <w:t xml:space="preserve"> News</w:t>
      </w:r>
      <w:r w:rsidRPr="00AE7EE9">
        <w:rPr>
          <w:rFonts w:ascii="Arial" w:hAnsi="Arial" w:cs="Arial"/>
          <w:sz w:val="20"/>
          <w:szCs w:val="20"/>
        </w:rPr>
        <w:t xml:space="preserve"> (Fall 2007): 4.</w:t>
      </w:r>
    </w:p>
    <w:p w:rsidR="00030687" w:rsidRPr="00AE7EE9" w:rsidRDefault="00030687" w:rsidP="00030687">
      <w:pPr>
        <w:pStyle w:val="ListParagraph"/>
        <w:numPr>
          <w:ilvl w:val="0"/>
          <w:numId w:val="1"/>
        </w:numPr>
        <w:spacing w:after="0" w:line="360" w:lineRule="auto"/>
        <w:rPr>
          <w:rFonts w:ascii="Arial" w:hAnsi="Arial" w:cs="Arial"/>
          <w:sz w:val="20"/>
          <w:szCs w:val="20"/>
        </w:rPr>
      </w:pPr>
      <w:r w:rsidRPr="00AE7EE9">
        <w:rPr>
          <w:rFonts w:ascii="Arial" w:hAnsi="Arial" w:cs="Arial"/>
          <w:sz w:val="20"/>
          <w:szCs w:val="20"/>
        </w:rPr>
        <w:t xml:space="preserve">Marilyn Boxer. </w:t>
      </w:r>
      <w:r w:rsidRPr="00AE7EE9">
        <w:rPr>
          <w:rFonts w:ascii="Arial" w:hAnsi="Arial" w:cs="Arial"/>
          <w:i/>
          <w:sz w:val="20"/>
          <w:szCs w:val="20"/>
        </w:rPr>
        <w:t>When Women Ask Questions: Creating Women's Studies in America</w:t>
      </w:r>
      <w:r w:rsidRPr="00AE7EE9">
        <w:rPr>
          <w:rFonts w:ascii="Arial" w:hAnsi="Arial" w:cs="Arial"/>
          <w:sz w:val="20"/>
          <w:szCs w:val="20"/>
        </w:rPr>
        <w:t>. Washington, DC: John's Hopkins University Press, 2001: 13.</w:t>
      </w:r>
    </w:p>
    <w:p w:rsidR="00030687" w:rsidRPr="00AE7EE9" w:rsidRDefault="00030687" w:rsidP="00030687">
      <w:pPr>
        <w:rPr>
          <w:sz w:val="20"/>
          <w:szCs w:val="20"/>
        </w:rPr>
      </w:pPr>
    </w:p>
    <w:p w:rsidR="00030687" w:rsidRDefault="00030687" w:rsidP="00030687">
      <w:pPr>
        <w:spacing w:before="100" w:beforeAutospacing="1" w:after="100" w:afterAutospacing="1" w:line="240" w:lineRule="auto"/>
        <w:ind w:left="3600" w:firstLine="720"/>
        <w:outlineLvl w:val="1"/>
        <w:rPr>
          <w:rFonts w:ascii="Arial" w:eastAsia="Times New Roman" w:hAnsi="Arial" w:cs="Arial"/>
          <w:b/>
          <w:bCs/>
        </w:rPr>
      </w:pPr>
      <w:r w:rsidRPr="006930EC">
        <w:rPr>
          <w:rFonts w:ascii="Arial" w:eastAsia="Times New Roman" w:hAnsi="Arial" w:cs="Arial"/>
          <w:b/>
          <w:bCs/>
        </w:rPr>
        <w:lastRenderedPageBreak/>
        <w:t>APPENDIX</w:t>
      </w:r>
    </w:p>
    <w:p w:rsidR="00030687" w:rsidRPr="006930EC" w:rsidRDefault="00030687" w:rsidP="00030687">
      <w:pPr>
        <w:spacing w:before="100" w:beforeAutospacing="1" w:after="100" w:afterAutospacing="1" w:line="240" w:lineRule="auto"/>
        <w:outlineLvl w:val="1"/>
        <w:rPr>
          <w:rFonts w:ascii="Arial" w:eastAsia="Times New Roman" w:hAnsi="Arial" w:cs="Arial"/>
          <w:b/>
          <w:bCs/>
        </w:rPr>
      </w:pPr>
      <w:r>
        <w:rPr>
          <w:rFonts w:ascii="Arial" w:eastAsia="Times New Roman" w:hAnsi="Arial" w:cs="Arial"/>
          <w:b/>
          <w:bCs/>
        </w:rPr>
        <w:t xml:space="preserve">       AUTHOR SURVEY: OPEN ACCESS SOCIAL SCIENCES and HUMANITIES JOURNALS</w:t>
      </w:r>
    </w:p>
    <w:tbl>
      <w:tblPr>
        <w:tblW w:w="5000" w:type="pct"/>
        <w:tblLook w:val="04A0"/>
      </w:tblPr>
      <w:tblGrid>
        <w:gridCol w:w="9576"/>
      </w:tblGrid>
      <w:tr w:rsidR="00030687" w:rsidRPr="00690FDB" w:rsidTr="0018448C">
        <w:trPr>
          <w:trHeight w:val="1970"/>
        </w:trPr>
        <w:tc>
          <w:tcPr>
            <w:tcW w:w="5000" w:type="pct"/>
            <w:hideMark/>
          </w:tcPr>
          <w:p w:rsidR="00030687" w:rsidRPr="00690FDB" w:rsidRDefault="00030687" w:rsidP="0018448C">
            <w:pPr>
              <w:pStyle w:val="Heading3"/>
              <w:ind w:left="720"/>
              <w:rPr>
                <w:rFonts w:ascii="Arial" w:hAnsi="Arial" w:cs="Arial"/>
                <w:sz w:val="16"/>
                <w:szCs w:val="16"/>
              </w:rPr>
            </w:pPr>
            <w:r w:rsidRPr="00690FDB">
              <w:rPr>
                <w:rFonts w:ascii="Arial" w:hAnsi="Arial" w:cs="Arial"/>
                <w:sz w:val="16"/>
                <w:szCs w:val="16"/>
              </w:rPr>
              <w:t>1. Your Age in Years:</w:t>
            </w:r>
          </w:p>
          <w:tbl>
            <w:tblPr>
              <w:tblStyle w:val="LightGrid1"/>
              <w:tblW w:w="8838" w:type="dxa"/>
              <w:tblInd w:w="602" w:type="dxa"/>
              <w:tblLook w:val="04A0"/>
            </w:tblPr>
            <w:tblGrid>
              <w:gridCol w:w="8838"/>
            </w:tblGrid>
            <w:tr w:rsidR="00030687" w:rsidRPr="00690FDB" w:rsidTr="0018448C">
              <w:trPr>
                <w:cnfStyle w:val="100000000000"/>
                <w:trHeight w:val="1033"/>
              </w:trPr>
              <w:tc>
                <w:tcPr>
                  <w:cnfStyle w:val="001000000000"/>
                  <w:tcW w:w="5000" w:type="pct"/>
                  <w:hideMark/>
                </w:tcPr>
                <w:p w:rsidR="00030687" w:rsidRDefault="00030687" w:rsidP="0018448C">
                  <w:pPr>
                    <w:rPr>
                      <w:rStyle w:val="qlabel"/>
                      <w:rFonts w:ascii="Arial" w:hAnsi="Arial" w:cs="Arial"/>
                      <w:bCs w:val="0"/>
                      <w:sz w:val="15"/>
                      <w:szCs w:val="15"/>
                    </w:rPr>
                  </w:pPr>
                </w:p>
                <w:p w:rsidR="00030687" w:rsidRDefault="00030687" w:rsidP="0018448C">
                  <w:pPr>
                    <w:rPr>
                      <w:rStyle w:val="qlabel"/>
                      <w:rFonts w:ascii="Arial" w:hAnsi="Arial" w:cs="Arial"/>
                      <w:bCs w:val="0"/>
                      <w:sz w:val="15"/>
                      <w:szCs w:val="15"/>
                    </w:rPr>
                  </w:pPr>
                  <w:r w:rsidRPr="00690FDB">
                    <w:rPr>
                      <w:rStyle w:val="qlabel"/>
                      <w:rFonts w:ascii="Arial" w:hAnsi="Arial" w:cs="Arial"/>
                      <w:bCs w:val="0"/>
                      <w:sz w:val="15"/>
                      <w:szCs w:val="15"/>
                    </w:rPr>
                    <w:t xml:space="preserve">18 </w:t>
                  </w:r>
                  <w:r>
                    <w:rPr>
                      <w:rStyle w:val="qlabel"/>
                      <w:rFonts w:ascii="Arial" w:hAnsi="Arial" w:cs="Arial"/>
                      <w:bCs w:val="0"/>
                      <w:sz w:val="15"/>
                      <w:szCs w:val="15"/>
                    </w:rPr>
                    <w:t>–</w:t>
                  </w:r>
                  <w:r w:rsidRPr="00690FDB">
                    <w:rPr>
                      <w:rStyle w:val="qlabel"/>
                      <w:rFonts w:ascii="Arial" w:hAnsi="Arial" w:cs="Arial"/>
                      <w:bCs w:val="0"/>
                      <w:sz w:val="15"/>
                      <w:szCs w:val="15"/>
                    </w:rPr>
                    <w:t xml:space="preserve"> 30</w:t>
                  </w:r>
                  <w:r>
                    <w:rPr>
                      <w:rStyle w:val="qlabel"/>
                      <w:rFonts w:ascii="Arial" w:hAnsi="Arial" w:cs="Arial"/>
                      <w:bCs w:val="0"/>
                      <w:sz w:val="15"/>
                      <w:szCs w:val="15"/>
                    </w:rPr>
                    <w:t xml:space="preserve">     </w:t>
                  </w:r>
                </w:p>
                <w:p w:rsidR="00030687" w:rsidRDefault="00030687" w:rsidP="0018448C">
                  <w:pPr>
                    <w:rPr>
                      <w:rStyle w:val="qlabel"/>
                      <w:rFonts w:ascii="Arial" w:hAnsi="Arial" w:cs="Arial"/>
                      <w:bCs w:val="0"/>
                      <w:sz w:val="15"/>
                      <w:szCs w:val="15"/>
                    </w:rPr>
                  </w:pPr>
                  <w:r w:rsidRPr="00690FDB">
                    <w:rPr>
                      <w:rFonts w:ascii="Arial" w:hAnsi="Arial" w:cs="Arial"/>
                      <w:noProof/>
                      <w:sz w:val="15"/>
                      <w:szCs w:val="15"/>
                    </w:rPr>
                    <w:drawing>
                      <wp:inline distT="0" distB="0" distL="0" distR="0">
                        <wp:extent cx="9525" cy="9525"/>
                        <wp:effectExtent l="0" t="0" r="0" b="0"/>
                        <wp:docPr id="528" name="Picture 528" descr="http://www.surveymonkey.com/img/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descr="http://www.surveymonkey.com/img/t.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690FDB">
                    <w:rPr>
                      <w:rStyle w:val="qlabel"/>
                      <w:rFonts w:ascii="Arial" w:hAnsi="Arial" w:cs="Arial"/>
                      <w:bCs w:val="0"/>
                      <w:sz w:val="15"/>
                      <w:szCs w:val="15"/>
                    </w:rPr>
                    <w:t xml:space="preserve">31 </w:t>
                  </w:r>
                  <w:r>
                    <w:rPr>
                      <w:rStyle w:val="qlabel"/>
                      <w:rFonts w:ascii="Arial" w:hAnsi="Arial" w:cs="Arial"/>
                      <w:bCs w:val="0"/>
                      <w:sz w:val="15"/>
                      <w:szCs w:val="15"/>
                    </w:rPr>
                    <w:t>–</w:t>
                  </w:r>
                  <w:r w:rsidRPr="00690FDB">
                    <w:rPr>
                      <w:rStyle w:val="qlabel"/>
                      <w:rFonts w:ascii="Arial" w:hAnsi="Arial" w:cs="Arial"/>
                      <w:bCs w:val="0"/>
                      <w:sz w:val="15"/>
                      <w:szCs w:val="15"/>
                    </w:rPr>
                    <w:t xml:space="preserve"> 40</w:t>
                  </w:r>
                  <w:r>
                    <w:rPr>
                      <w:rStyle w:val="qlabel"/>
                      <w:rFonts w:ascii="Arial" w:hAnsi="Arial" w:cs="Arial"/>
                      <w:bCs w:val="0"/>
                      <w:sz w:val="15"/>
                      <w:szCs w:val="15"/>
                    </w:rPr>
                    <w:t xml:space="preserve">     </w:t>
                  </w:r>
                </w:p>
                <w:p w:rsidR="00030687" w:rsidRDefault="00030687" w:rsidP="0018448C">
                  <w:pPr>
                    <w:rPr>
                      <w:rStyle w:val="qlabel"/>
                      <w:rFonts w:ascii="Arial" w:hAnsi="Arial" w:cs="Arial"/>
                      <w:bCs w:val="0"/>
                      <w:sz w:val="15"/>
                      <w:szCs w:val="15"/>
                    </w:rPr>
                  </w:pPr>
                  <w:r w:rsidRPr="00690FDB">
                    <w:rPr>
                      <w:rStyle w:val="qlabel"/>
                      <w:rFonts w:ascii="Arial" w:hAnsi="Arial" w:cs="Arial"/>
                      <w:bCs w:val="0"/>
                      <w:sz w:val="15"/>
                      <w:szCs w:val="15"/>
                    </w:rPr>
                    <w:t xml:space="preserve">41 </w:t>
                  </w:r>
                  <w:r>
                    <w:rPr>
                      <w:rStyle w:val="qlabel"/>
                      <w:rFonts w:ascii="Arial" w:hAnsi="Arial" w:cs="Arial"/>
                      <w:bCs w:val="0"/>
                      <w:sz w:val="15"/>
                      <w:szCs w:val="15"/>
                    </w:rPr>
                    <w:t>–</w:t>
                  </w:r>
                  <w:r w:rsidRPr="00690FDB">
                    <w:rPr>
                      <w:rStyle w:val="qlabel"/>
                      <w:rFonts w:ascii="Arial" w:hAnsi="Arial" w:cs="Arial"/>
                      <w:bCs w:val="0"/>
                      <w:sz w:val="15"/>
                      <w:szCs w:val="15"/>
                    </w:rPr>
                    <w:t xml:space="preserve"> 50</w:t>
                  </w:r>
                  <w:r>
                    <w:rPr>
                      <w:rStyle w:val="qlabel"/>
                      <w:rFonts w:ascii="Arial" w:hAnsi="Arial" w:cs="Arial"/>
                      <w:bCs w:val="0"/>
                      <w:sz w:val="15"/>
                      <w:szCs w:val="15"/>
                    </w:rPr>
                    <w:t xml:space="preserve">     </w:t>
                  </w:r>
                </w:p>
                <w:p w:rsidR="00030687" w:rsidRDefault="00030687" w:rsidP="0018448C">
                  <w:pPr>
                    <w:rPr>
                      <w:rStyle w:val="qlabel"/>
                      <w:rFonts w:ascii="Arial" w:hAnsi="Arial" w:cs="Arial"/>
                      <w:bCs w:val="0"/>
                      <w:sz w:val="15"/>
                      <w:szCs w:val="15"/>
                    </w:rPr>
                  </w:pPr>
                  <w:r w:rsidRPr="00690FDB">
                    <w:rPr>
                      <w:rFonts w:ascii="Arial" w:hAnsi="Arial" w:cs="Arial"/>
                      <w:noProof/>
                      <w:sz w:val="15"/>
                      <w:szCs w:val="15"/>
                    </w:rPr>
                    <w:drawing>
                      <wp:inline distT="0" distB="0" distL="0" distR="0">
                        <wp:extent cx="9525" cy="9525"/>
                        <wp:effectExtent l="0" t="0" r="0" b="0"/>
                        <wp:docPr id="530" name="Picture 530" descr="http://www.surveymonkey.com/img/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descr="http://www.surveymonkey.com/img/t.gif"/>
                                <pic:cNvPicPr>
                                  <a:picLocks noChangeAspect="1" noChangeArrowheads="1"/>
                                </pic:cNvPicPr>
                              </pic:nvPicPr>
                              <pic:blipFill>
                                <a:blip r:embed="rId18"/>
                                <a:srcRect/>
                                <a:stretch>
                                  <a:fillRect/>
                                </a:stretch>
                              </pic:blipFill>
                              <pic:spPr bwMode="auto">
                                <a:xfrm>
                                  <a:off x="0" y="0"/>
                                  <a:ext cx="9525" cy="9525"/>
                                </a:xfrm>
                                <a:prstGeom prst="rect">
                                  <a:avLst/>
                                </a:prstGeom>
                                <a:noFill/>
                                <a:ln w="9525">
                                  <a:noFill/>
                                  <a:miter lim="800000"/>
                                  <a:headEnd/>
                                  <a:tailEnd/>
                                </a:ln>
                              </pic:spPr>
                            </pic:pic>
                          </a:graphicData>
                        </a:graphic>
                      </wp:inline>
                    </w:drawing>
                  </w:r>
                  <w:r w:rsidRPr="00690FDB">
                    <w:rPr>
                      <w:rStyle w:val="qlabel"/>
                      <w:rFonts w:ascii="Arial" w:hAnsi="Arial" w:cs="Arial"/>
                      <w:bCs w:val="0"/>
                      <w:sz w:val="15"/>
                      <w:szCs w:val="15"/>
                    </w:rPr>
                    <w:t>51 – 60</w:t>
                  </w:r>
                  <w:r>
                    <w:rPr>
                      <w:rStyle w:val="qlabel"/>
                      <w:rFonts w:ascii="Arial" w:hAnsi="Arial" w:cs="Arial"/>
                      <w:bCs w:val="0"/>
                      <w:sz w:val="15"/>
                      <w:szCs w:val="15"/>
                    </w:rPr>
                    <w:t xml:space="preserve">    </w:t>
                  </w:r>
                </w:p>
                <w:p w:rsidR="00030687" w:rsidRPr="007C2F5C" w:rsidRDefault="00030687" w:rsidP="0018448C">
                  <w:pPr>
                    <w:rPr>
                      <w:rStyle w:val="qlabel"/>
                      <w:rFonts w:ascii="Arial" w:hAnsi="Arial" w:cs="Arial"/>
                      <w:bCs w:val="0"/>
                      <w:sz w:val="15"/>
                      <w:szCs w:val="15"/>
                    </w:rPr>
                  </w:pPr>
                  <w:r w:rsidRPr="007C2F5C">
                    <w:rPr>
                      <w:rStyle w:val="qlabel"/>
                      <w:rFonts w:ascii="Arial" w:hAnsi="Arial" w:cs="Arial"/>
                      <w:bCs w:val="0"/>
                      <w:sz w:val="15"/>
                      <w:szCs w:val="15"/>
                    </w:rPr>
                    <w:t>61+</w:t>
                  </w:r>
                </w:p>
                <w:p w:rsidR="00030687" w:rsidRPr="007C2F5C" w:rsidRDefault="00030687" w:rsidP="00030687">
                  <w:pPr>
                    <w:pStyle w:val="ListParagraph"/>
                    <w:numPr>
                      <w:ilvl w:val="0"/>
                      <w:numId w:val="2"/>
                    </w:numPr>
                    <w:spacing w:before="0" w:beforeAutospacing="0" w:after="0" w:afterAutospacing="0"/>
                    <w:contextualSpacing/>
                    <w:rPr>
                      <w:sz w:val="20"/>
                      <w:szCs w:val="20"/>
                    </w:rPr>
                  </w:pPr>
                </w:p>
              </w:tc>
            </w:tr>
          </w:tbl>
          <w:p w:rsidR="00030687" w:rsidRPr="00690FDB" w:rsidRDefault="00030687" w:rsidP="0018448C">
            <w:pPr>
              <w:pStyle w:val="Heading3"/>
              <w:spacing w:after="270" w:afterAutospacing="0"/>
              <w:ind w:left="720"/>
              <w:rPr>
                <w:rFonts w:ascii="Arial" w:hAnsi="Arial" w:cs="Arial"/>
                <w:sz w:val="16"/>
                <w:szCs w:val="16"/>
              </w:rPr>
            </w:pPr>
            <w:r w:rsidRPr="00690FDB">
              <w:rPr>
                <w:rFonts w:ascii="Arial" w:hAnsi="Arial" w:cs="Arial"/>
                <w:sz w:val="16"/>
                <w:szCs w:val="16"/>
              </w:rPr>
              <w:t>2. Please tell us if you are currently:</w:t>
            </w:r>
          </w:p>
          <w:tbl>
            <w:tblPr>
              <w:tblStyle w:val="LightGrid1"/>
              <w:tblW w:w="8838" w:type="dxa"/>
              <w:tblInd w:w="602" w:type="dxa"/>
              <w:tblLook w:val="04A0"/>
            </w:tblPr>
            <w:tblGrid>
              <w:gridCol w:w="8838"/>
            </w:tblGrid>
            <w:tr w:rsidR="00030687" w:rsidRPr="00690FDB" w:rsidTr="0018448C">
              <w:trPr>
                <w:cnfStyle w:val="100000000000"/>
                <w:trHeight w:val="1303"/>
              </w:trPr>
              <w:tc>
                <w:tcPr>
                  <w:cnfStyle w:val="001000000000"/>
                  <w:tcW w:w="5000" w:type="pct"/>
                  <w:hideMark/>
                </w:tcPr>
                <w:p w:rsidR="00030687" w:rsidRDefault="00030687" w:rsidP="0018448C">
                  <w:pPr>
                    <w:rPr>
                      <w:rStyle w:val="qlabel"/>
                      <w:rFonts w:ascii="Arial" w:hAnsi="Arial" w:cs="Arial"/>
                      <w:bCs w:val="0"/>
                      <w:sz w:val="15"/>
                      <w:szCs w:val="15"/>
                    </w:rPr>
                  </w:pPr>
                </w:p>
                <w:p w:rsidR="00030687" w:rsidRPr="00690FDB" w:rsidRDefault="00030687" w:rsidP="0018448C">
                  <w:pPr>
                    <w:rPr>
                      <w:rFonts w:ascii="Arial" w:hAnsi="Arial" w:cs="Arial"/>
                      <w:sz w:val="15"/>
                      <w:szCs w:val="15"/>
                    </w:rPr>
                  </w:pPr>
                  <w:r w:rsidRPr="00690FDB">
                    <w:rPr>
                      <w:rStyle w:val="qlabel"/>
                      <w:rFonts w:ascii="Arial" w:hAnsi="Arial" w:cs="Arial"/>
                      <w:bCs w:val="0"/>
                      <w:sz w:val="15"/>
                      <w:szCs w:val="15"/>
                    </w:rPr>
                    <w:t>Tenured</w:t>
                  </w:r>
                </w:p>
                <w:p w:rsidR="00030687" w:rsidRPr="00690FDB" w:rsidRDefault="00030687" w:rsidP="0018448C">
                  <w:pPr>
                    <w:rPr>
                      <w:rFonts w:ascii="Arial" w:hAnsi="Arial" w:cs="Arial"/>
                      <w:sz w:val="15"/>
                      <w:szCs w:val="15"/>
                    </w:rPr>
                  </w:pPr>
                  <w:r w:rsidRPr="00690FDB">
                    <w:rPr>
                      <w:rStyle w:val="qlabel"/>
                      <w:rFonts w:ascii="Arial" w:hAnsi="Arial" w:cs="Arial"/>
                      <w:bCs w:val="0"/>
                      <w:sz w:val="15"/>
                      <w:szCs w:val="15"/>
                    </w:rPr>
                    <w:t>Tenure track</w:t>
                  </w:r>
                </w:p>
                <w:p w:rsidR="00030687" w:rsidRPr="00690FDB" w:rsidRDefault="00030687" w:rsidP="0018448C">
                  <w:pPr>
                    <w:rPr>
                      <w:rFonts w:ascii="Arial" w:hAnsi="Arial" w:cs="Arial"/>
                      <w:sz w:val="15"/>
                      <w:szCs w:val="15"/>
                    </w:rPr>
                  </w:pPr>
                  <w:r w:rsidRPr="00690FDB">
                    <w:rPr>
                      <w:rStyle w:val="qlabel"/>
                      <w:rFonts w:ascii="Arial" w:hAnsi="Arial" w:cs="Arial"/>
                      <w:bCs w:val="0"/>
                      <w:sz w:val="15"/>
                      <w:szCs w:val="15"/>
                    </w:rPr>
                    <w:t>Non-Tenure track</w:t>
                  </w:r>
                </w:p>
                <w:p w:rsidR="00030687" w:rsidRPr="00690FDB" w:rsidRDefault="00030687" w:rsidP="0018448C">
                  <w:pPr>
                    <w:rPr>
                      <w:rFonts w:ascii="Arial" w:hAnsi="Arial" w:cs="Arial"/>
                      <w:sz w:val="15"/>
                      <w:szCs w:val="15"/>
                    </w:rPr>
                  </w:pPr>
                  <w:r w:rsidRPr="00690FDB">
                    <w:rPr>
                      <w:rStyle w:val="qlabel"/>
                      <w:rFonts w:ascii="Arial" w:hAnsi="Arial" w:cs="Arial"/>
                      <w:bCs w:val="0"/>
                      <w:sz w:val="15"/>
                      <w:szCs w:val="15"/>
                    </w:rPr>
                    <w:t>Graduate Student</w:t>
                  </w:r>
                </w:p>
                <w:p w:rsidR="00030687" w:rsidRPr="00690FDB" w:rsidRDefault="00030687" w:rsidP="0018448C">
                  <w:pPr>
                    <w:rPr>
                      <w:rStyle w:val="qlabel"/>
                      <w:rFonts w:ascii="Arial" w:hAnsi="Arial" w:cs="Arial"/>
                      <w:bCs w:val="0"/>
                      <w:sz w:val="15"/>
                      <w:szCs w:val="15"/>
                    </w:rPr>
                  </w:pPr>
                  <w:r w:rsidRPr="00690FDB">
                    <w:rPr>
                      <w:rStyle w:val="qlabel"/>
                      <w:rFonts w:ascii="Arial" w:hAnsi="Arial" w:cs="Arial"/>
                      <w:bCs w:val="0"/>
                      <w:sz w:val="15"/>
                      <w:szCs w:val="15"/>
                    </w:rPr>
                    <w:t>Retired/Emeritus</w:t>
                  </w:r>
                </w:p>
                <w:p w:rsidR="00030687" w:rsidRPr="00690FDB" w:rsidRDefault="00030687" w:rsidP="0018448C">
                  <w:pPr>
                    <w:rPr>
                      <w:rFonts w:ascii="Arial" w:hAnsi="Arial" w:cs="Arial"/>
                      <w:sz w:val="20"/>
                      <w:szCs w:val="20"/>
                    </w:rPr>
                  </w:pPr>
                  <w:r w:rsidRPr="00690FDB">
                    <w:rPr>
                      <w:rStyle w:val="qlabel"/>
                      <w:rFonts w:ascii="Arial" w:hAnsi="Arial" w:cs="Arial"/>
                      <w:bCs w:val="0"/>
                      <w:sz w:val="15"/>
                      <w:szCs w:val="15"/>
                    </w:rPr>
                    <w:t>Other (please specify)</w:t>
                  </w:r>
                </w:p>
              </w:tc>
            </w:tr>
            <w:tr w:rsidR="00030687" w:rsidRPr="00690FDB" w:rsidTr="0018448C">
              <w:trPr>
                <w:cnfStyle w:val="000000100000"/>
                <w:trHeight w:val="15"/>
              </w:trPr>
              <w:tc>
                <w:tcPr>
                  <w:cnfStyle w:val="001000000000"/>
                  <w:tcW w:w="5000" w:type="pct"/>
                  <w:hideMark/>
                </w:tcPr>
                <w:p w:rsidR="00030687" w:rsidRPr="00690FDB" w:rsidRDefault="00030687" w:rsidP="0018448C">
                  <w:pPr>
                    <w:rPr>
                      <w:rFonts w:ascii="Arial" w:hAnsi="Arial" w:cs="Arial"/>
                      <w:sz w:val="20"/>
                      <w:szCs w:val="20"/>
                    </w:rPr>
                  </w:pPr>
                </w:p>
              </w:tc>
            </w:tr>
          </w:tbl>
          <w:p w:rsidR="00030687" w:rsidRPr="00690FDB" w:rsidRDefault="00030687" w:rsidP="0018448C">
            <w:pPr>
              <w:spacing w:after="0" w:line="240" w:lineRule="auto"/>
              <w:rPr>
                <w:rFonts w:ascii="Times New Roman" w:eastAsia="Times New Roman" w:hAnsi="Times New Roman" w:cs="Times New Roman"/>
                <w:sz w:val="20"/>
                <w:szCs w:val="20"/>
              </w:rPr>
            </w:pPr>
          </w:p>
        </w:tc>
      </w:tr>
      <w:tr w:rsidR="00030687" w:rsidRPr="00634973" w:rsidTr="0018448C">
        <w:tc>
          <w:tcPr>
            <w:tcW w:w="0" w:type="auto"/>
            <w:hideMark/>
          </w:tcPr>
          <w:p w:rsidR="00030687" w:rsidRPr="00634973" w:rsidRDefault="00030687" w:rsidP="0018448C">
            <w:pPr>
              <w:spacing w:after="0" w:line="240" w:lineRule="auto"/>
              <w:rPr>
                <w:rFonts w:ascii="Times New Roman" w:eastAsia="Times New Roman" w:hAnsi="Times New Roman" w:cs="Times New Roman"/>
                <w:sz w:val="24"/>
                <w:szCs w:val="24"/>
              </w:rPr>
            </w:pPr>
          </w:p>
        </w:tc>
      </w:tr>
    </w:tbl>
    <w:p w:rsidR="00030687" w:rsidRDefault="00030687" w:rsidP="00030687"/>
    <w:p w:rsidR="00030687" w:rsidRPr="00690FDB" w:rsidRDefault="00030687" w:rsidP="00030687">
      <w:pPr>
        <w:spacing w:before="100" w:beforeAutospacing="1" w:after="270" w:line="240" w:lineRule="auto"/>
        <w:ind w:left="720"/>
        <w:outlineLvl w:val="2"/>
        <w:rPr>
          <w:rFonts w:ascii="Arial" w:eastAsia="Times New Roman" w:hAnsi="Arial" w:cs="Arial"/>
          <w:b/>
          <w:bCs/>
          <w:sz w:val="16"/>
          <w:szCs w:val="16"/>
        </w:rPr>
      </w:pPr>
      <w:r w:rsidRPr="00690FDB">
        <w:rPr>
          <w:rFonts w:ascii="Arial" w:eastAsia="Times New Roman" w:hAnsi="Arial" w:cs="Arial"/>
          <w:b/>
          <w:bCs/>
          <w:sz w:val="16"/>
          <w:szCs w:val="16"/>
        </w:rPr>
        <w:t>3.</w:t>
      </w:r>
      <w:r w:rsidRPr="00690FDB">
        <w:rPr>
          <w:rFonts w:ascii="Times New Roman" w:eastAsia="Times New Roman" w:hAnsi="Times New Roman" w:cs="Times New Roman"/>
          <w:b/>
          <w:bCs/>
          <w:sz w:val="16"/>
          <w:szCs w:val="16"/>
        </w:rPr>
        <w:t xml:space="preserve"> </w:t>
      </w:r>
      <w:r w:rsidRPr="00690FDB">
        <w:rPr>
          <w:rFonts w:ascii="Arial" w:eastAsia="Times New Roman" w:hAnsi="Arial" w:cs="Arial"/>
          <w:b/>
          <w:bCs/>
          <w:sz w:val="16"/>
          <w:szCs w:val="16"/>
        </w:rPr>
        <w:t>How important are the following in your decision on where to publish journal articles?</w:t>
      </w:r>
    </w:p>
    <w:tbl>
      <w:tblPr>
        <w:tblStyle w:val="LightGrid1"/>
        <w:tblW w:w="4615" w:type="pct"/>
        <w:tblInd w:w="720" w:type="dxa"/>
        <w:tblLook w:val="04A0"/>
      </w:tblPr>
      <w:tblGrid>
        <w:gridCol w:w="1907"/>
        <w:gridCol w:w="1542"/>
        <w:gridCol w:w="1250"/>
        <w:gridCol w:w="1623"/>
        <w:gridCol w:w="1352"/>
        <w:gridCol w:w="1165"/>
      </w:tblGrid>
      <w:tr w:rsidR="00030687" w:rsidRPr="00690FDB" w:rsidTr="0018448C">
        <w:trPr>
          <w:cnfStyle w:val="100000000000"/>
          <w:trHeight w:val="655"/>
        </w:trPr>
        <w:tc>
          <w:tcPr>
            <w:cnfStyle w:val="001000000000"/>
            <w:tcW w:w="1079" w:type="pct"/>
            <w:hideMark/>
          </w:tcPr>
          <w:p w:rsidR="00030687" w:rsidRPr="00690FDB" w:rsidRDefault="00030687" w:rsidP="0018448C">
            <w:pPr>
              <w:jc w:val="center"/>
              <w:rPr>
                <w:rFonts w:ascii="Arial" w:eastAsia="Times New Roman" w:hAnsi="Arial" w:cs="Arial"/>
                <w:b w:val="0"/>
                <w:bCs w:val="0"/>
                <w:sz w:val="15"/>
                <w:szCs w:val="15"/>
              </w:rPr>
            </w:pPr>
            <w:r w:rsidRPr="00690FDB">
              <w:rPr>
                <w:rFonts w:ascii="Arial" w:eastAsia="Times New Roman" w:hAnsi="Arial" w:cs="Arial"/>
                <w:sz w:val="15"/>
                <w:szCs w:val="15"/>
              </w:rPr>
              <w:t> </w:t>
            </w:r>
          </w:p>
        </w:tc>
        <w:tc>
          <w:tcPr>
            <w:tcW w:w="872"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t>Not</w:t>
            </w:r>
            <w:r w:rsidRPr="00690FDB">
              <w:rPr>
                <w:rFonts w:ascii="Arial" w:eastAsia="Times New Roman" w:hAnsi="Arial" w:cs="Arial"/>
                <w:sz w:val="15"/>
                <w:szCs w:val="15"/>
              </w:rPr>
              <w:br/>
              <w:t>Important</w:t>
            </w:r>
            <w:r w:rsidRPr="00690FDB">
              <w:rPr>
                <w:rFonts w:ascii="Arial" w:eastAsia="Times New Roman" w:hAnsi="Arial" w:cs="Arial"/>
                <w:sz w:val="15"/>
                <w:szCs w:val="15"/>
              </w:rPr>
              <w:br/>
              <w:t>1</w:t>
            </w:r>
          </w:p>
        </w:tc>
        <w:tc>
          <w:tcPr>
            <w:tcW w:w="707"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br/>
              <w:t>2</w:t>
            </w:r>
          </w:p>
        </w:tc>
        <w:tc>
          <w:tcPr>
            <w:tcW w:w="918"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t>Neutral</w:t>
            </w:r>
            <w:r w:rsidRPr="00690FDB">
              <w:rPr>
                <w:rFonts w:ascii="Arial" w:eastAsia="Times New Roman" w:hAnsi="Arial" w:cs="Arial"/>
                <w:sz w:val="15"/>
                <w:szCs w:val="15"/>
              </w:rPr>
              <w:br/>
              <w:t>3</w:t>
            </w:r>
          </w:p>
        </w:tc>
        <w:tc>
          <w:tcPr>
            <w:tcW w:w="765"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br/>
              <w:t>4</w:t>
            </w:r>
          </w:p>
        </w:tc>
        <w:tc>
          <w:tcPr>
            <w:tcW w:w="660"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t>Very</w:t>
            </w:r>
            <w:r w:rsidRPr="00690FDB">
              <w:rPr>
                <w:rFonts w:ascii="Arial" w:eastAsia="Times New Roman" w:hAnsi="Arial" w:cs="Arial"/>
                <w:sz w:val="15"/>
                <w:szCs w:val="15"/>
              </w:rPr>
              <w:br/>
              <w:t>Important</w:t>
            </w:r>
            <w:r w:rsidRPr="00690FDB">
              <w:rPr>
                <w:rFonts w:ascii="Arial" w:eastAsia="Times New Roman" w:hAnsi="Arial" w:cs="Arial"/>
                <w:sz w:val="15"/>
                <w:szCs w:val="15"/>
              </w:rPr>
              <w:br/>
              <w:t>5</w:t>
            </w:r>
          </w:p>
        </w:tc>
      </w:tr>
      <w:tr w:rsidR="00030687" w:rsidRPr="00690FDB" w:rsidTr="0018448C">
        <w:trPr>
          <w:cnfStyle w:val="00000010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Reputation of Journal</w:t>
            </w:r>
          </w:p>
        </w:tc>
        <w:tc>
          <w:tcPr>
            <w:tcW w:w="872" w:type="pct"/>
            <w:hideMark/>
          </w:tcPr>
          <w:p w:rsidR="00030687" w:rsidRPr="00690FDB" w:rsidRDefault="00030687" w:rsidP="0018448C">
            <w:pPr>
              <w:jc w:val="center"/>
              <w:cnfStyle w:val="000000100000"/>
              <w:rPr>
                <w:rFonts w:ascii="Arial" w:eastAsia="Times New Roman" w:hAnsi="Arial" w:cs="Arial"/>
                <w:sz w:val="15"/>
                <w:szCs w:val="15"/>
              </w:rPr>
            </w:pPr>
          </w:p>
        </w:tc>
        <w:tc>
          <w:tcPr>
            <w:tcW w:w="707" w:type="pct"/>
            <w:hideMark/>
          </w:tcPr>
          <w:p w:rsidR="00030687" w:rsidRPr="00690FDB" w:rsidRDefault="00030687" w:rsidP="0018448C">
            <w:pPr>
              <w:jc w:val="center"/>
              <w:cnfStyle w:val="000000100000"/>
              <w:rPr>
                <w:rFonts w:ascii="Arial" w:eastAsia="Times New Roman" w:hAnsi="Arial" w:cs="Arial"/>
                <w:sz w:val="15"/>
                <w:szCs w:val="15"/>
              </w:rPr>
            </w:pPr>
          </w:p>
        </w:tc>
        <w:tc>
          <w:tcPr>
            <w:tcW w:w="918" w:type="pct"/>
            <w:hideMark/>
          </w:tcPr>
          <w:p w:rsidR="00030687" w:rsidRPr="00690FDB" w:rsidRDefault="00030687" w:rsidP="0018448C">
            <w:pPr>
              <w:jc w:val="center"/>
              <w:cnfStyle w:val="000000100000"/>
              <w:rPr>
                <w:rFonts w:ascii="Arial" w:eastAsia="Times New Roman" w:hAnsi="Arial" w:cs="Arial"/>
                <w:sz w:val="15"/>
                <w:szCs w:val="15"/>
              </w:rPr>
            </w:pPr>
          </w:p>
        </w:tc>
        <w:tc>
          <w:tcPr>
            <w:tcW w:w="765" w:type="pct"/>
            <w:hideMark/>
          </w:tcPr>
          <w:p w:rsidR="00030687" w:rsidRPr="00690FDB" w:rsidRDefault="00030687" w:rsidP="0018448C">
            <w:pPr>
              <w:jc w:val="center"/>
              <w:cnfStyle w:val="000000100000"/>
              <w:rPr>
                <w:rFonts w:ascii="Arial" w:eastAsia="Times New Roman" w:hAnsi="Arial" w:cs="Arial"/>
                <w:sz w:val="15"/>
                <w:szCs w:val="15"/>
              </w:rPr>
            </w:pPr>
          </w:p>
        </w:tc>
        <w:tc>
          <w:tcPr>
            <w:tcW w:w="660"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Citation impact (ex. ISI impact factor)</w:t>
            </w:r>
          </w:p>
        </w:tc>
        <w:tc>
          <w:tcPr>
            <w:tcW w:w="872" w:type="pct"/>
            <w:hideMark/>
          </w:tcPr>
          <w:p w:rsidR="00030687" w:rsidRPr="00690FDB" w:rsidRDefault="00030687" w:rsidP="0018448C">
            <w:pPr>
              <w:jc w:val="center"/>
              <w:cnfStyle w:val="000000010000"/>
              <w:rPr>
                <w:rFonts w:ascii="Arial" w:eastAsia="Times New Roman" w:hAnsi="Arial" w:cs="Arial"/>
                <w:sz w:val="15"/>
                <w:szCs w:val="15"/>
              </w:rPr>
            </w:pPr>
          </w:p>
        </w:tc>
        <w:tc>
          <w:tcPr>
            <w:tcW w:w="707" w:type="pct"/>
            <w:hideMark/>
          </w:tcPr>
          <w:p w:rsidR="00030687" w:rsidRPr="00690FDB" w:rsidRDefault="00030687" w:rsidP="0018448C">
            <w:pPr>
              <w:jc w:val="center"/>
              <w:cnfStyle w:val="000000010000"/>
              <w:rPr>
                <w:rFonts w:ascii="Arial" w:eastAsia="Times New Roman" w:hAnsi="Arial" w:cs="Arial"/>
                <w:sz w:val="15"/>
                <w:szCs w:val="15"/>
              </w:rPr>
            </w:pPr>
          </w:p>
        </w:tc>
        <w:tc>
          <w:tcPr>
            <w:tcW w:w="918" w:type="pct"/>
            <w:hideMark/>
          </w:tcPr>
          <w:p w:rsidR="00030687" w:rsidRPr="00690FDB" w:rsidRDefault="00030687" w:rsidP="0018448C">
            <w:pPr>
              <w:jc w:val="center"/>
              <w:cnfStyle w:val="000000010000"/>
              <w:rPr>
                <w:rFonts w:ascii="Arial" w:eastAsia="Times New Roman" w:hAnsi="Arial" w:cs="Arial"/>
                <w:sz w:val="15"/>
                <w:szCs w:val="15"/>
              </w:rPr>
            </w:pPr>
          </w:p>
        </w:tc>
        <w:tc>
          <w:tcPr>
            <w:tcW w:w="765" w:type="pct"/>
            <w:hideMark/>
          </w:tcPr>
          <w:p w:rsidR="00030687" w:rsidRPr="00690FDB" w:rsidRDefault="00030687" w:rsidP="0018448C">
            <w:pPr>
              <w:jc w:val="center"/>
              <w:cnfStyle w:val="000000010000"/>
              <w:rPr>
                <w:rFonts w:ascii="Arial" w:eastAsia="Times New Roman" w:hAnsi="Arial" w:cs="Arial"/>
                <w:sz w:val="15"/>
                <w:szCs w:val="15"/>
              </w:rPr>
            </w:pPr>
          </w:p>
        </w:tc>
        <w:tc>
          <w:tcPr>
            <w:tcW w:w="660"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Journal is Peer reviewed</w:t>
            </w:r>
          </w:p>
        </w:tc>
        <w:tc>
          <w:tcPr>
            <w:tcW w:w="872" w:type="pct"/>
            <w:hideMark/>
          </w:tcPr>
          <w:p w:rsidR="00030687" w:rsidRPr="00690FDB" w:rsidRDefault="00030687" w:rsidP="0018448C">
            <w:pPr>
              <w:jc w:val="center"/>
              <w:cnfStyle w:val="000000100000"/>
              <w:rPr>
                <w:rFonts w:ascii="Arial" w:eastAsia="Times New Roman" w:hAnsi="Arial" w:cs="Arial"/>
                <w:sz w:val="15"/>
                <w:szCs w:val="15"/>
              </w:rPr>
            </w:pPr>
          </w:p>
        </w:tc>
        <w:tc>
          <w:tcPr>
            <w:tcW w:w="707" w:type="pct"/>
            <w:hideMark/>
          </w:tcPr>
          <w:p w:rsidR="00030687" w:rsidRPr="00690FDB" w:rsidRDefault="00030687" w:rsidP="0018448C">
            <w:pPr>
              <w:jc w:val="center"/>
              <w:cnfStyle w:val="000000100000"/>
              <w:rPr>
                <w:rFonts w:ascii="Arial" w:eastAsia="Times New Roman" w:hAnsi="Arial" w:cs="Arial"/>
                <w:sz w:val="15"/>
                <w:szCs w:val="15"/>
              </w:rPr>
            </w:pPr>
          </w:p>
        </w:tc>
        <w:tc>
          <w:tcPr>
            <w:tcW w:w="918" w:type="pct"/>
            <w:hideMark/>
          </w:tcPr>
          <w:p w:rsidR="00030687" w:rsidRPr="00690FDB" w:rsidRDefault="00030687" w:rsidP="0018448C">
            <w:pPr>
              <w:jc w:val="center"/>
              <w:cnfStyle w:val="000000100000"/>
              <w:rPr>
                <w:rFonts w:ascii="Arial" w:eastAsia="Times New Roman" w:hAnsi="Arial" w:cs="Arial"/>
                <w:sz w:val="15"/>
                <w:szCs w:val="15"/>
              </w:rPr>
            </w:pPr>
          </w:p>
        </w:tc>
        <w:tc>
          <w:tcPr>
            <w:tcW w:w="765" w:type="pct"/>
            <w:hideMark/>
          </w:tcPr>
          <w:p w:rsidR="00030687" w:rsidRPr="00690FDB" w:rsidRDefault="00030687" w:rsidP="0018448C">
            <w:pPr>
              <w:jc w:val="center"/>
              <w:cnfStyle w:val="000000100000"/>
              <w:rPr>
                <w:rFonts w:ascii="Arial" w:eastAsia="Times New Roman" w:hAnsi="Arial" w:cs="Arial"/>
                <w:sz w:val="15"/>
                <w:szCs w:val="15"/>
              </w:rPr>
            </w:pPr>
          </w:p>
        </w:tc>
        <w:tc>
          <w:tcPr>
            <w:tcW w:w="660"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Quality of Editor/editorial board</w:t>
            </w:r>
          </w:p>
        </w:tc>
        <w:tc>
          <w:tcPr>
            <w:tcW w:w="872" w:type="pct"/>
            <w:hideMark/>
          </w:tcPr>
          <w:p w:rsidR="00030687" w:rsidRPr="00690FDB" w:rsidRDefault="00030687" w:rsidP="0018448C">
            <w:pPr>
              <w:jc w:val="center"/>
              <w:cnfStyle w:val="000000010000"/>
              <w:rPr>
                <w:rFonts w:ascii="Arial" w:eastAsia="Times New Roman" w:hAnsi="Arial" w:cs="Arial"/>
                <w:sz w:val="15"/>
                <w:szCs w:val="15"/>
              </w:rPr>
            </w:pPr>
          </w:p>
        </w:tc>
        <w:tc>
          <w:tcPr>
            <w:tcW w:w="707" w:type="pct"/>
            <w:hideMark/>
          </w:tcPr>
          <w:p w:rsidR="00030687" w:rsidRPr="00690FDB" w:rsidRDefault="00030687" w:rsidP="0018448C">
            <w:pPr>
              <w:jc w:val="center"/>
              <w:cnfStyle w:val="000000010000"/>
              <w:rPr>
                <w:rFonts w:ascii="Arial" w:eastAsia="Times New Roman" w:hAnsi="Arial" w:cs="Arial"/>
                <w:sz w:val="15"/>
                <w:szCs w:val="15"/>
              </w:rPr>
            </w:pPr>
          </w:p>
        </w:tc>
        <w:tc>
          <w:tcPr>
            <w:tcW w:w="918" w:type="pct"/>
            <w:hideMark/>
          </w:tcPr>
          <w:p w:rsidR="00030687" w:rsidRPr="00690FDB" w:rsidRDefault="00030687" w:rsidP="0018448C">
            <w:pPr>
              <w:jc w:val="center"/>
              <w:cnfStyle w:val="000000010000"/>
              <w:rPr>
                <w:rFonts w:ascii="Arial" w:eastAsia="Times New Roman" w:hAnsi="Arial" w:cs="Arial"/>
                <w:sz w:val="15"/>
                <w:szCs w:val="15"/>
              </w:rPr>
            </w:pPr>
          </w:p>
        </w:tc>
        <w:tc>
          <w:tcPr>
            <w:tcW w:w="765" w:type="pct"/>
            <w:hideMark/>
          </w:tcPr>
          <w:p w:rsidR="00030687" w:rsidRPr="00690FDB" w:rsidRDefault="00030687" w:rsidP="0018448C">
            <w:pPr>
              <w:jc w:val="center"/>
              <w:cnfStyle w:val="000000010000"/>
              <w:rPr>
                <w:rFonts w:ascii="Arial" w:eastAsia="Times New Roman" w:hAnsi="Arial" w:cs="Arial"/>
                <w:sz w:val="15"/>
                <w:szCs w:val="15"/>
              </w:rPr>
            </w:pPr>
          </w:p>
        </w:tc>
        <w:tc>
          <w:tcPr>
            <w:tcW w:w="660"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Acceptance Rate</w:t>
            </w:r>
          </w:p>
        </w:tc>
        <w:tc>
          <w:tcPr>
            <w:tcW w:w="872" w:type="pct"/>
            <w:hideMark/>
          </w:tcPr>
          <w:p w:rsidR="00030687" w:rsidRPr="00690FDB" w:rsidRDefault="00030687" w:rsidP="0018448C">
            <w:pPr>
              <w:jc w:val="center"/>
              <w:cnfStyle w:val="000000100000"/>
              <w:rPr>
                <w:rFonts w:ascii="Arial" w:eastAsia="Times New Roman" w:hAnsi="Arial" w:cs="Arial"/>
                <w:sz w:val="15"/>
                <w:szCs w:val="15"/>
              </w:rPr>
            </w:pPr>
          </w:p>
        </w:tc>
        <w:tc>
          <w:tcPr>
            <w:tcW w:w="707" w:type="pct"/>
            <w:hideMark/>
          </w:tcPr>
          <w:p w:rsidR="00030687" w:rsidRPr="00690FDB" w:rsidRDefault="00030687" w:rsidP="0018448C">
            <w:pPr>
              <w:jc w:val="center"/>
              <w:cnfStyle w:val="000000100000"/>
              <w:rPr>
                <w:rFonts w:ascii="Arial" w:eastAsia="Times New Roman" w:hAnsi="Arial" w:cs="Arial"/>
                <w:sz w:val="15"/>
                <w:szCs w:val="15"/>
              </w:rPr>
            </w:pPr>
          </w:p>
        </w:tc>
        <w:tc>
          <w:tcPr>
            <w:tcW w:w="918" w:type="pct"/>
            <w:hideMark/>
          </w:tcPr>
          <w:p w:rsidR="00030687" w:rsidRPr="00690FDB" w:rsidRDefault="00030687" w:rsidP="0018448C">
            <w:pPr>
              <w:jc w:val="center"/>
              <w:cnfStyle w:val="000000100000"/>
              <w:rPr>
                <w:rFonts w:ascii="Arial" w:eastAsia="Times New Roman" w:hAnsi="Arial" w:cs="Arial"/>
                <w:sz w:val="15"/>
                <w:szCs w:val="15"/>
              </w:rPr>
            </w:pPr>
          </w:p>
        </w:tc>
        <w:tc>
          <w:tcPr>
            <w:tcW w:w="765" w:type="pct"/>
            <w:hideMark/>
          </w:tcPr>
          <w:p w:rsidR="00030687" w:rsidRPr="00690FDB" w:rsidRDefault="00030687" w:rsidP="0018448C">
            <w:pPr>
              <w:jc w:val="center"/>
              <w:cnfStyle w:val="000000100000"/>
              <w:rPr>
                <w:rFonts w:ascii="Arial" w:eastAsia="Times New Roman" w:hAnsi="Arial" w:cs="Arial"/>
                <w:sz w:val="15"/>
                <w:szCs w:val="15"/>
              </w:rPr>
            </w:pPr>
          </w:p>
        </w:tc>
        <w:tc>
          <w:tcPr>
            <w:tcW w:w="660"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Timeliness of publication process</w:t>
            </w:r>
          </w:p>
        </w:tc>
        <w:tc>
          <w:tcPr>
            <w:tcW w:w="872" w:type="pct"/>
            <w:hideMark/>
          </w:tcPr>
          <w:p w:rsidR="00030687" w:rsidRPr="00690FDB" w:rsidRDefault="00030687" w:rsidP="0018448C">
            <w:pPr>
              <w:jc w:val="center"/>
              <w:cnfStyle w:val="000000010000"/>
              <w:rPr>
                <w:rFonts w:ascii="Arial" w:eastAsia="Times New Roman" w:hAnsi="Arial" w:cs="Arial"/>
                <w:sz w:val="15"/>
                <w:szCs w:val="15"/>
              </w:rPr>
            </w:pPr>
          </w:p>
        </w:tc>
        <w:tc>
          <w:tcPr>
            <w:tcW w:w="707" w:type="pct"/>
            <w:hideMark/>
          </w:tcPr>
          <w:p w:rsidR="00030687" w:rsidRPr="00690FDB" w:rsidRDefault="00030687" w:rsidP="0018448C">
            <w:pPr>
              <w:jc w:val="center"/>
              <w:cnfStyle w:val="000000010000"/>
              <w:rPr>
                <w:rFonts w:ascii="Arial" w:eastAsia="Times New Roman" w:hAnsi="Arial" w:cs="Arial"/>
                <w:sz w:val="15"/>
                <w:szCs w:val="15"/>
              </w:rPr>
            </w:pPr>
          </w:p>
        </w:tc>
        <w:tc>
          <w:tcPr>
            <w:tcW w:w="918" w:type="pct"/>
            <w:hideMark/>
          </w:tcPr>
          <w:p w:rsidR="00030687" w:rsidRPr="00690FDB" w:rsidRDefault="00030687" w:rsidP="0018448C">
            <w:pPr>
              <w:jc w:val="center"/>
              <w:cnfStyle w:val="000000010000"/>
              <w:rPr>
                <w:rFonts w:ascii="Arial" w:eastAsia="Times New Roman" w:hAnsi="Arial" w:cs="Arial"/>
                <w:sz w:val="15"/>
                <w:szCs w:val="15"/>
              </w:rPr>
            </w:pPr>
          </w:p>
        </w:tc>
        <w:tc>
          <w:tcPr>
            <w:tcW w:w="765" w:type="pct"/>
            <w:hideMark/>
          </w:tcPr>
          <w:p w:rsidR="00030687" w:rsidRPr="00690FDB" w:rsidRDefault="00030687" w:rsidP="0018448C">
            <w:pPr>
              <w:jc w:val="center"/>
              <w:cnfStyle w:val="000000010000"/>
              <w:rPr>
                <w:rFonts w:ascii="Arial" w:eastAsia="Times New Roman" w:hAnsi="Arial" w:cs="Arial"/>
                <w:sz w:val="15"/>
                <w:szCs w:val="15"/>
              </w:rPr>
            </w:pPr>
          </w:p>
        </w:tc>
        <w:tc>
          <w:tcPr>
            <w:tcW w:w="660"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Published by scholarly society or association</w:t>
            </w:r>
          </w:p>
        </w:tc>
        <w:tc>
          <w:tcPr>
            <w:tcW w:w="872" w:type="pct"/>
            <w:hideMark/>
          </w:tcPr>
          <w:p w:rsidR="00030687" w:rsidRPr="00690FDB" w:rsidRDefault="00030687" w:rsidP="0018448C">
            <w:pPr>
              <w:jc w:val="center"/>
              <w:cnfStyle w:val="000000100000"/>
              <w:rPr>
                <w:rFonts w:ascii="Arial" w:eastAsia="Times New Roman" w:hAnsi="Arial" w:cs="Arial"/>
                <w:sz w:val="15"/>
                <w:szCs w:val="15"/>
              </w:rPr>
            </w:pPr>
          </w:p>
        </w:tc>
        <w:tc>
          <w:tcPr>
            <w:tcW w:w="707" w:type="pct"/>
            <w:hideMark/>
          </w:tcPr>
          <w:p w:rsidR="00030687" w:rsidRPr="00690FDB" w:rsidRDefault="00030687" w:rsidP="0018448C">
            <w:pPr>
              <w:jc w:val="center"/>
              <w:cnfStyle w:val="000000100000"/>
              <w:rPr>
                <w:rFonts w:ascii="Arial" w:eastAsia="Times New Roman" w:hAnsi="Arial" w:cs="Arial"/>
                <w:sz w:val="15"/>
                <w:szCs w:val="15"/>
              </w:rPr>
            </w:pPr>
          </w:p>
        </w:tc>
        <w:tc>
          <w:tcPr>
            <w:tcW w:w="918" w:type="pct"/>
            <w:hideMark/>
          </w:tcPr>
          <w:p w:rsidR="00030687" w:rsidRPr="00690FDB" w:rsidRDefault="00030687" w:rsidP="0018448C">
            <w:pPr>
              <w:jc w:val="center"/>
              <w:cnfStyle w:val="000000100000"/>
              <w:rPr>
                <w:rFonts w:ascii="Arial" w:eastAsia="Times New Roman" w:hAnsi="Arial" w:cs="Arial"/>
                <w:sz w:val="15"/>
                <w:szCs w:val="15"/>
              </w:rPr>
            </w:pPr>
          </w:p>
        </w:tc>
        <w:tc>
          <w:tcPr>
            <w:tcW w:w="765" w:type="pct"/>
            <w:hideMark/>
          </w:tcPr>
          <w:p w:rsidR="00030687" w:rsidRPr="00690FDB" w:rsidRDefault="00030687" w:rsidP="0018448C">
            <w:pPr>
              <w:jc w:val="center"/>
              <w:cnfStyle w:val="000000100000"/>
              <w:rPr>
                <w:rFonts w:ascii="Arial" w:eastAsia="Times New Roman" w:hAnsi="Arial" w:cs="Arial"/>
                <w:sz w:val="15"/>
                <w:szCs w:val="15"/>
              </w:rPr>
            </w:pPr>
          </w:p>
        </w:tc>
        <w:tc>
          <w:tcPr>
            <w:tcW w:w="660"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Influenced by my grant-awarding body</w:t>
            </w:r>
          </w:p>
        </w:tc>
        <w:tc>
          <w:tcPr>
            <w:tcW w:w="872" w:type="pct"/>
            <w:hideMark/>
          </w:tcPr>
          <w:p w:rsidR="00030687" w:rsidRPr="00690FDB" w:rsidRDefault="00030687" w:rsidP="0018448C">
            <w:pPr>
              <w:jc w:val="center"/>
              <w:cnfStyle w:val="000000010000"/>
              <w:rPr>
                <w:rFonts w:ascii="Arial" w:eastAsia="Times New Roman" w:hAnsi="Arial" w:cs="Arial"/>
                <w:sz w:val="15"/>
                <w:szCs w:val="15"/>
              </w:rPr>
            </w:pPr>
          </w:p>
        </w:tc>
        <w:tc>
          <w:tcPr>
            <w:tcW w:w="707" w:type="pct"/>
            <w:hideMark/>
          </w:tcPr>
          <w:p w:rsidR="00030687" w:rsidRPr="00690FDB" w:rsidRDefault="00030687" w:rsidP="0018448C">
            <w:pPr>
              <w:jc w:val="center"/>
              <w:cnfStyle w:val="000000010000"/>
              <w:rPr>
                <w:rFonts w:ascii="Arial" w:eastAsia="Times New Roman" w:hAnsi="Arial" w:cs="Arial"/>
                <w:sz w:val="15"/>
                <w:szCs w:val="15"/>
              </w:rPr>
            </w:pPr>
          </w:p>
        </w:tc>
        <w:tc>
          <w:tcPr>
            <w:tcW w:w="918" w:type="pct"/>
            <w:hideMark/>
          </w:tcPr>
          <w:p w:rsidR="00030687" w:rsidRPr="00690FDB" w:rsidRDefault="00030687" w:rsidP="0018448C">
            <w:pPr>
              <w:jc w:val="center"/>
              <w:cnfStyle w:val="000000010000"/>
              <w:rPr>
                <w:rFonts w:ascii="Arial" w:eastAsia="Times New Roman" w:hAnsi="Arial" w:cs="Arial"/>
                <w:sz w:val="15"/>
                <w:szCs w:val="15"/>
              </w:rPr>
            </w:pPr>
          </w:p>
        </w:tc>
        <w:tc>
          <w:tcPr>
            <w:tcW w:w="765" w:type="pct"/>
            <w:hideMark/>
          </w:tcPr>
          <w:p w:rsidR="00030687" w:rsidRPr="00690FDB" w:rsidRDefault="00030687" w:rsidP="0018448C">
            <w:pPr>
              <w:jc w:val="center"/>
              <w:cnfStyle w:val="000000010000"/>
              <w:rPr>
                <w:rFonts w:ascii="Arial" w:eastAsia="Times New Roman" w:hAnsi="Arial" w:cs="Arial"/>
                <w:sz w:val="15"/>
                <w:szCs w:val="15"/>
              </w:rPr>
            </w:pPr>
          </w:p>
        </w:tc>
        <w:tc>
          <w:tcPr>
            <w:tcW w:w="660"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Ability to retain copyright to your work</w:t>
            </w:r>
          </w:p>
        </w:tc>
        <w:tc>
          <w:tcPr>
            <w:tcW w:w="872" w:type="pct"/>
            <w:hideMark/>
          </w:tcPr>
          <w:p w:rsidR="00030687" w:rsidRPr="00690FDB" w:rsidRDefault="00030687" w:rsidP="0018448C">
            <w:pPr>
              <w:jc w:val="center"/>
              <w:cnfStyle w:val="000000100000"/>
              <w:rPr>
                <w:rFonts w:ascii="Arial" w:eastAsia="Times New Roman" w:hAnsi="Arial" w:cs="Arial"/>
                <w:sz w:val="15"/>
                <w:szCs w:val="15"/>
              </w:rPr>
            </w:pPr>
          </w:p>
        </w:tc>
        <w:tc>
          <w:tcPr>
            <w:tcW w:w="707" w:type="pct"/>
            <w:hideMark/>
          </w:tcPr>
          <w:p w:rsidR="00030687" w:rsidRPr="00690FDB" w:rsidRDefault="00030687" w:rsidP="0018448C">
            <w:pPr>
              <w:jc w:val="center"/>
              <w:cnfStyle w:val="000000100000"/>
              <w:rPr>
                <w:rFonts w:ascii="Arial" w:eastAsia="Times New Roman" w:hAnsi="Arial" w:cs="Arial"/>
                <w:sz w:val="15"/>
                <w:szCs w:val="15"/>
              </w:rPr>
            </w:pPr>
          </w:p>
        </w:tc>
        <w:tc>
          <w:tcPr>
            <w:tcW w:w="918" w:type="pct"/>
            <w:hideMark/>
          </w:tcPr>
          <w:p w:rsidR="00030687" w:rsidRPr="00690FDB" w:rsidRDefault="00030687" w:rsidP="0018448C">
            <w:pPr>
              <w:jc w:val="center"/>
              <w:cnfStyle w:val="000000100000"/>
              <w:rPr>
                <w:rFonts w:ascii="Arial" w:eastAsia="Times New Roman" w:hAnsi="Arial" w:cs="Arial"/>
                <w:sz w:val="15"/>
                <w:szCs w:val="15"/>
              </w:rPr>
            </w:pPr>
          </w:p>
        </w:tc>
        <w:tc>
          <w:tcPr>
            <w:tcW w:w="765" w:type="pct"/>
            <w:hideMark/>
          </w:tcPr>
          <w:p w:rsidR="00030687" w:rsidRPr="00690FDB" w:rsidRDefault="00030687" w:rsidP="0018448C">
            <w:pPr>
              <w:jc w:val="center"/>
              <w:cnfStyle w:val="000000100000"/>
              <w:rPr>
                <w:rFonts w:ascii="Arial" w:eastAsia="Times New Roman" w:hAnsi="Arial" w:cs="Arial"/>
                <w:sz w:val="15"/>
                <w:szCs w:val="15"/>
              </w:rPr>
            </w:pPr>
          </w:p>
        </w:tc>
        <w:tc>
          <w:tcPr>
            <w:tcW w:w="660"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My manuscript is a good match for the journal</w:t>
            </w:r>
          </w:p>
        </w:tc>
        <w:tc>
          <w:tcPr>
            <w:tcW w:w="872" w:type="pct"/>
            <w:hideMark/>
          </w:tcPr>
          <w:p w:rsidR="00030687" w:rsidRPr="00690FDB" w:rsidRDefault="00030687" w:rsidP="0018448C">
            <w:pPr>
              <w:jc w:val="center"/>
              <w:cnfStyle w:val="000000010000"/>
              <w:rPr>
                <w:rFonts w:ascii="Arial" w:eastAsia="Times New Roman" w:hAnsi="Arial" w:cs="Arial"/>
                <w:sz w:val="15"/>
                <w:szCs w:val="15"/>
              </w:rPr>
            </w:pPr>
          </w:p>
        </w:tc>
        <w:tc>
          <w:tcPr>
            <w:tcW w:w="707" w:type="pct"/>
            <w:hideMark/>
          </w:tcPr>
          <w:p w:rsidR="00030687" w:rsidRPr="00690FDB" w:rsidRDefault="00030687" w:rsidP="0018448C">
            <w:pPr>
              <w:jc w:val="center"/>
              <w:cnfStyle w:val="000000010000"/>
              <w:rPr>
                <w:rFonts w:ascii="Arial" w:eastAsia="Times New Roman" w:hAnsi="Arial" w:cs="Arial"/>
                <w:sz w:val="15"/>
                <w:szCs w:val="15"/>
              </w:rPr>
            </w:pPr>
          </w:p>
        </w:tc>
        <w:tc>
          <w:tcPr>
            <w:tcW w:w="918" w:type="pct"/>
            <w:hideMark/>
          </w:tcPr>
          <w:p w:rsidR="00030687" w:rsidRPr="00690FDB" w:rsidRDefault="00030687" w:rsidP="0018448C">
            <w:pPr>
              <w:jc w:val="center"/>
              <w:cnfStyle w:val="000000010000"/>
              <w:rPr>
                <w:rFonts w:ascii="Arial" w:eastAsia="Times New Roman" w:hAnsi="Arial" w:cs="Arial"/>
                <w:sz w:val="15"/>
                <w:szCs w:val="15"/>
              </w:rPr>
            </w:pPr>
          </w:p>
        </w:tc>
        <w:tc>
          <w:tcPr>
            <w:tcW w:w="765" w:type="pct"/>
            <w:hideMark/>
          </w:tcPr>
          <w:p w:rsidR="00030687" w:rsidRPr="00690FDB" w:rsidRDefault="00030687" w:rsidP="0018448C">
            <w:pPr>
              <w:jc w:val="center"/>
              <w:cnfStyle w:val="000000010000"/>
              <w:rPr>
                <w:rFonts w:ascii="Arial" w:eastAsia="Times New Roman" w:hAnsi="Arial" w:cs="Arial"/>
                <w:sz w:val="15"/>
                <w:szCs w:val="15"/>
              </w:rPr>
            </w:pPr>
          </w:p>
        </w:tc>
        <w:tc>
          <w:tcPr>
            <w:tcW w:w="660"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1079" w:type="pct"/>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I’ve published there before</w:t>
            </w:r>
          </w:p>
        </w:tc>
        <w:tc>
          <w:tcPr>
            <w:tcW w:w="872" w:type="pct"/>
            <w:hideMark/>
          </w:tcPr>
          <w:p w:rsidR="00030687" w:rsidRPr="00690FDB" w:rsidRDefault="00030687" w:rsidP="0018448C">
            <w:pPr>
              <w:jc w:val="center"/>
              <w:cnfStyle w:val="000000100000"/>
              <w:rPr>
                <w:rFonts w:ascii="Arial" w:eastAsia="Times New Roman" w:hAnsi="Arial" w:cs="Arial"/>
                <w:sz w:val="15"/>
                <w:szCs w:val="15"/>
              </w:rPr>
            </w:pPr>
          </w:p>
        </w:tc>
        <w:tc>
          <w:tcPr>
            <w:tcW w:w="707" w:type="pct"/>
            <w:hideMark/>
          </w:tcPr>
          <w:p w:rsidR="00030687" w:rsidRPr="00690FDB" w:rsidRDefault="00030687" w:rsidP="0018448C">
            <w:pPr>
              <w:jc w:val="center"/>
              <w:cnfStyle w:val="000000100000"/>
              <w:rPr>
                <w:rFonts w:ascii="Arial" w:eastAsia="Times New Roman" w:hAnsi="Arial" w:cs="Arial"/>
                <w:sz w:val="15"/>
                <w:szCs w:val="15"/>
              </w:rPr>
            </w:pPr>
          </w:p>
        </w:tc>
        <w:tc>
          <w:tcPr>
            <w:tcW w:w="918" w:type="pct"/>
            <w:hideMark/>
          </w:tcPr>
          <w:p w:rsidR="00030687" w:rsidRPr="00690FDB" w:rsidRDefault="00030687" w:rsidP="0018448C">
            <w:pPr>
              <w:jc w:val="center"/>
              <w:cnfStyle w:val="000000100000"/>
              <w:rPr>
                <w:rFonts w:ascii="Arial" w:eastAsia="Times New Roman" w:hAnsi="Arial" w:cs="Arial"/>
                <w:sz w:val="15"/>
                <w:szCs w:val="15"/>
              </w:rPr>
            </w:pPr>
          </w:p>
        </w:tc>
        <w:tc>
          <w:tcPr>
            <w:tcW w:w="765" w:type="pct"/>
            <w:hideMark/>
          </w:tcPr>
          <w:p w:rsidR="00030687" w:rsidRPr="00690FDB" w:rsidRDefault="00030687" w:rsidP="0018448C">
            <w:pPr>
              <w:jc w:val="center"/>
              <w:cnfStyle w:val="000000100000"/>
              <w:rPr>
                <w:rFonts w:ascii="Arial" w:eastAsia="Times New Roman" w:hAnsi="Arial" w:cs="Arial"/>
                <w:sz w:val="15"/>
                <w:szCs w:val="15"/>
              </w:rPr>
            </w:pPr>
          </w:p>
        </w:tc>
        <w:tc>
          <w:tcPr>
            <w:tcW w:w="660" w:type="pct"/>
            <w:hideMark/>
          </w:tcPr>
          <w:p w:rsidR="00030687" w:rsidRPr="00690FDB" w:rsidRDefault="00030687" w:rsidP="0018448C">
            <w:pPr>
              <w:jc w:val="center"/>
              <w:cnfStyle w:val="000000100000"/>
              <w:rPr>
                <w:rFonts w:ascii="Arial" w:eastAsia="Times New Roman" w:hAnsi="Arial" w:cs="Arial"/>
                <w:sz w:val="15"/>
                <w:szCs w:val="15"/>
              </w:rPr>
            </w:pPr>
          </w:p>
        </w:tc>
      </w:tr>
    </w:tbl>
    <w:p w:rsidR="00030687" w:rsidRDefault="00030687" w:rsidP="00030687">
      <w:pPr>
        <w:spacing w:before="100" w:beforeAutospacing="1" w:after="100" w:afterAutospacing="1" w:line="240" w:lineRule="auto"/>
        <w:ind w:left="720"/>
        <w:outlineLvl w:val="2"/>
        <w:rPr>
          <w:rFonts w:ascii="Arial" w:eastAsia="Times New Roman" w:hAnsi="Arial" w:cs="Arial"/>
          <w:b/>
          <w:bCs/>
          <w:sz w:val="16"/>
          <w:szCs w:val="16"/>
        </w:rPr>
      </w:pPr>
    </w:p>
    <w:p w:rsidR="00030687" w:rsidRPr="00690FDB" w:rsidRDefault="00030687" w:rsidP="00030687">
      <w:pPr>
        <w:spacing w:before="100" w:beforeAutospacing="1" w:after="100" w:afterAutospacing="1" w:line="240" w:lineRule="auto"/>
        <w:ind w:left="720"/>
        <w:outlineLvl w:val="2"/>
        <w:rPr>
          <w:rFonts w:ascii="Arial" w:eastAsia="Times New Roman" w:hAnsi="Arial" w:cs="Arial"/>
          <w:b/>
          <w:bCs/>
          <w:sz w:val="16"/>
          <w:szCs w:val="16"/>
        </w:rPr>
      </w:pPr>
      <w:r w:rsidRPr="00690FDB">
        <w:rPr>
          <w:rFonts w:ascii="Arial" w:eastAsia="Times New Roman" w:hAnsi="Arial" w:cs="Arial"/>
          <w:b/>
          <w:bCs/>
          <w:sz w:val="16"/>
          <w:szCs w:val="16"/>
        </w:rPr>
        <w:t>4.</w:t>
      </w:r>
      <w:r w:rsidRPr="00690FDB">
        <w:rPr>
          <w:rFonts w:ascii="Times New Roman" w:eastAsia="Times New Roman" w:hAnsi="Times New Roman" w:cs="Times New Roman"/>
          <w:b/>
          <w:bCs/>
          <w:sz w:val="16"/>
          <w:szCs w:val="16"/>
        </w:rPr>
        <w:t xml:space="preserve"> </w:t>
      </w:r>
      <w:r w:rsidRPr="00690FDB">
        <w:rPr>
          <w:rFonts w:ascii="Arial" w:eastAsia="Times New Roman" w:hAnsi="Arial" w:cs="Arial"/>
          <w:b/>
          <w:bCs/>
          <w:sz w:val="16"/>
          <w:szCs w:val="16"/>
        </w:rPr>
        <w:t>Have you self-archived any of your publications (on a personal website, an institutional repository, e-print archive, etc.)?</w:t>
      </w:r>
    </w:p>
    <w:tbl>
      <w:tblPr>
        <w:tblStyle w:val="LightGrid1"/>
        <w:tblW w:w="4615" w:type="pct"/>
        <w:tblInd w:w="720" w:type="dxa"/>
        <w:tblLook w:val="04A0"/>
      </w:tblPr>
      <w:tblGrid>
        <w:gridCol w:w="8839"/>
      </w:tblGrid>
      <w:tr w:rsidR="00030687" w:rsidRPr="00690FDB" w:rsidTr="0018448C">
        <w:trPr>
          <w:cnfStyle w:val="100000000000"/>
        </w:trPr>
        <w:tc>
          <w:tcPr>
            <w:cnfStyle w:val="001000000000"/>
            <w:tcW w:w="5000" w:type="pct"/>
            <w:hideMark/>
          </w:tcPr>
          <w:p w:rsidR="00030687" w:rsidRPr="007C2F5C" w:rsidRDefault="00030687" w:rsidP="0018448C">
            <w:pPr>
              <w:rPr>
                <w:rFonts w:ascii="Arial" w:eastAsia="Times New Roman" w:hAnsi="Arial" w:cs="Arial"/>
                <w:sz w:val="16"/>
                <w:szCs w:val="16"/>
              </w:rPr>
            </w:pPr>
            <w:r w:rsidRPr="007C2F5C">
              <w:rPr>
                <w:rFonts w:ascii="Arial" w:eastAsia="Times New Roman" w:hAnsi="Arial" w:cs="Arial"/>
                <w:sz w:val="16"/>
                <w:szCs w:val="16"/>
              </w:rPr>
              <w:t>Yes</w:t>
            </w:r>
          </w:p>
          <w:p w:rsidR="00030687" w:rsidRPr="00690FDB" w:rsidRDefault="00030687" w:rsidP="0018448C">
            <w:pPr>
              <w:rPr>
                <w:rFonts w:ascii="Times New Roman" w:eastAsia="Times New Roman" w:hAnsi="Times New Roman" w:cs="Times New Roman"/>
                <w:sz w:val="15"/>
                <w:szCs w:val="15"/>
              </w:rPr>
            </w:pPr>
            <w:r w:rsidRPr="007C2F5C">
              <w:rPr>
                <w:rFonts w:ascii="Arial" w:eastAsia="Times New Roman" w:hAnsi="Arial" w:cs="Arial"/>
                <w:sz w:val="16"/>
                <w:szCs w:val="16"/>
              </w:rPr>
              <w:t>No</w:t>
            </w:r>
          </w:p>
        </w:tc>
      </w:tr>
    </w:tbl>
    <w:p w:rsidR="00030687" w:rsidRDefault="00030687" w:rsidP="00030687"/>
    <w:p w:rsidR="00030687" w:rsidRPr="00690FDB" w:rsidRDefault="00030687" w:rsidP="00030687">
      <w:pPr>
        <w:spacing w:before="100" w:beforeAutospacing="1" w:after="100" w:afterAutospacing="1" w:line="240" w:lineRule="auto"/>
        <w:outlineLvl w:val="1"/>
        <w:rPr>
          <w:rFonts w:ascii="Arial" w:eastAsia="Times New Roman" w:hAnsi="Arial" w:cs="Arial"/>
          <w:b/>
          <w:bCs/>
          <w:sz w:val="18"/>
          <w:szCs w:val="18"/>
        </w:rPr>
      </w:pPr>
    </w:p>
    <w:p w:rsidR="00030687" w:rsidRPr="00690FDB" w:rsidRDefault="00030687" w:rsidP="00030687">
      <w:pPr>
        <w:spacing w:before="100" w:beforeAutospacing="1" w:after="270" w:line="240" w:lineRule="auto"/>
        <w:ind w:left="720"/>
        <w:outlineLvl w:val="2"/>
        <w:rPr>
          <w:rFonts w:ascii="Times New Roman" w:eastAsia="Times New Roman" w:hAnsi="Times New Roman" w:cs="Times New Roman"/>
          <w:b/>
          <w:bCs/>
          <w:sz w:val="16"/>
          <w:szCs w:val="16"/>
        </w:rPr>
      </w:pPr>
      <w:r w:rsidRPr="00690FDB">
        <w:rPr>
          <w:rFonts w:ascii="Arial" w:eastAsia="Times New Roman" w:hAnsi="Arial" w:cs="Arial"/>
          <w:b/>
          <w:bCs/>
          <w:sz w:val="16"/>
          <w:szCs w:val="16"/>
        </w:rPr>
        <w:t>5.</w:t>
      </w:r>
      <w:r w:rsidRPr="00690FDB">
        <w:rPr>
          <w:rFonts w:ascii="Times New Roman" w:eastAsia="Times New Roman" w:hAnsi="Times New Roman" w:cs="Times New Roman"/>
          <w:b/>
          <w:bCs/>
          <w:sz w:val="16"/>
          <w:szCs w:val="16"/>
        </w:rPr>
        <w:t xml:space="preserve"> </w:t>
      </w:r>
      <w:proofErr w:type="gramStart"/>
      <w:r w:rsidRPr="00690FDB">
        <w:rPr>
          <w:rFonts w:ascii="Arial" w:eastAsia="Times New Roman" w:hAnsi="Arial" w:cs="Arial"/>
          <w:b/>
          <w:bCs/>
          <w:sz w:val="16"/>
          <w:szCs w:val="16"/>
        </w:rPr>
        <w:t>In</w:t>
      </w:r>
      <w:proofErr w:type="gramEnd"/>
      <w:r w:rsidRPr="00690FDB">
        <w:rPr>
          <w:rFonts w:ascii="Arial" w:eastAsia="Times New Roman" w:hAnsi="Arial" w:cs="Arial"/>
          <w:b/>
          <w:bCs/>
          <w:sz w:val="16"/>
          <w:szCs w:val="16"/>
        </w:rPr>
        <w:t xml:space="preserve"> your discipline, publication in electronic journals of any kind is:</w:t>
      </w:r>
    </w:p>
    <w:tbl>
      <w:tblPr>
        <w:tblStyle w:val="LightGrid1"/>
        <w:tblW w:w="4615" w:type="pct"/>
        <w:tblInd w:w="720" w:type="dxa"/>
        <w:tblLook w:val="04A0"/>
      </w:tblPr>
      <w:tblGrid>
        <w:gridCol w:w="8839"/>
      </w:tblGrid>
      <w:tr w:rsidR="00030687" w:rsidRPr="00690FDB" w:rsidTr="0018448C">
        <w:trPr>
          <w:cnfStyle w:val="100000000000"/>
        </w:trPr>
        <w:tc>
          <w:tcPr>
            <w:cnfStyle w:val="001000000000"/>
            <w:tcW w:w="5000" w:type="pct"/>
            <w:hideMark/>
          </w:tcPr>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Acceptable</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Not Acceptable</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Less desirable than print</w:t>
            </w:r>
          </w:p>
          <w:p w:rsidR="00030687" w:rsidRPr="00690FDB" w:rsidRDefault="00030687" w:rsidP="0018448C">
            <w:pPr>
              <w:rPr>
                <w:rFonts w:ascii="Times New Roman" w:eastAsia="Times New Roman" w:hAnsi="Times New Roman" w:cs="Times New Roman"/>
                <w:sz w:val="15"/>
                <w:szCs w:val="15"/>
              </w:rPr>
            </w:pPr>
            <w:r w:rsidRPr="00690FDB">
              <w:rPr>
                <w:rFonts w:ascii="Arial" w:eastAsia="Times New Roman" w:hAnsi="Arial" w:cs="Arial"/>
                <w:sz w:val="15"/>
                <w:szCs w:val="15"/>
              </w:rPr>
              <w:t>Not an issue - other factors are more important (e.g., prestige of journal)</w:t>
            </w:r>
          </w:p>
        </w:tc>
      </w:tr>
    </w:tbl>
    <w:p w:rsidR="00030687" w:rsidRDefault="00030687" w:rsidP="00030687">
      <w:pPr>
        <w:spacing w:before="100" w:beforeAutospacing="1" w:after="270" w:line="240" w:lineRule="auto"/>
        <w:ind w:left="720"/>
        <w:outlineLvl w:val="2"/>
        <w:rPr>
          <w:rFonts w:ascii="Arial" w:eastAsia="Times New Roman" w:hAnsi="Arial" w:cs="Arial"/>
          <w:b/>
          <w:bCs/>
          <w:sz w:val="18"/>
          <w:szCs w:val="18"/>
        </w:rPr>
      </w:pPr>
    </w:p>
    <w:p w:rsidR="00030687" w:rsidRPr="00690FDB" w:rsidRDefault="00030687" w:rsidP="00030687">
      <w:pPr>
        <w:spacing w:before="100" w:beforeAutospacing="1" w:after="270" w:line="240" w:lineRule="auto"/>
        <w:ind w:left="720"/>
        <w:outlineLvl w:val="2"/>
        <w:rPr>
          <w:rFonts w:ascii="Arial" w:eastAsia="Times New Roman" w:hAnsi="Arial" w:cs="Arial"/>
          <w:b/>
          <w:bCs/>
          <w:sz w:val="18"/>
          <w:szCs w:val="18"/>
        </w:rPr>
      </w:pPr>
      <w:r w:rsidRPr="00690FDB">
        <w:rPr>
          <w:rFonts w:ascii="Arial" w:eastAsia="Times New Roman" w:hAnsi="Arial" w:cs="Arial"/>
          <w:b/>
          <w:bCs/>
          <w:sz w:val="18"/>
          <w:szCs w:val="18"/>
        </w:rPr>
        <w:t>6.</w:t>
      </w:r>
      <w:r w:rsidRPr="00690FDB">
        <w:rPr>
          <w:rFonts w:ascii="Times New Roman" w:eastAsia="Times New Roman" w:hAnsi="Times New Roman" w:cs="Times New Roman"/>
          <w:b/>
          <w:bCs/>
          <w:sz w:val="18"/>
          <w:szCs w:val="18"/>
        </w:rPr>
        <w:t xml:space="preserve">  </w:t>
      </w:r>
      <w:r w:rsidRPr="00690FDB">
        <w:rPr>
          <w:rFonts w:ascii="Arial" w:eastAsia="Times New Roman" w:hAnsi="Arial" w:cs="Arial"/>
          <w:b/>
          <w:bCs/>
          <w:sz w:val="18"/>
          <w:szCs w:val="18"/>
        </w:rPr>
        <w:t>Please indicate the importance of the following publications for tenure/promotion/advancement in your discipline:</w:t>
      </w:r>
    </w:p>
    <w:tbl>
      <w:tblPr>
        <w:tblStyle w:val="LightGrid1"/>
        <w:tblW w:w="4615" w:type="pct"/>
        <w:tblInd w:w="720" w:type="dxa"/>
        <w:tblLook w:val="04A0"/>
      </w:tblPr>
      <w:tblGrid>
        <w:gridCol w:w="2085"/>
        <w:gridCol w:w="1497"/>
        <w:gridCol w:w="1499"/>
        <w:gridCol w:w="1329"/>
        <w:gridCol w:w="1349"/>
        <w:gridCol w:w="1080"/>
      </w:tblGrid>
      <w:tr w:rsidR="00030687" w:rsidRPr="00690FDB" w:rsidTr="0018448C">
        <w:trPr>
          <w:cnfStyle w:val="100000000000"/>
        </w:trPr>
        <w:tc>
          <w:tcPr>
            <w:cnfStyle w:val="001000000000"/>
            <w:tcW w:w="1179" w:type="pct"/>
            <w:hideMark/>
          </w:tcPr>
          <w:p w:rsidR="00030687" w:rsidRPr="00690FDB" w:rsidRDefault="00030687" w:rsidP="0018448C">
            <w:pPr>
              <w:jc w:val="center"/>
              <w:rPr>
                <w:rFonts w:ascii="Arial" w:eastAsia="Times New Roman" w:hAnsi="Arial" w:cs="Arial"/>
                <w:b w:val="0"/>
                <w:bCs w:val="0"/>
                <w:sz w:val="15"/>
                <w:szCs w:val="15"/>
              </w:rPr>
            </w:pPr>
            <w:r w:rsidRPr="00690FDB">
              <w:rPr>
                <w:rFonts w:ascii="Arial" w:eastAsia="Times New Roman" w:hAnsi="Arial" w:cs="Arial"/>
                <w:sz w:val="15"/>
                <w:szCs w:val="15"/>
              </w:rPr>
              <w:t> </w:t>
            </w:r>
          </w:p>
        </w:tc>
        <w:tc>
          <w:tcPr>
            <w:tcW w:w="847"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t>Not</w:t>
            </w:r>
            <w:r w:rsidRPr="00690FDB">
              <w:rPr>
                <w:rFonts w:ascii="Arial" w:eastAsia="Times New Roman" w:hAnsi="Arial" w:cs="Arial"/>
                <w:sz w:val="15"/>
                <w:szCs w:val="15"/>
              </w:rPr>
              <w:br/>
              <w:t xml:space="preserve">Important </w:t>
            </w:r>
            <w:r w:rsidRPr="00690FDB">
              <w:rPr>
                <w:rFonts w:ascii="Arial" w:eastAsia="Times New Roman" w:hAnsi="Arial" w:cs="Arial"/>
                <w:sz w:val="15"/>
                <w:szCs w:val="15"/>
              </w:rPr>
              <w:br/>
              <w:t>1</w:t>
            </w:r>
          </w:p>
        </w:tc>
        <w:tc>
          <w:tcPr>
            <w:tcW w:w="848"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br/>
              <w:t>2</w:t>
            </w:r>
          </w:p>
        </w:tc>
        <w:tc>
          <w:tcPr>
            <w:tcW w:w="752"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t>Neutral</w:t>
            </w:r>
            <w:r w:rsidRPr="00690FDB">
              <w:rPr>
                <w:rFonts w:ascii="Arial" w:eastAsia="Times New Roman" w:hAnsi="Arial" w:cs="Arial"/>
                <w:sz w:val="15"/>
                <w:szCs w:val="15"/>
              </w:rPr>
              <w:br/>
              <w:t>3</w:t>
            </w:r>
          </w:p>
        </w:tc>
        <w:tc>
          <w:tcPr>
            <w:tcW w:w="763"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br/>
              <w:t>4</w:t>
            </w:r>
          </w:p>
        </w:tc>
        <w:tc>
          <w:tcPr>
            <w:tcW w:w="611" w:type="pct"/>
            <w:hideMark/>
          </w:tcPr>
          <w:p w:rsidR="00030687" w:rsidRPr="00690FDB" w:rsidRDefault="00030687" w:rsidP="0018448C">
            <w:pPr>
              <w:jc w:val="center"/>
              <w:cnfStyle w:val="100000000000"/>
              <w:rPr>
                <w:rFonts w:ascii="Arial" w:eastAsia="Times New Roman" w:hAnsi="Arial" w:cs="Arial"/>
                <w:b w:val="0"/>
                <w:bCs w:val="0"/>
                <w:sz w:val="15"/>
                <w:szCs w:val="15"/>
              </w:rPr>
            </w:pPr>
            <w:r w:rsidRPr="00690FDB">
              <w:rPr>
                <w:rFonts w:ascii="Arial" w:eastAsia="Times New Roman" w:hAnsi="Arial" w:cs="Arial"/>
                <w:sz w:val="15"/>
                <w:szCs w:val="15"/>
              </w:rPr>
              <w:t>Very</w:t>
            </w:r>
            <w:r w:rsidRPr="00690FDB">
              <w:rPr>
                <w:rFonts w:ascii="Arial" w:eastAsia="Times New Roman" w:hAnsi="Arial" w:cs="Arial"/>
                <w:sz w:val="15"/>
                <w:szCs w:val="15"/>
              </w:rPr>
              <w:br/>
              <w:t>Important</w:t>
            </w:r>
            <w:r w:rsidRPr="00690FDB">
              <w:rPr>
                <w:rFonts w:ascii="Arial" w:eastAsia="Times New Roman" w:hAnsi="Arial" w:cs="Arial"/>
                <w:sz w:val="15"/>
                <w:szCs w:val="15"/>
              </w:rPr>
              <w:br/>
              <w:t>5</w:t>
            </w:r>
          </w:p>
        </w:tc>
      </w:tr>
      <w:tr w:rsidR="00030687" w:rsidRPr="00690FDB" w:rsidTr="0018448C">
        <w:trPr>
          <w:cnfStyle w:val="00000010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Books/Monographs</w:t>
            </w: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752" w:type="pct"/>
            <w:hideMark/>
          </w:tcPr>
          <w:p w:rsidR="00030687" w:rsidRPr="00690FDB" w:rsidRDefault="00030687" w:rsidP="0018448C">
            <w:pPr>
              <w:jc w:val="center"/>
              <w:cnfStyle w:val="000000100000"/>
              <w:rPr>
                <w:rFonts w:ascii="Arial" w:eastAsia="Times New Roman" w:hAnsi="Arial" w:cs="Arial"/>
                <w:sz w:val="15"/>
                <w:szCs w:val="15"/>
              </w:rPr>
            </w:pPr>
          </w:p>
        </w:tc>
        <w:tc>
          <w:tcPr>
            <w:tcW w:w="763" w:type="pct"/>
            <w:hideMark/>
          </w:tcPr>
          <w:p w:rsidR="00030687" w:rsidRPr="00690FDB" w:rsidRDefault="00030687" w:rsidP="0018448C">
            <w:pPr>
              <w:jc w:val="center"/>
              <w:cnfStyle w:val="000000100000"/>
              <w:rPr>
                <w:rFonts w:ascii="Arial" w:eastAsia="Times New Roman" w:hAnsi="Arial" w:cs="Arial"/>
                <w:sz w:val="15"/>
                <w:szCs w:val="15"/>
              </w:rPr>
            </w:pPr>
          </w:p>
        </w:tc>
        <w:tc>
          <w:tcPr>
            <w:tcW w:w="611"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Book Reviews</w:t>
            </w: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752" w:type="pct"/>
            <w:hideMark/>
          </w:tcPr>
          <w:p w:rsidR="00030687" w:rsidRPr="00690FDB" w:rsidRDefault="00030687" w:rsidP="0018448C">
            <w:pPr>
              <w:jc w:val="center"/>
              <w:cnfStyle w:val="000000010000"/>
              <w:rPr>
                <w:rFonts w:ascii="Arial" w:eastAsia="Times New Roman" w:hAnsi="Arial" w:cs="Arial"/>
                <w:sz w:val="15"/>
                <w:szCs w:val="15"/>
              </w:rPr>
            </w:pPr>
          </w:p>
        </w:tc>
        <w:tc>
          <w:tcPr>
            <w:tcW w:w="763" w:type="pct"/>
            <w:hideMark/>
          </w:tcPr>
          <w:p w:rsidR="00030687" w:rsidRPr="00690FDB" w:rsidRDefault="00030687" w:rsidP="0018448C">
            <w:pPr>
              <w:jc w:val="center"/>
              <w:cnfStyle w:val="000000010000"/>
              <w:rPr>
                <w:rFonts w:ascii="Arial" w:eastAsia="Times New Roman" w:hAnsi="Arial" w:cs="Arial"/>
                <w:sz w:val="15"/>
                <w:szCs w:val="15"/>
              </w:rPr>
            </w:pPr>
          </w:p>
        </w:tc>
        <w:tc>
          <w:tcPr>
            <w:tcW w:w="611"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Peer Reviewed Journal Articles</w:t>
            </w: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752" w:type="pct"/>
            <w:hideMark/>
          </w:tcPr>
          <w:p w:rsidR="00030687" w:rsidRPr="00690FDB" w:rsidRDefault="00030687" w:rsidP="0018448C">
            <w:pPr>
              <w:jc w:val="center"/>
              <w:cnfStyle w:val="000000100000"/>
              <w:rPr>
                <w:rFonts w:ascii="Arial" w:eastAsia="Times New Roman" w:hAnsi="Arial" w:cs="Arial"/>
                <w:sz w:val="15"/>
                <w:szCs w:val="15"/>
              </w:rPr>
            </w:pPr>
          </w:p>
        </w:tc>
        <w:tc>
          <w:tcPr>
            <w:tcW w:w="763" w:type="pct"/>
            <w:hideMark/>
          </w:tcPr>
          <w:p w:rsidR="00030687" w:rsidRPr="00690FDB" w:rsidRDefault="00030687" w:rsidP="0018448C">
            <w:pPr>
              <w:jc w:val="center"/>
              <w:cnfStyle w:val="000000100000"/>
              <w:rPr>
                <w:rFonts w:ascii="Arial" w:eastAsia="Times New Roman" w:hAnsi="Arial" w:cs="Arial"/>
                <w:sz w:val="15"/>
                <w:szCs w:val="15"/>
              </w:rPr>
            </w:pPr>
          </w:p>
        </w:tc>
        <w:tc>
          <w:tcPr>
            <w:tcW w:w="611"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Articles in Trade Journals</w:t>
            </w: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752" w:type="pct"/>
            <w:hideMark/>
          </w:tcPr>
          <w:p w:rsidR="00030687" w:rsidRPr="00690FDB" w:rsidRDefault="00030687" w:rsidP="0018448C">
            <w:pPr>
              <w:jc w:val="center"/>
              <w:cnfStyle w:val="000000010000"/>
              <w:rPr>
                <w:rFonts w:ascii="Arial" w:eastAsia="Times New Roman" w:hAnsi="Arial" w:cs="Arial"/>
                <w:sz w:val="15"/>
                <w:szCs w:val="15"/>
              </w:rPr>
            </w:pPr>
          </w:p>
        </w:tc>
        <w:tc>
          <w:tcPr>
            <w:tcW w:w="763" w:type="pct"/>
            <w:hideMark/>
          </w:tcPr>
          <w:p w:rsidR="00030687" w:rsidRPr="00690FDB" w:rsidRDefault="00030687" w:rsidP="0018448C">
            <w:pPr>
              <w:jc w:val="center"/>
              <w:cnfStyle w:val="000000010000"/>
              <w:rPr>
                <w:rFonts w:ascii="Arial" w:eastAsia="Times New Roman" w:hAnsi="Arial" w:cs="Arial"/>
                <w:sz w:val="15"/>
                <w:szCs w:val="15"/>
              </w:rPr>
            </w:pPr>
          </w:p>
        </w:tc>
        <w:tc>
          <w:tcPr>
            <w:tcW w:w="611"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Conference Proceedings</w:t>
            </w: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752" w:type="pct"/>
            <w:hideMark/>
          </w:tcPr>
          <w:p w:rsidR="00030687" w:rsidRPr="00690FDB" w:rsidRDefault="00030687" w:rsidP="0018448C">
            <w:pPr>
              <w:jc w:val="center"/>
              <w:cnfStyle w:val="000000100000"/>
              <w:rPr>
                <w:rFonts w:ascii="Arial" w:eastAsia="Times New Roman" w:hAnsi="Arial" w:cs="Arial"/>
                <w:sz w:val="15"/>
                <w:szCs w:val="15"/>
              </w:rPr>
            </w:pPr>
          </w:p>
        </w:tc>
        <w:tc>
          <w:tcPr>
            <w:tcW w:w="763" w:type="pct"/>
            <w:hideMark/>
          </w:tcPr>
          <w:p w:rsidR="00030687" w:rsidRPr="00690FDB" w:rsidRDefault="00030687" w:rsidP="0018448C">
            <w:pPr>
              <w:jc w:val="center"/>
              <w:cnfStyle w:val="000000100000"/>
              <w:rPr>
                <w:rFonts w:ascii="Arial" w:eastAsia="Times New Roman" w:hAnsi="Arial" w:cs="Arial"/>
                <w:sz w:val="15"/>
                <w:szCs w:val="15"/>
              </w:rPr>
            </w:pPr>
          </w:p>
        </w:tc>
        <w:tc>
          <w:tcPr>
            <w:tcW w:w="611"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Presentations at professional meetings</w:t>
            </w: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752" w:type="pct"/>
            <w:hideMark/>
          </w:tcPr>
          <w:p w:rsidR="00030687" w:rsidRPr="00690FDB" w:rsidRDefault="00030687" w:rsidP="0018448C">
            <w:pPr>
              <w:jc w:val="center"/>
              <w:cnfStyle w:val="000000010000"/>
              <w:rPr>
                <w:rFonts w:ascii="Arial" w:eastAsia="Times New Roman" w:hAnsi="Arial" w:cs="Arial"/>
                <w:sz w:val="15"/>
                <w:szCs w:val="15"/>
              </w:rPr>
            </w:pPr>
          </w:p>
        </w:tc>
        <w:tc>
          <w:tcPr>
            <w:tcW w:w="763" w:type="pct"/>
            <w:hideMark/>
          </w:tcPr>
          <w:p w:rsidR="00030687" w:rsidRPr="00690FDB" w:rsidRDefault="00030687" w:rsidP="0018448C">
            <w:pPr>
              <w:jc w:val="center"/>
              <w:cnfStyle w:val="000000010000"/>
              <w:rPr>
                <w:rFonts w:ascii="Arial" w:eastAsia="Times New Roman" w:hAnsi="Arial" w:cs="Arial"/>
                <w:sz w:val="15"/>
                <w:szCs w:val="15"/>
              </w:rPr>
            </w:pPr>
          </w:p>
        </w:tc>
        <w:tc>
          <w:tcPr>
            <w:tcW w:w="611"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Abstracts</w:t>
            </w: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752" w:type="pct"/>
            <w:hideMark/>
          </w:tcPr>
          <w:p w:rsidR="00030687" w:rsidRPr="00690FDB" w:rsidRDefault="00030687" w:rsidP="0018448C">
            <w:pPr>
              <w:jc w:val="center"/>
              <w:cnfStyle w:val="000000100000"/>
              <w:rPr>
                <w:rFonts w:ascii="Arial" w:eastAsia="Times New Roman" w:hAnsi="Arial" w:cs="Arial"/>
                <w:sz w:val="15"/>
                <w:szCs w:val="15"/>
              </w:rPr>
            </w:pPr>
          </w:p>
        </w:tc>
        <w:tc>
          <w:tcPr>
            <w:tcW w:w="763" w:type="pct"/>
            <w:hideMark/>
          </w:tcPr>
          <w:p w:rsidR="00030687" w:rsidRPr="00690FDB" w:rsidRDefault="00030687" w:rsidP="0018448C">
            <w:pPr>
              <w:jc w:val="center"/>
              <w:cnfStyle w:val="000000100000"/>
              <w:rPr>
                <w:rFonts w:ascii="Arial" w:eastAsia="Times New Roman" w:hAnsi="Arial" w:cs="Arial"/>
                <w:sz w:val="15"/>
                <w:szCs w:val="15"/>
              </w:rPr>
            </w:pPr>
          </w:p>
        </w:tc>
        <w:tc>
          <w:tcPr>
            <w:tcW w:w="611"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Pre-prints/Working papers</w:t>
            </w: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752" w:type="pct"/>
            <w:hideMark/>
          </w:tcPr>
          <w:p w:rsidR="00030687" w:rsidRPr="00690FDB" w:rsidRDefault="00030687" w:rsidP="0018448C">
            <w:pPr>
              <w:jc w:val="center"/>
              <w:cnfStyle w:val="000000010000"/>
              <w:rPr>
                <w:rFonts w:ascii="Arial" w:eastAsia="Times New Roman" w:hAnsi="Arial" w:cs="Arial"/>
                <w:sz w:val="15"/>
                <w:szCs w:val="15"/>
              </w:rPr>
            </w:pPr>
          </w:p>
        </w:tc>
        <w:tc>
          <w:tcPr>
            <w:tcW w:w="763" w:type="pct"/>
            <w:hideMark/>
          </w:tcPr>
          <w:p w:rsidR="00030687" w:rsidRPr="00690FDB" w:rsidRDefault="00030687" w:rsidP="0018448C">
            <w:pPr>
              <w:jc w:val="center"/>
              <w:cnfStyle w:val="000000010000"/>
              <w:rPr>
                <w:rFonts w:ascii="Arial" w:eastAsia="Times New Roman" w:hAnsi="Arial" w:cs="Arial"/>
                <w:sz w:val="15"/>
                <w:szCs w:val="15"/>
              </w:rPr>
            </w:pPr>
          </w:p>
        </w:tc>
        <w:tc>
          <w:tcPr>
            <w:tcW w:w="611"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Case Studies</w:t>
            </w: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752" w:type="pct"/>
            <w:hideMark/>
          </w:tcPr>
          <w:p w:rsidR="00030687" w:rsidRPr="00690FDB" w:rsidRDefault="00030687" w:rsidP="0018448C">
            <w:pPr>
              <w:jc w:val="center"/>
              <w:cnfStyle w:val="000000100000"/>
              <w:rPr>
                <w:rFonts w:ascii="Arial" w:eastAsia="Times New Roman" w:hAnsi="Arial" w:cs="Arial"/>
                <w:sz w:val="15"/>
                <w:szCs w:val="15"/>
              </w:rPr>
            </w:pPr>
          </w:p>
        </w:tc>
        <w:tc>
          <w:tcPr>
            <w:tcW w:w="763" w:type="pct"/>
            <w:hideMark/>
          </w:tcPr>
          <w:p w:rsidR="00030687" w:rsidRPr="00690FDB" w:rsidRDefault="00030687" w:rsidP="0018448C">
            <w:pPr>
              <w:jc w:val="center"/>
              <w:cnfStyle w:val="000000100000"/>
              <w:rPr>
                <w:rFonts w:ascii="Arial" w:eastAsia="Times New Roman" w:hAnsi="Arial" w:cs="Arial"/>
                <w:sz w:val="15"/>
                <w:szCs w:val="15"/>
              </w:rPr>
            </w:pPr>
          </w:p>
        </w:tc>
        <w:tc>
          <w:tcPr>
            <w:tcW w:w="611"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Textbooks</w:t>
            </w: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752" w:type="pct"/>
            <w:hideMark/>
          </w:tcPr>
          <w:p w:rsidR="00030687" w:rsidRPr="00690FDB" w:rsidRDefault="00030687" w:rsidP="0018448C">
            <w:pPr>
              <w:jc w:val="center"/>
              <w:cnfStyle w:val="000000010000"/>
              <w:rPr>
                <w:rFonts w:ascii="Arial" w:eastAsia="Times New Roman" w:hAnsi="Arial" w:cs="Arial"/>
                <w:sz w:val="15"/>
                <w:szCs w:val="15"/>
              </w:rPr>
            </w:pPr>
          </w:p>
        </w:tc>
        <w:tc>
          <w:tcPr>
            <w:tcW w:w="763" w:type="pct"/>
            <w:hideMark/>
          </w:tcPr>
          <w:p w:rsidR="00030687" w:rsidRPr="00690FDB" w:rsidRDefault="00030687" w:rsidP="0018448C">
            <w:pPr>
              <w:jc w:val="center"/>
              <w:cnfStyle w:val="000000010000"/>
              <w:rPr>
                <w:rFonts w:ascii="Arial" w:eastAsia="Times New Roman" w:hAnsi="Arial" w:cs="Arial"/>
                <w:sz w:val="15"/>
                <w:szCs w:val="15"/>
              </w:rPr>
            </w:pPr>
          </w:p>
        </w:tc>
        <w:tc>
          <w:tcPr>
            <w:tcW w:w="611" w:type="pct"/>
            <w:hideMark/>
          </w:tcPr>
          <w:p w:rsidR="00030687" w:rsidRPr="00690FDB" w:rsidRDefault="00030687" w:rsidP="0018448C">
            <w:pPr>
              <w:jc w:val="center"/>
              <w:cnfStyle w:val="000000010000"/>
              <w:rPr>
                <w:rFonts w:ascii="Arial" w:eastAsia="Times New Roman" w:hAnsi="Arial" w:cs="Arial"/>
                <w:sz w:val="15"/>
                <w:szCs w:val="15"/>
              </w:rPr>
            </w:pPr>
          </w:p>
        </w:tc>
      </w:tr>
      <w:tr w:rsidR="00030687" w:rsidRPr="00690FDB" w:rsidTr="0018448C">
        <w:trPr>
          <w:cnfStyle w:val="00000010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Compositions or arrangements</w:t>
            </w: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0" w:type="auto"/>
            <w:hideMark/>
          </w:tcPr>
          <w:p w:rsidR="00030687" w:rsidRPr="00690FDB" w:rsidRDefault="00030687" w:rsidP="0018448C">
            <w:pPr>
              <w:jc w:val="center"/>
              <w:cnfStyle w:val="000000100000"/>
              <w:rPr>
                <w:rFonts w:ascii="Arial" w:eastAsia="Times New Roman" w:hAnsi="Arial" w:cs="Arial"/>
                <w:sz w:val="15"/>
                <w:szCs w:val="15"/>
              </w:rPr>
            </w:pPr>
          </w:p>
        </w:tc>
        <w:tc>
          <w:tcPr>
            <w:tcW w:w="752" w:type="pct"/>
            <w:hideMark/>
          </w:tcPr>
          <w:p w:rsidR="00030687" w:rsidRPr="00690FDB" w:rsidRDefault="00030687" w:rsidP="0018448C">
            <w:pPr>
              <w:jc w:val="center"/>
              <w:cnfStyle w:val="000000100000"/>
              <w:rPr>
                <w:rFonts w:ascii="Arial" w:eastAsia="Times New Roman" w:hAnsi="Arial" w:cs="Arial"/>
                <w:sz w:val="15"/>
                <w:szCs w:val="15"/>
              </w:rPr>
            </w:pPr>
          </w:p>
        </w:tc>
        <w:tc>
          <w:tcPr>
            <w:tcW w:w="763" w:type="pct"/>
            <w:hideMark/>
          </w:tcPr>
          <w:p w:rsidR="00030687" w:rsidRPr="00690FDB" w:rsidRDefault="00030687" w:rsidP="0018448C">
            <w:pPr>
              <w:jc w:val="center"/>
              <w:cnfStyle w:val="000000100000"/>
              <w:rPr>
                <w:rFonts w:ascii="Arial" w:eastAsia="Times New Roman" w:hAnsi="Arial" w:cs="Arial"/>
                <w:sz w:val="15"/>
                <w:szCs w:val="15"/>
              </w:rPr>
            </w:pPr>
          </w:p>
        </w:tc>
        <w:tc>
          <w:tcPr>
            <w:tcW w:w="611" w:type="pct"/>
            <w:hideMark/>
          </w:tcPr>
          <w:p w:rsidR="00030687" w:rsidRPr="00690FDB" w:rsidRDefault="00030687" w:rsidP="0018448C">
            <w:pPr>
              <w:jc w:val="center"/>
              <w:cnfStyle w:val="000000100000"/>
              <w:rPr>
                <w:rFonts w:ascii="Arial" w:eastAsia="Times New Roman" w:hAnsi="Arial" w:cs="Arial"/>
                <w:sz w:val="15"/>
                <w:szCs w:val="15"/>
              </w:rPr>
            </w:pPr>
          </w:p>
        </w:tc>
      </w:tr>
      <w:tr w:rsidR="00030687" w:rsidRPr="00690FDB" w:rsidTr="0018448C">
        <w:trPr>
          <w:cnfStyle w:val="000000010000"/>
        </w:trPr>
        <w:tc>
          <w:tcPr>
            <w:cnfStyle w:val="001000000000"/>
            <w:tcW w:w="0" w:type="auto"/>
            <w:hideMark/>
          </w:tcPr>
          <w:p w:rsidR="00030687" w:rsidRPr="00690FDB" w:rsidRDefault="00030687" w:rsidP="0018448C">
            <w:pPr>
              <w:rPr>
                <w:rFonts w:ascii="Arial" w:eastAsia="Times New Roman" w:hAnsi="Arial" w:cs="Arial"/>
                <w:b w:val="0"/>
                <w:bCs w:val="0"/>
                <w:sz w:val="15"/>
                <w:szCs w:val="15"/>
              </w:rPr>
            </w:pPr>
            <w:r w:rsidRPr="00690FDB">
              <w:rPr>
                <w:rFonts w:ascii="Arial" w:eastAsia="Times New Roman" w:hAnsi="Arial" w:cs="Arial"/>
                <w:sz w:val="15"/>
                <w:szCs w:val="15"/>
              </w:rPr>
              <w:t>Performances</w:t>
            </w: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0" w:type="auto"/>
            <w:hideMark/>
          </w:tcPr>
          <w:p w:rsidR="00030687" w:rsidRPr="00690FDB" w:rsidRDefault="00030687" w:rsidP="0018448C">
            <w:pPr>
              <w:jc w:val="center"/>
              <w:cnfStyle w:val="000000010000"/>
              <w:rPr>
                <w:rFonts w:ascii="Arial" w:eastAsia="Times New Roman" w:hAnsi="Arial" w:cs="Arial"/>
                <w:sz w:val="15"/>
                <w:szCs w:val="15"/>
              </w:rPr>
            </w:pPr>
          </w:p>
        </w:tc>
        <w:tc>
          <w:tcPr>
            <w:tcW w:w="752" w:type="pct"/>
            <w:hideMark/>
          </w:tcPr>
          <w:p w:rsidR="00030687" w:rsidRPr="00690FDB" w:rsidRDefault="00030687" w:rsidP="0018448C">
            <w:pPr>
              <w:jc w:val="center"/>
              <w:cnfStyle w:val="000000010000"/>
              <w:rPr>
                <w:rFonts w:ascii="Arial" w:eastAsia="Times New Roman" w:hAnsi="Arial" w:cs="Arial"/>
                <w:sz w:val="15"/>
                <w:szCs w:val="15"/>
              </w:rPr>
            </w:pPr>
          </w:p>
        </w:tc>
        <w:tc>
          <w:tcPr>
            <w:tcW w:w="763" w:type="pct"/>
            <w:hideMark/>
          </w:tcPr>
          <w:p w:rsidR="00030687" w:rsidRPr="00690FDB" w:rsidRDefault="00030687" w:rsidP="0018448C">
            <w:pPr>
              <w:jc w:val="center"/>
              <w:cnfStyle w:val="000000010000"/>
              <w:rPr>
                <w:rFonts w:ascii="Arial" w:eastAsia="Times New Roman" w:hAnsi="Arial" w:cs="Arial"/>
                <w:sz w:val="15"/>
                <w:szCs w:val="15"/>
              </w:rPr>
            </w:pPr>
          </w:p>
        </w:tc>
        <w:tc>
          <w:tcPr>
            <w:tcW w:w="611" w:type="pct"/>
            <w:hideMark/>
          </w:tcPr>
          <w:p w:rsidR="00030687" w:rsidRPr="00690FDB" w:rsidRDefault="00030687" w:rsidP="0018448C">
            <w:pPr>
              <w:jc w:val="center"/>
              <w:cnfStyle w:val="000000010000"/>
              <w:rPr>
                <w:rFonts w:ascii="Arial" w:eastAsia="Times New Roman" w:hAnsi="Arial" w:cs="Arial"/>
                <w:sz w:val="15"/>
                <w:szCs w:val="15"/>
              </w:rPr>
            </w:pPr>
          </w:p>
        </w:tc>
      </w:tr>
    </w:tbl>
    <w:p w:rsidR="00030687" w:rsidRDefault="00030687" w:rsidP="00030687">
      <w:pPr>
        <w:ind w:left="720"/>
      </w:pPr>
    </w:p>
    <w:p w:rsidR="00030687" w:rsidRPr="00690FDB" w:rsidRDefault="00030687" w:rsidP="00030687">
      <w:pPr>
        <w:spacing w:before="100" w:beforeAutospacing="1" w:after="100" w:afterAutospacing="1" w:line="240" w:lineRule="auto"/>
        <w:ind w:left="720"/>
        <w:outlineLvl w:val="2"/>
        <w:rPr>
          <w:rFonts w:ascii="Times New Roman" w:eastAsia="Times New Roman" w:hAnsi="Times New Roman" w:cs="Times New Roman"/>
          <w:b/>
          <w:bCs/>
          <w:sz w:val="16"/>
          <w:szCs w:val="16"/>
        </w:rPr>
      </w:pPr>
      <w:r w:rsidRPr="00690FDB">
        <w:rPr>
          <w:rFonts w:ascii="Arial" w:eastAsia="Times New Roman" w:hAnsi="Arial" w:cs="Arial"/>
          <w:b/>
          <w:bCs/>
          <w:sz w:val="16"/>
          <w:szCs w:val="16"/>
        </w:rPr>
        <w:t>7.</w:t>
      </w:r>
      <w:r w:rsidRPr="00690FDB">
        <w:rPr>
          <w:rFonts w:ascii="Times New Roman" w:eastAsia="Times New Roman" w:hAnsi="Times New Roman" w:cs="Times New Roman"/>
          <w:b/>
          <w:bCs/>
          <w:sz w:val="16"/>
          <w:szCs w:val="16"/>
        </w:rPr>
        <w:t xml:space="preserve"> </w:t>
      </w:r>
      <w:r w:rsidRPr="00690FDB">
        <w:rPr>
          <w:rFonts w:ascii="Arial" w:eastAsia="Times New Roman" w:hAnsi="Arial" w:cs="Arial"/>
          <w:b/>
          <w:bCs/>
          <w:sz w:val="16"/>
          <w:szCs w:val="16"/>
        </w:rPr>
        <w:t>How many articles have you published in your scholarly career thus far?</w:t>
      </w:r>
    </w:p>
    <w:tbl>
      <w:tblPr>
        <w:tblStyle w:val="LightGrid1"/>
        <w:tblW w:w="4615" w:type="pct"/>
        <w:tblInd w:w="720" w:type="dxa"/>
        <w:tblLook w:val="04A0"/>
      </w:tblPr>
      <w:tblGrid>
        <w:gridCol w:w="8839"/>
      </w:tblGrid>
      <w:tr w:rsidR="00030687" w:rsidRPr="00690FDB" w:rsidTr="0018448C">
        <w:trPr>
          <w:cnfStyle w:val="100000000000"/>
          <w:trHeight w:val="340"/>
        </w:trPr>
        <w:tc>
          <w:tcPr>
            <w:cnfStyle w:val="001000000000"/>
            <w:tcW w:w="5000" w:type="pct"/>
            <w:hideMark/>
          </w:tcPr>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1</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2-5</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5-10</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10-20</w:t>
            </w:r>
          </w:p>
          <w:p w:rsidR="00030687" w:rsidRPr="00690FDB" w:rsidRDefault="00030687" w:rsidP="0018448C">
            <w:pPr>
              <w:rPr>
                <w:rFonts w:ascii="Times New Roman" w:eastAsia="Times New Roman" w:hAnsi="Times New Roman" w:cs="Times New Roman"/>
                <w:sz w:val="15"/>
                <w:szCs w:val="15"/>
              </w:rPr>
            </w:pPr>
            <w:r w:rsidRPr="00690FDB">
              <w:rPr>
                <w:rFonts w:ascii="Arial" w:eastAsia="Times New Roman" w:hAnsi="Arial" w:cs="Arial"/>
                <w:sz w:val="15"/>
                <w:szCs w:val="15"/>
              </w:rPr>
              <w:t>More than 20</w:t>
            </w:r>
          </w:p>
        </w:tc>
      </w:tr>
    </w:tbl>
    <w:p w:rsidR="00030687" w:rsidRPr="00690FDB" w:rsidRDefault="00030687" w:rsidP="00030687">
      <w:pPr>
        <w:spacing w:before="100" w:beforeAutospacing="1" w:after="100" w:afterAutospacing="1" w:line="240" w:lineRule="auto"/>
        <w:ind w:left="720"/>
        <w:outlineLvl w:val="2"/>
        <w:rPr>
          <w:rFonts w:ascii="Arial" w:eastAsia="Times New Roman" w:hAnsi="Arial" w:cs="Arial"/>
          <w:b/>
          <w:bCs/>
          <w:sz w:val="16"/>
          <w:szCs w:val="16"/>
        </w:rPr>
      </w:pPr>
      <w:r w:rsidRPr="00690FDB">
        <w:rPr>
          <w:rFonts w:ascii="Arial" w:eastAsia="Times New Roman" w:hAnsi="Arial" w:cs="Arial"/>
          <w:b/>
          <w:bCs/>
          <w:sz w:val="16"/>
          <w:szCs w:val="16"/>
        </w:rPr>
        <w:t>8.</w:t>
      </w:r>
      <w:r w:rsidRPr="00690FDB">
        <w:rPr>
          <w:rFonts w:ascii="Times New Roman" w:eastAsia="Times New Roman" w:hAnsi="Times New Roman" w:cs="Times New Roman"/>
          <w:b/>
          <w:bCs/>
          <w:sz w:val="16"/>
          <w:szCs w:val="16"/>
        </w:rPr>
        <w:t xml:space="preserve"> </w:t>
      </w:r>
      <w:r w:rsidRPr="00690FDB">
        <w:rPr>
          <w:rFonts w:ascii="Arial" w:eastAsia="Times New Roman" w:hAnsi="Arial" w:cs="Arial"/>
          <w:b/>
          <w:bCs/>
          <w:sz w:val="16"/>
          <w:szCs w:val="16"/>
        </w:rPr>
        <w:t>How many articles have you published in open access journals (here defined as 'freely accessible online'):</w:t>
      </w:r>
    </w:p>
    <w:tbl>
      <w:tblPr>
        <w:tblStyle w:val="LightGrid1"/>
        <w:tblW w:w="4615" w:type="pct"/>
        <w:tblInd w:w="720" w:type="dxa"/>
        <w:tblLook w:val="04A0"/>
      </w:tblPr>
      <w:tblGrid>
        <w:gridCol w:w="8839"/>
      </w:tblGrid>
      <w:tr w:rsidR="00030687" w:rsidRPr="00690FDB" w:rsidTr="0018448C">
        <w:trPr>
          <w:cnfStyle w:val="100000000000"/>
        </w:trPr>
        <w:tc>
          <w:tcPr>
            <w:cnfStyle w:val="001000000000"/>
            <w:tcW w:w="5000" w:type="pct"/>
            <w:hideMark/>
          </w:tcPr>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1</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2-5</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5-10</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10-20</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More than 20</w:t>
            </w:r>
          </w:p>
          <w:p w:rsidR="00030687" w:rsidRPr="00690FDB" w:rsidRDefault="00030687" w:rsidP="0018448C">
            <w:pPr>
              <w:rPr>
                <w:rFonts w:ascii="Times New Roman" w:eastAsia="Times New Roman" w:hAnsi="Times New Roman" w:cs="Times New Roman"/>
                <w:sz w:val="15"/>
                <w:szCs w:val="15"/>
              </w:rPr>
            </w:pPr>
            <w:r w:rsidRPr="00690FDB">
              <w:rPr>
                <w:rFonts w:ascii="Arial" w:eastAsia="Times New Roman" w:hAnsi="Arial" w:cs="Arial"/>
                <w:sz w:val="15"/>
                <w:szCs w:val="15"/>
              </w:rPr>
              <w:t>Don't know how many were open access</w:t>
            </w:r>
          </w:p>
        </w:tc>
      </w:tr>
    </w:tbl>
    <w:p w:rsidR="00030687" w:rsidRPr="00690FDB" w:rsidRDefault="00030687" w:rsidP="00030687">
      <w:pPr>
        <w:spacing w:before="100" w:beforeAutospacing="1" w:after="270" w:line="240" w:lineRule="auto"/>
        <w:ind w:left="720"/>
        <w:outlineLvl w:val="2"/>
        <w:rPr>
          <w:rFonts w:ascii="Arial" w:eastAsia="Times New Roman" w:hAnsi="Arial" w:cs="Arial"/>
          <w:b/>
          <w:bCs/>
          <w:sz w:val="16"/>
          <w:szCs w:val="16"/>
        </w:rPr>
      </w:pPr>
      <w:r w:rsidRPr="00690FDB">
        <w:rPr>
          <w:rFonts w:ascii="Arial" w:eastAsia="Times New Roman" w:hAnsi="Arial" w:cs="Arial"/>
          <w:b/>
          <w:bCs/>
          <w:sz w:val="16"/>
          <w:szCs w:val="16"/>
        </w:rPr>
        <w:t xml:space="preserve">9. When you published your article in an open access journal, how aware </w:t>
      </w:r>
      <w:proofErr w:type="gramStart"/>
      <w:r w:rsidRPr="00690FDB">
        <w:rPr>
          <w:rFonts w:ascii="Arial" w:eastAsia="Times New Roman" w:hAnsi="Arial" w:cs="Arial"/>
          <w:b/>
          <w:bCs/>
          <w:sz w:val="16"/>
          <w:szCs w:val="16"/>
        </w:rPr>
        <w:t>were</w:t>
      </w:r>
      <w:proofErr w:type="gramEnd"/>
      <w:r w:rsidRPr="00690FDB">
        <w:rPr>
          <w:rFonts w:ascii="Arial" w:eastAsia="Times New Roman" w:hAnsi="Arial" w:cs="Arial"/>
          <w:b/>
          <w:bCs/>
          <w:sz w:val="16"/>
          <w:szCs w:val="16"/>
        </w:rPr>
        <w:t xml:space="preserve"> you of the concept of open access publishing?</w:t>
      </w:r>
    </w:p>
    <w:tbl>
      <w:tblPr>
        <w:tblStyle w:val="LightGrid1"/>
        <w:tblW w:w="4615" w:type="pct"/>
        <w:tblInd w:w="720" w:type="dxa"/>
        <w:tblLook w:val="04A0"/>
      </w:tblPr>
      <w:tblGrid>
        <w:gridCol w:w="8839"/>
      </w:tblGrid>
      <w:tr w:rsidR="00030687" w:rsidRPr="00690FDB" w:rsidTr="0018448C">
        <w:trPr>
          <w:cnfStyle w:val="100000000000"/>
        </w:trPr>
        <w:tc>
          <w:tcPr>
            <w:cnfStyle w:val="001000000000"/>
            <w:tcW w:w="5000" w:type="pct"/>
            <w:hideMark/>
          </w:tcPr>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Very aware</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Somewhat aware</w:t>
            </w:r>
          </w:p>
          <w:p w:rsidR="00030687" w:rsidRPr="00690FDB" w:rsidRDefault="00030687" w:rsidP="0018448C">
            <w:pPr>
              <w:rPr>
                <w:rFonts w:ascii="Times New Roman" w:eastAsia="Times New Roman" w:hAnsi="Times New Roman" w:cs="Times New Roman"/>
                <w:sz w:val="15"/>
                <w:szCs w:val="15"/>
              </w:rPr>
            </w:pPr>
            <w:r w:rsidRPr="00690FDB">
              <w:rPr>
                <w:rFonts w:ascii="Arial" w:eastAsia="Times New Roman" w:hAnsi="Arial" w:cs="Arial"/>
                <w:sz w:val="15"/>
                <w:szCs w:val="15"/>
              </w:rPr>
              <w:t>Not at all aware</w:t>
            </w:r>
          </w:p>
        </w:tc>
      </w:tr>
    </w:tbl>
    <w:p w:rsidR="00030687" w:rsidRDefault="00030687" w:rsidP="00030687">
      <w:pPr>
        <w:spacing w:before="100" w:beforeAutospacing="1" w:after="270" w:line="240" w:lineRule="auto"/>
        <w:ind w:left="720"/>
        <w:outlineLvl w:val="2"/>
        <w:rPr>
          <w:rFonts w:ascii="Arial" w:eastAsia="Times New Roman" w:hAnsi="Arial" w:cs="Arial"/>
          <w:b/>
          <w:bCs/>
          <w:sz w:val="16"/>
          <w:szCs w:val="16"/>
        </w:rPr>
      </w:pPr>
    </w:p>
    <w:p w:rsidR="00030687" w:rsidRPr="00690FDB" w:rsidRDefault="00030687" w:rsidP="00030687">
      <w:pPr>
        <w:spacing w:before="100" w:beforeAutospacing="1" w:after="270" w:line="240" w:lineRule="auto"/>
        <w:ind w:left="720"/>
        <w:outlineLvl w:val="2"/>
        <w:rPr>
          <w:rFonts w:ascii="Arial" w:eastAsia="Times New Roman" w:hAnsi="Arial" w:cs="Arial"/>
          <w:b/>
          <w:bCs/>
          <w:sz w:val="16"/>
          <w:szCs w:val="16"/>
        </w:rPr>
      </w:pPr>
      <w:r w:rsidRPr="00690FDB">
        <w:rPr>
          <w:rFonts w:ascii="Arial" w:eastAsia="Times New Roman" w:hAnsi="Arial" w:cs="Arial"/>
          <w:b/>
          <w:bCs/>
          <w:sz w:val="16"/>
          <w:szCs w:val="16"/>
        </w:rPr>
        <w:lastRenderedPageBreak/>
        <w:t>10.</w:t>
      </w:r>
      <w:r w:rsidRPr="00690FDB">
        <w:rPr>
          <w:rFonts w:ascii="Times New Roman" w:eastAsia="Times New Roman" w:hAnsi="Times New Roman" w:cs="Times New Roman"/>
          <w:b/>
          <w:bCs/>
          <w:sz w:val="16"/>
          <w:szCs w:val="16"/>
        </w:rPr>
        <w:t xml:space="preserve"> </w:t>
      </w:r>
      <w:r w:rsidRPr="00690FDB">
        <w:rPr>
          <w:rFonts w:ascii="Arial" w:eastAsia="Times New Roman" w:hAnsi="Arial" w:cs="Arial"/>
          <w:b/>
          <w:bCs/>
          <w:sz w:val="16"/>
          <w:szCs w:val="16"/>
        </w:rPr>
        <w:t>How did you become aware of open access publishing? Please check all that apply.</w:t>
      </w:r>
    </w:p>
    <w:tbl>
      <w:tblPr>
        <w:tblStyle w:val="LightGrid1"/>
        <w:tblW w:w="4662" w:type="pct"/>
        <w:tblInd w:w="720" w:type="dxa"/>
        <w:tblLook w:val="04A0"/>
      </w:tblPr>
      <w:tblGrid>
        <w:gridCol w:w="8929"/>
      </w:tblGrid>
      <w:tr w:rsidR="00030687" w:rsidRPr="00690FDB" w:rsidTr="0018448C">
        <w:trPr>
          <w:cnfStyle w:val="100000000000"/>
          <w:trHeight w:val="93"/>
        </w:trPr>
        <w:tc>
          <w:tcPr>
            <w:cnfStyle w:val="001000000000"/>
            <w:tcW w:w="5000" w:type="pct"/>
            <w:hideMark/>
          </w:tcPr>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This is the first I’ve heard of it</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My institution</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My institution’s Library</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Funding agency</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Colleague</w:t>
            </w:r>
          </w:p>
          <w:p w:rsidR="00030687" w:rsidRPr="00690FDB" w:rsidRDefault="00030687" w:rsidP="0018448C">
            <w:pPr>
              <w:rPr>
                <w:rFonts w:ascii="Arial" w:eastAsia="Times New Roman" w:hAnsi="Arial" w:cs="Arial"/>
                <w:sz w:val="15"/>
                <w:szCs w:val="15"/>
              </w:rPr>
            </w:pPr>
            <w:r w:rsidRPr="00690FDB">
              <w:rPr>
                <w:rFonts w:ascii="Arial" w:eastAsia="Times New Roman" w:hAnsi="Arial" w:cs="Arial"/>
                <w:sz w:val="15"/>
                <w:szCs w:val="15"/>
              </w:rPr>
              <w:t>Professional Society</w:t>
            </w:r>
          </w:p>
          <w:p w:rsidR="00030687" w:rsidRPr="00690FDB" w:rsidRDefault="00030687" w:rsidP="0018448C">
            <w:pPr>
              <w:rPr>
                <w:rFonts w:ascii="Times New Roman" w:eastAsia="Times New Roman" w:hAnsi="Times New Roman" w:cs="Times New Roman"/>
                <w:sz w:val="15"/>
                <w:szCs w:val="15"/>
              </w:rPr>
            </w:pPr>
            <w:r w:rsidRPr="00690FDB">
              <w:rPr>
                <w:rFonts w:ascii="Arial" w:eastAsia="Times New Roman" w:hAnsi="Arial" w:cs="Arial"/>
                <w:sz w:val="15"/>
                <w:szCs w:val="15"/>
              </w:rPr>
              <w:t>Internet searching (e.g., Google) for publishing opportunities</w:t>
            </w:r>
          </w:p>
        </w:tc>
      </w:tr>
    </w:tbl>
    <w:p w:rsidR="00030687" w:rsidRDefault="00030687" w:rsidP="00030687">
      <w:pPr>
        <w:spacing w:before="100" w:beforeAutospacing="1" w:after="270" w:line="240" w:lineRule="auto"/>
        <w:ind w:left="720"/>
        <w:outlineLvl w:val="2"/>
        <w:rPr>
          <w:rFonts w:ascii="Arial" w:eastAsia="Times New Roman" w:hAnsi="Arial" w:cs="Arial"/>
          <w:b/>
          <w:bCs/>
          <w:sz w:val="16"/>
          <w:szCs w:val="16"/>
        </w:rPr>
      </w:pPr>
    </w:p>
    <w:p w:rsidR="00030687" w:rsidRPr="002843F3" w:rsidRDefault="00030687" w:rsidP="00030687">
      <w:pPr>
        <w:spacing w:before="100" w:beforeAutospacing="1" w:after="270" w:line="240" w:lineRule="auto"/>
        <w:ind w:left="720"/>
        <w:outlineLvl w:val="2"/>
        <w:rPr>
          <w:rFonts w:ascii="Arial" w:eastAsia="Times New Roman" w:hAnsi="Arial" w:cs="Arial"/>
          <w:b/>
          <w:bCs/>
          <w:sz w:val="16"/>
          <w:szCs w:val="16"/>
        </w:rPr>
      </w:pPr>
      <w:r w:rsidRPr="002843F3">
        <w:rPr>
          <w:rFonts w:ascii="Arial" w:eastAsia="Times New Roman" w:hAnsi="Arial" w:cs="Arial"/>
          <w:b/>
          <w:bCs/>
          <w:sz w:val="16"/>
          <w:szCs w:val="16"/>
        </w:rPr>
        <w:t xml:space="preserve">11. Please respond to these perceptions of open access (OA) publishing. </w:t>
      </w:r>
    </w:p>
    <w:tbl>
      <w:tblPr>
        <w:tblStyle w:val="LightGrid1"/>
        <w:tblW w:w="4662" w:type="pct"/>
        <w:tblInd w:w="720" w:type="dxa"/>
        <w:tblLook w:val="04A0"/>
      </w:tblPr>
      <w:tblGrid>
        <w:gridCol w:w="1954"/>
        <w:gridCol w:w="2023"/>
        <w:gridCol w:w="2611"/>
        <w:gridCol w:w="2341"/>
      </w:tblGrid>
      <w:tr w:rsidR="00030687" w:rsidRPr="002843F3" w:rsidTr="0018448C">
        <w:trPr>
          <w:cnfStyle w:val="100000000000"/>
        </w:trPr>
        <w:tc>
          <w:tcPr>
            <w:cnfStyle w:val="001000000000"/>
            <w:tcW w:w="1094" w:type="pct"/>
            <w:hideMark/>
          </w:tcPr>
          <w:p w:rsidR="00030687" w:rsidRPr="002843F3" w:rsidRDefault="00030687" w:rsidP="0018448C">
            <w:pPr>
              <w:jc w:val="center"/>
              <w:rPr>
                <w:rFonts w:ascii="Arial" w:eastAsia="Times New Roman" w:hAnsi="Arial" w:cs="Arial"/>
                <w:b w:val="0"/>
                <w:bCs w:val="0"/>
                <w:sz w:val="15"/>
                <w:szCs w:val="15"/>
              </w:rPr>
            </w:pPr>
            <w:r w:rsidRPr="002843F3">
              <w:rPr>
                <w:rFonts w:ascii="Arial" w:eastAsia="Times New Roman" w:hAnsi="Arial" w:cs="Arial"/>
                <w:sz w:val="15"/>
                <w:szCs w:val="15"/>
              </w:rPr>
              <w:t> </w:t>
            </w:r>
          </w:p>
        </w:tc>
        <w:tc>
          <w:tcPr>
            <w:tcW w:w="1133" w:type="pct"/>
            <w:hideMark/>
          </w:tcPr>
          <w:p w:rsidR="00030687" w:rsidRPr="002843F3" w:rsidRDefault="00030687" w:rsidP="0018448C">
            <w:pPr>
              <w:jc w:val="center"/>
              <w:cnfStyle w:val="100000000000"/>
              <w:rPr>
                <w:rFonts w:ascii="Arial" w:eastAsia="Times New Roman" w:hAnsi="Arial" w:cs="Arial"/>
                <w:b w:val="0"/>
                <w:bCs w:val="0"/>
                <w:sz w:val="15"/>
                <w:szCs w:val="15"/>
              </w:rPr>
            </w:pPr>
            <w:r w:rsidRPr="002843F3">
              <w:rPr>
                <w:rFonts w:ascii="Arial" w:eastAsia="Times New Roman" w:hAnsi="Arial" w:cs="Arial"/>
                <w:sz w:val="15"/>
                <w:szCs w:val="15"/>
              </w:rPr>
              <w:t>True</w:t>
            </w:r>
          </w:p>
        </w:tc>
        <w:tc>
          <w:tcPr>
            <w:tcW w:w="1462" w:type="pct"/>
            <w:hideMark/>
          </w:tcPr>
          <w:p w:rsidR="00030687" w:rsidRPr="002843F3" w:rsidRDefault="00030687" w:rsidP="0018448C">
            <w:pPr>
              <w:jc w:val="center"/>
              <w:cnfStyle w:val="100000000000"/>
              <w:rPr>
                <w:rFonts w:ascii="Arial" w:eastAsia="Times New Roman" w:hAnsi="Arial" w:cs="Arial"/>
                <w:b w:val="0"/>
                <w:bCs w:val="0"/>
                <w:sz w:val="15"/>
                <w:szCs w:val="15"/>
              </w:rPr>
            </w:pPr>
            <w:r w:rsidRPr="002843F3">
              <w:rPr>
                <w:rFonts w:ascii="Arial" w:eastAsia="Times New Roman" w:hAnsi="Arial" w:cs="Arial"/>
                <w:sz w:val="15"/>
                <w:szCs w:val="15"/>
              </w:rPr>
              <w:t>False</w:t>
            </w:r>
          </w:p>
        </w:tc>
        <w:tc>
          <w:tcPr>
            <w:tcW w:w="1311" w:type="pct"/>
            <w:hideMark/>
          </w:tcPr>
          <w:p w:rsidR="00030687" w:rsidRPr="002843F3" w:rsidRDefault="00030687" w:rsidP="0018448C">
            <w:pPr>
              <w:jc w:val="center"/>
              <w:cnfStyle w:val="100000000000"/>
              <w:rPr>
                <w:rFonts w:ascii="Arial" w:eastAsia="Times New Roman" w:hAnsi="Arial" w:cs="Arial"/>
                <w:b w:val="0"/>
                <w:bCs w:val="0"/>
                <w:sz w:val="15"/>
                <w:szCs w:val="15"/>
              </w:rPr>
            </w:pPr>
            <w:r w:rsidRPr="002843F3">
              <w:rPr>
                <w:rFonts w:ascii="Arial" w:eastAsia="Times New Roman" w:hAnsi="Arial" w:cs="Arial"/>
                <w:sz w:val="15"/>
                <w:szCs w:val="15"/>
              </w:rPr>
              <w:t>No Opinion</w:t>
            </w:r>
          </w:p>
        </w:tc>
      </w:tr>
      <w:tr w:rsidR="00030687" w:rsidRPr="002843F3" w:rsidTr="0018448C">
        <w:trPr>
          <w:cnfStyle w:val="00000010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OA means free access for all readers</w:t>
            </w:r>
          </w:p>
        </w:tc>
        <w:tc>
          <w:tcPr>
            <w:tcW w:w="1133" w:type="pct"/>
            <w:hideMark/>
          </w:tcPr>
          <w:p w:rsidR="00030687" w:rsidRPr="002843F3" w:rsidRDefault="00030687" w:rsidP="0018448C">
            <w:pPr>
              <w:jc w:val="center"/>
              <w:cnfStyle w:val="000000100000"/>
              <w:rPr>
                <w:rFonts w:ascii="Arial" w:eastAsia="Times New Roman" w:hAnsi="Arial" w:cs="Arial"/>
                <w:sz w:val="15"/>
                <w:szCs w:val="15"/>
              </w:rPr>
            </w:pPr>
          </w:p>
        </w:tc>
        <w:tc>
          <w:tcPr>
            <w:tcW w:w="1462" w:type="pct"/>
            <w:hideMark/>
          </w:tcPr>
          <w:p w:rsidR="00030687" w:rsidRPr="002843F3" w:rsidRDefault="00030687" w:rsidP="0018448C">
            <w:pPr>
              <w:jc w:val="center"/>
              <w:cnfStyle w:val="000000100000"/>
              <w:rPr>
                <w:rFonts w:ascii="Arial" w:eastAsia="Times New Roman" w:hAnsi="Arial" w:cs="Arial"/>
                <w:sz w:val="15"/>
                <w:szCs w:val="15"/>
              </w:rPr>
            </w:pPr>
          </w:p>
        </w:tc>
        <w:tc>
          <w:tcPr>
            <w:tcW w:w="1311" w:type="pct"/>
            <w:hideMark/>
          </w:tcPr>
          <w:p w:rsidR="00030687" w:rsidRPr="002843F3" w:rsidRDefault="00030687" w:rsidP="0018448C">
            <w:pPr>
              <w:jc w:val="center"/>
              <w:cnfStyle w:val="000000100000"/>
              <w:rPr>
                <w:rFonts w:ascii="Arial" w:eastAsia="Times New Roman" w:hAnsi="Arial" w:cs="Arial"/>
                <w:sz w:val="15"/>
                <w:szCs w:val="15"/>
              </w:rPr>
            </w:pPr>
          </w:p>
        </w:tc>
      </w:tr>
      <w:tr w:rsidR="00030687" w:rsidRPr="002843F3" w:rsidTr="0018448C">
        <w:trPr>
          <w:cnfStyle w:val="00000001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OA journals have faster publication times</w:t>
            </w:r>
          </w:p>
        </w:tc>
        <w:tc>
          <w:tcPr>
            <w:tcW w:w="1133" w:type="pct"/>
            <w:hideMark/>
          </w:tcPr>
          <w:p w:rsidR="00030687" w:rsidRPr="002843F3" w:rsidRDefault="00030687" w:rsidP="0018448C">
            <w:pPr>
              <w:jc w:val="center"/>
              <w:cnfStyle w:val="000000010000"/>
              <w:rPr>
                <w:rFonts w:ascii="Arial" w:eastAsia="Times New Roman" w:hAnsi="Arial" w:cs="Arial"/>
                <w:sz w:val="15"/>
                <w:szCs w:val="15"/>
              </w:rPr>
            </w:pPr>
          </w:p>
        </w:tc>
        <w:tc>
          <w:tcPr>
            <w:tcW w:w="1462" w:type="pct"/>
            <w:hideMark/>
          </w:tcPr>
          <w:p w:rsidR="00030687" w:rsidRPr="002843F3" w:rsidRDefault="00030687" w:rsidP="0018448C">
            <w:pPr>
              <w:jc w:val="center"/>
              <w:cnfStyle w:val="000000010000"/>
              <w:rPr>
                <w:rFonts w:ascii="Arial" w:eastAsia="Times New Roman" w:hAnsi="Arial" w:cs="Arial"/>
                <w:sz w:val="15"/>
                <w:szCs w:val="15"/>
              </w:rPr>
            </w:pPr>
          </w:p>
        </w:tc>
        <w:tc>
          <w:tcPr>
            <w:tcW w:w="1311" w:type="pct"/>
            <w:hideMark/>
          </w:tcPr>
          <w:p w:rsidR="00030687" w:rsidRPr="002843F3" w:rsidRDefault="00030687" w:rsidP="0018448C">
            <w:pPr>
              <w:jc w:val="center"/>
              <w:cnfStyle w:val="000000010000"/>
              <w:rPr>
                <w:rFonts w:ascii="Arial" w:eastAsia="Times New Roman" w:hAnsi="Arial" w:cs="Arial"/>
                <w:sz w:val="15"/>
                <w:szCs w:val="15"/>
              </w:rPr>
            </w:pPr>
          </w:p>
        </w:tc>
      </w:tr>
      <w:tr w:rsidR="00030687" w:rsidRPr="002843F3" w:rsidTr="0018448C">
        <w:trPr>
          <w:cnfStyle w:val="00000010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Readership will be larger</w:t>
            </w:r>
          </w:p>
        </w:tc>
        <w:tc>
          <w:tcPr>
            <w:tcW w:w="1133" w:type="pct"/>
            <w:hideMark/>
          </w:tcPr>
          <w:p w:rsidR="00030687" w:rsidRPr="002843F3" w:rsidRDefault="00030687" w:rsidP="0018448C">
            <w:pPr>
              <w:jc w:val="center"/>
              <w:cnfStyle w:val="000000100000"/>
              <w:rPr>
                <w:rFonts w:ascii="Arial" w:eastAsia="Times New Roman" w:hAnsi="Arial" w:cs="Arial"/>
                <w:sz w:val="15"/>
                <w:szCs w:val="15"/>
              </w:rPr>
            </w:pPr>
          </w:p>
        </w:tc>
        <w:tc>
          <w:tcPr>
            <w:tcW w:w="1462" w:type="pct"/>
            <w:hideMark/>
          </w:tcPr>
          <w:p w:rsidR="00030687" w:rsidRPr="002843F3" w:rsidRDefault="00030687" w:rsidP="0018448C">
            <w:pPr>
              <w:jc w:val="center"/>
              <w:cnfStyle w:val="000000100000"/>
              <w:rPr>
                <w:rFonts w:ascii="Arial" w:eastAsia="Times New Roman" w:hAnsi="Arial" w:cs="Arial"/>
                <w:sz w:val="15"/>
                <w:szCs w:val="15"/>
              </w:rPr>
            </w:pPr>
          </w:p>
        </w:tc>
        <w:tc>
          <w:tcPr>
            <w:tcW w:w="1311" w:type="pct"/>
            <w:hideMark/>
          </w:tcPr>
          <w:p w:rsidR="00030687" w:rsidRPr="002843F3" w:rsidRDefault="00030687" w:rsidP="0018448C">
            <w:pPr>
              <w:jc w:val="center"/>
              <w:cnfStyle w:val="000000100000"/>
              <w:rPr>
                <w:rFonts w:ascii="Arial" w:eastAsia="Times New Roman" w:hAnsi="Arial" w:cs="Arial"/>
                <w:sz w:val="15"/>
                <w:szCs w:val="15"/>
              </w:rPr>
            </w:pPr>
          </w:p>
        </w:tc>
      </w:tr>
      <w:tr w:rsidR="00030687" w:rsidRPr="002843F3" w:rsidTr="0018448C">
        <w:trPr>
          <w:cnfStyle w:val="00000001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Articles will be more frequently cited</w:t>
            </w:r>
          </w:p>
        </w:tc>
        <w:tc>
          <w:tcPr>
            <w:tcW w:w="1133" w:type="pct"/>
            <w:hideMark/>
          </w:tcPr>
          <w:p w:rsidR="00030687" w:rsidRPr="002843F3" w:rsidRDefault="00030687" w:rsidP="0018448C">
            <w:pPr>
              <w:jc w:val="center"/>
              <w:cnfStyle w:val="000000010000"/>
              <w:rPr>
                <w:rFonts w:ascii="Arial" w:eastAsia="Times New Roman" w:hAnsi="Arial" w:cs="Arial"/>
                <w:sz w:val="15"/>
                <w:szCs w:val="15"/>
              </w:rPr>
            </w:pPr>
          </w:p>
        </w:tc>
        <w:tc>
          <w:tcPr>
            <w:tcW w:w="1462" w:type="pct"/>
            <w:hideMark/>
          </w:tcPr>
          <w:p w:rsidR="00030687" w:rsidRPr="002843F3" w:rsidRDefault="00030687" w:rsidP="0018448C">
            <w:pPr>
              <w:jc w:val="center"/>
              <w:cnfStyle w:val="000000010000"/>
              <w:rPr>
                <w:rFonts w:ascii="Arial" w:eastAsia="Times New Roman" w:hAnsi="Arial" w:cs="Arial"/>
                <w:sz w:val="15"/>
                <w:szCs w:val="15"/>
              </w:rPr>
            </w:pPr>
          </w:p>
        </w:tc>
        <w:tc>
          <w:tcPr>
            <w:tcW w:w="1311" w:type="pct"/>
            <w:hideMark/>
          </w:tcPr>
          <w:p w:rsidR="00030687" w:rsidRPr="002843F3" w:rsidRDefault="00030687" w:rsidP="0018448C">
            <w:pPr>
              <w:jc w:val="center"/>
              <w:cnfStyle w:val="000000010000"/>
              <w:rPr>
                <w:rFonts w:ascii="Arial" w:eastAsia="Times New Roman" w:hAnsi="Arial" w:cs="Arial"/>
                <w:sz w:val="15"/>
                <w:szCs w:val="15"/>
              </w:rPr>
            </w:pPr>
          </w:p>
        </w:tc>
      </w:tr>
      <w:tr w:rsidR="00030687" w:rsidRPr="002843F3" w:rsidTr="0018448C">
        <w:trPr>
          <w:cnfStyle w:val="00000010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OA publishing will help reduce cost of publication subscriptions</w:t>
            </w:r>
          </w:p>
        </w:tc>
        <w:tc>
          <w:tcPr>
            <w:tcW w:w="1133" w:type="pct"/>
            <w:hideMark/>
          </w:tcPr>
          <w:p w:rsidR="00030687" w:rsidRPr="002843F3" w:rsidRDefault="00030687" w:rsidP="0018448C">
            <w:pPr>
              <w:jc w:val="center"/>
              <w:cnfStyle w:val="000000100000"/>
              <w:rPr>
                <w:rFonts w:ascii="Arial" w:eastAsia="Times New Roman" w:hAnsi="Arial" w:cs="Arial"/>
                <w:sz w:val="15"/>
                <w:szCs w:val="15"/>
              </w:rPr>
            </w:pPr>
          </w:p>
        </w:tc>
        <w:tc>
          <w:tcPr>
            <w:tcW w:w="1462" w:type="pct"/>
            <w:hideMark/>
          </w:tcPr>
          <w:p w:rsidR="00030687" w:rsidRPr="002843F3" w:rsidRDefault="00030687" w:rsidP="0018448C">
            <w:pPr>
              <w:jc w:val="center"/>
              <w:cnfStyle w:val="000000100000"/>
              <w:rPr>
                <w:rFonts w:ascii="Arial" w:eastAsia="Times New Roman" w:hAnsi="Arial" w:cs="Arial"/>
                <w:sz w:val="15"/>
                <w:szCs w:val="15"/>
              </w:rPr>
            </w:pPr>
          </w:p>
        </w:tc>
        <w:tc>
          <w:tcPr>
            <w:tcW w:w="1311" w:type="pct"/>
            <w:hideMark/>
          </w:tcPr>
          <w:p w:rsidR="00030687" w:rsidRPr="002843F3" w:rsidRDefault="00030687" w:rsidP="0018448C">
            <w:pPr>
              <w:jc w:val="center"/>
              <w:cnfStyle w:val="000000100000"/>
              <w:rPr>
                <w:rFonts w:ascii="Arial" w:eastAsia="Times New Roman" w:hAnsi="Arial" w:cs="Arial"/>
                <w:sz w:val="15"/>
                <w:szCs w:val="15"/>
              </w:rPr>
            </w:pPr>
          </w:p>
        </w:tc>
      </w:tr>
      <w:tr w:rsidR="00030687" w:rsidRPr="002843F3" w:rsidTr="0018448C">
        <w:trPr>
          <w:cnfStyle w:val="00000001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OA journals are less prestigious than subscription based journals</w:t>
            </w:r>
          </w:p>
        </w:tc>
        <w:tc>
          <w:tcPr>
            <w:tcW w:w="1133" w:type="pct"/>
            <w:hideMark/>
          </w:tcPr>
          <w:p w:rsidR="00030687" w:rsidRPr="002843F3" w:rsidRDefault="00030687" w:rsidP="0018448C">
            <w:pPr>
              <w:jc w:val="center"/>
              <w:cnfStyle w:val="000000010000"/>
              <w:rPr>
                <w:rFonts w:ascii="Arial" w:eastAsia="Times New Roman" w:hAnsi="Arial" w:cs="Arial"/>
                <w:sz w:val="15"/>
                <w:szCs w:val="15"/>
              </w:rPr>
            </w:pPr>
          </w:p>
        </w:tc>
        <w:tc>
          <w:tcPr>
            <w:tcW w:w="1462" w:type="pct"/>
            <w:hideMark/>
          </w:tcPr>
          <w:p w:rsidR="00030687" w:rsidRPr="002843F3" w:rsidRDefault="00030687" w:rsidP="0018448C">
            <w:pPr>
              <w:jc w:val="center"/>
              <w:cnfStyle w:val="000000010000"/>
              <w:rPr>
                <w:rFonts w:ascii="Arial" w:eastAsia="Times New Roman" w:hAnsi="Arial" w:cs="Arial"/>
                <w:sz w:val="15"/>
                <w:szCs w:val="15"/>
              </w:rPr>
            </w:pPr>
          </w:p>
        </w:tc>
        <w:tc>
          <w:tcPr>
            <w:tcW w:w="1311" w:type="pct"/>
            <w:hideMark/>
          </w:tcPr>
          <w:p w:rsidR="00030687" w:rsidRPr="002843F3" w:rsidRDefault="00030687" w:rsidP="0018448C">
            <w:pPr>
              <w:jc w:val="center"/>
              <w:cnfStyle w:val="000000010000"/>
              <w:rPr>
                <w:rFonts w:ascii="Arial" w:eastAsia="Times New Roman" w:hAnsi="Arial" w:cs="Arial"/>
                <w:sz w:val="15"/>
                <w:szCs w:val="15"/>
              </w:rPr>
            </w:pPr>
          </w:p>
        </w:tc>
      </w:tr>
      <w:tr w:rsidR="00030687" w:rsidRPr="002843F3" w:rsidTr="0018448C">
        <w:trPr>
          <w:cnfStyle w:val="00000010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OA journals will not be properly archived</w:t>
            </w:r>
          </w:p>
        </w:tc>
        <w:tc>
          <w:tcPr>
            <w:tcW w:w="1133" w:type="pct"/>
            <w:hideMark/>
          </w:tcPr>
          <w:p w:rsidR="00030687" w:rsidRPr="002843F3" w:rsidRDefault="00030687" w:rsidP="0018448C">
            <w:pPr>
              <w:jc w:val="center"/>
              <w:cnfStyle w:val="000000100000"/>
              <w:rPr>
                <w:rFonts w:ascii="Arial" w:eastAsia="Times New Roman" w:hAnsi="Arial" w:cs="Arial"/>
                <w:sz w:val="15"/>
                <w:szCs w:val="15"/>
              </w:rPr>
            </w:pPr>
          </w:p>
        </w:tc>
        <w:tc>
          <w:tcPr>
            <w:tcW w:w="1462" w:type="pct"/>
            <w:hideMark/>
          </w:tcPr>
          <w:p w:rsidR="00030687" w:rsidRPr="002843F3" w:rsidRDefault="00030687" w:rsidP="0018448C">
            <w:pPr>
              <w:jc w:val="center"/>
              <w:cnfStyle w:val="000000100000"/>
              <w:rPr>
                <w:rFonts w:ascii="Arial" w:eastAsia="Times New Roman" w:hAnsi="Arial" w:cs="Arial"/>
                <w:sz w:val="15"/>
                <w:szCs w:val="15"/>
              </w:rPr>
            </w:pPr>
          </w:p>
        </w:tc>
        <w:tc>
          <w:tcPr>
            <w:tcW w:w="1311" w:type="pct"/>
            <w:hideMark/>
          </w:tcPr>
          <w:p w:rsidR="00030687" w:rsidRPr="002843F3" w:rsidRDefault="00030687" w:rsidP="0018448C">
            <w:pPr>
              <w:jc w:val="center"/>
              <w:cnfStyle w:val="000000100000"/>
              <w:rPr>
                <w:rFonts w:ascii="Arial" w:eastAsia="Times New Roman" w:hAnsi="Arial" w:cs="Arial"/>
                <w:sz w:val="15"/>
                <w:szCs w:val="15"/>
              </w:rPr>
            </w:pPr>
          </w:p>
        </w:tc>
      </w:tr>
      <w:tr w:rsidR="00030687" w:rsidRPr="002843F3" w:rsidTr="0018448C">
        <w:trPr>
          <w:cnfStyle w:val="00000001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OA journals may adversely affect the viability of scholarly societies</w:t>
            </w:r>
          </w:p>
        </w:tc>
        <w:tc>
          <w:tcPr>
            <w:tcW w:w="1133" w:type="pct"/>
            <w:hideMark/>
          </w:tcPr>
          <w:p w:rsidR="00030687" w:rsidRPr="002843F3" w:rsidRDefault="00030687" w:rsidP="0018448C">
            <w:pPr>
              <w:jc w:val="center"/>
              <w:cnfStyle w:val="000000010000"/>
              <w:rPr>
                <w:rFonts w:ascii="Arial" w:eastAsia="Times New Roman" w:hAnsi="Arial" w:cs="Arial"/>
                <w:sz w:val="15"/>
                <w:szCs w:val="15"/>
              </w:rPr>
            </w:pPr>
          </w:p>
        </w:tc>
        <w:tc>
          <w:tcPr>
            <w:tcW w:w="1462" w:type="pct"/>
            <w:hideMark/>
          </w:tcPr>
          <w:p w:rsidR="00030687" w:rsidRPr="002843F3" w:rsidRDefault="00030687" w:rsidP="0018448C">
            <w:pPr>
              <w:jc w:val="center"/>
              <w:cnfStyle w:val="000000010000"/>
              <w:rPr>
                <w:rFonts w:ascii="Arial" w:eastAsia="Times New Roman" w:hAnsi="Arial" w:cs="Arial"/>
                <w:sz w:val="15"/>
                <w:szCs w:val="15"/>
              </w:rPr>
            </w:pPr>
          </w:p>
        </w:tc>
        <w:tc>
          <w:tcPr>
            <w:tcW w:w="1311" w:type="pct"/>
            <w:hideMark/>
          </w:tcPr>
          <w:p w:rsidR="00030687" w:rsidRPr="002843F3" w:rsidRDefault="00030687" w:rsidP="0018448C">
            <w:pPr>
              <w:jc w:val="center"/>
              <w:cnfStyle w:val="000000010000"/>
              <w:rPr>
                <w:rFonts w:ascii="Arial" w:eastAsia="Times New Roman" w:hAnsi="Arial" w:cs="Arial"/>
                <w:sz w:val="15"/>
                <w:szCs w:val="15"/>
              </w:rPr>
            </w:pPr>
          </w:p>
        </w:tc>
      </w:tr>
      <w:tr w:rsidR="00030687" w:rsidRPr="002843F3" w:rsidTr="0018448C">
        <w:trPr>
          <w:cnfStyle w:val="00000010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May adversely affect chances at promotion</w:t>
            </w:r>
          </w:p>
        </w:tc>
        <w:tc>
          <w:tcPr>
            <w:tcW w:w="1133" w:type="pct"/>
            <w:hideMark/>
          </w:tcPr>
          <w:p w:rsidR="00030687" w:rsidRPr="002843F3" w:rsidRDefault="00030687" w:rsidP="0018448C">
            <w:pPr>
              <w:jc w:val="center"/>
              <w:cnfStyle w:val="000000100000"/>
              <w:rPr>
                <w:rFonts w:ascii="Arial" w:eastAsia="Times New Roman" w:hAnsi="Arial" w:cs="Arial"/>
                <w:sz w:val="15"/>
                <w:szCs w:val="15"/>
              </w:rPr>
            </w:pPr>
          </w:p>
        </w:tc>
        <w:tc>
          <w:tcPr>
            <w:tcW w:w="1462" w:type="pct"/>
            <w:hideMark/>
          </w:tcPr>
          <w:p w:rsidR="00030687" w:rsidRPr="002843F3" w:rsidRDefault="00030687" w:rsidP="0018448C">
            <w:pPr>
              <w:jc w:val="center"/>
              <w:cnfStyle w:val="000000100000"/>
              <w:rPr>
                <w:rFonts w:ascii="Arial" w:eastAsia="Times New Roman" w:hAnsi="Arial" w:cs="Arial"/>
                <w:sz w:val="15"/>
                <w:szCs w:val="15"/>
              </w:rPr>
            </w:pPr>
          </w:p>
        </w:tc>
        <w:tc>
          <w:tcPr>
            <w:tcW w:w="1311" w:type="pct"/>
            <w:hideMark/>
          </w:tcPr>
          <w:p w:rsidR="00030687" w:rsidRPr="002843F3" w:rsidRDefault="00030687" w:rsidP="0018448C">
            <w:pPr>
              <w:jc w:val="center"/>
              <w:cnfStyle w:val="000000100000"/>
              <w:rPr>
                <w:rFonts w:ascii="Arial" w:eastAsia="Times New Roman" w:hAnsi="Arial" w:cs="Arial"/>
                <w:sz w:val="15"/>
                <w:szCs w:val="15"/>
              </w:rPr>
            </w:pPr>
          </w:p>
        </w:tc>
      </w:tr>
      <w:tr w:rsidR="00030687" w:rsidRPr="002843F3" w:rsidTr="0018448C">
        <w:trPr>
          <w:cnfStyle w:val="000000010000"/>
        </w:trPr>
        <w:tc>
          <w:tcPr>
            <w:cnfStyle w:val="001000000000"/>
            <w:tcW w:w="0" w:type="auto"/>
            <w:hideMark/>
          </w:tcPr>
          <w:p w:rsidR="00030687" w:rsidRPr="002843F3" w:rsidRDefault="00030687" w:rsidP="0018448C">
            <w:pPr>
              <w:rPr>
                <w:rFonts w:ascii="Arial" w:eastAsia="Times New Roman" w:hAnsi="Arial" w:cs="Arial"/>
                <w:b w:val="0"/>
                <w:bCs w:val="0"/>
                <w:sz w:val="15"/>
                <w:szCs w:val="15"/>
              </w:rPr>
            </w:pPr>
            <w:r w:rsidRPr="002843F3">
              <w:rPr>
                <w:rFonts w:ascii="Arial" w:eastAsia="Times New Roman" w:hAnsi="Arial" w:cs="Arial"/>
                <w:sz w:val="15"/>
                <w:szCs w:val="15"/>
              </w:rPr>
              <w:t>OA journals are usually not Peer Reviewed</w:t>
            </w:r>
          </w:p>
        </w:tc>
        <w:tc>
          <w:tcPr>
            <w:tcW w:w="1133" w:type="pct"/>
            <w:hideMark/>
          </w:tcPr>
          <w:p w:rsidR="00030687" w:rsidRPr="002843F3" w:rsidRDefault="00030687" w:rsidP="0018448C">
            <w:pPr>
              <w:jc w:val="center"/>
              <w:cnfStyle w:val="000000010000"/>
              <w:rPr>
                <w:rFonts w:ascii="Arial" w:eastAsia="Times New Roman" w:hAnsi="Arial" w:cs="Arial"/>
                <w:sz w:val="15"/>
                <w:szCs w:val="15"/>
              </w:rPr>
            </w:pPr>
          </w:p>
        </w:tc>
        <w:tc>
          <w:tcPr>
            <w:tcW w:w="1462" w:type="pct"/>
            <w:hideMark/>
          </w:tcPr>
          <w:p w:rsidR="00030687" w:rsidRPr="002843F3" w:rsidRDefault="00030687" w:rsidP="0018448C">
            <w:pPr>
              <w:jc w:val="center"/>
              <w:cnfStyle w:val="000000010000"/>
              <w:rPr>
                <w:rFonts w:ascii="Arial" w:eastAsia="Times New Roman" w:hAnsi="Arial" w:cs="Arial"/>
                <w:sz w:val="15"/>
                <w:szCs w:val="15"/>
              </w:rPr>
            </w:pPr>
          </w:p>
        </w:tc>
        <w:tc>
          <w:tcPr>
            <w:tcW w:w="1311" w:type="pct"/>
            <w:hideMark/>
          </w:tcPr>
          <w:p w:rsidR="00030687" w:rsidRPr="002843F3" w:rsidRDefault="00030687" w:rsidP="0018448C">
            <w:pPr>
              <w:jc w:val="center"/>
              <w:cnfStyle w:val="000000010000"/>
              <w:rPr>
                <w:rFonts w:ascii="Arial" w:eastAsia="Times New Roman" w:hAnsi="Arial" w:cs="Arial"/>
                <w:sz w:val="15"/>
                <w:szCs w:val="15"/>
              </w:rPr>
            </w:pPr>
          </w:p>
        </w:tc>
      </w:tr>
    </w:tbl>
    <w:p w:rsidR="00030687" w:rsidRPr="002843F3" w:rsidRDefault="00030687" w:rsidP="00030687">
      <w:pPr>
        <w:spacing w:before="100" w:beforeAutospacing="1" w:after="270" w:line="240" w:lineRule="auto"/>
        <w:ind w:left="720"/>
        <w:outlineLvl w:val="2"/>
        <w:rPr>
          <w:rFonts w:ascii="Arial" w:eastAsia="Times New Roman" w:hAnsi="Arial" w:cs="Arial"/>
          <w:b/>
          <w:bCs/>
          <w:sz w:val="16"/>
          <w:szCs w:val="16"/>
        </w:rPr>
      </w:pPr>
    </w:p>
    <w:p w:rsidR="00030687" w:rsidRPr="002843F3" w:rsidRDefault="00030687" w:rsidP="00030687">
      <w:pPr>
        <w:spacing w:before="100" w:beforeAutospacing="1" w:after="270" w:line="240" w:lineRule="auto"/>
        <w:ind w:left="720"/>
        <w:outlineLvl w:val="2"/>
        <w:rPr>
          <w:rFonts w:ascii="Arial" w:eastAsia="Times New Roman" w:hAnsi="Arial" w:cs="Arial"/>
          <w:b/>
          <w:bCs/>
          <w:sz w:val="16"/>
          <w:szCs w:val="16"/>
        </w:rPr>
      </w:pPr>
      <w:r w:rsidRPr="002843F3">
        <w:rPr>
          <w:rFonts w:ascii="Arial" w:eastAsia="Times New Roman" w:hAnsi="Arial" w:cs="Arial"/>
          <w:b/>
          <w:bCs/>
          <w:sz w:val="16"/>
          <w:szCs w:val="16"/>
        </w:rPr>
        <w:t xml:space="preserve">12. Some (both OA and non-OA) journals, in the sciences particularly, require author publication fees. </w:t>
      </w:r>
    </w:p>
    <w:tbl>
      <w:tblPr>
        <w:tblStyle w:val="LightGrid1"/>
        <w:tblW w:w="4662" w:type="pct"/>
        <w:tblInd w:w="720" w:type="dxa"/>
        <w:tblLook w:val="04A0"/>
      </w:tblPr>
      <w:tblGrid>
        <w:gridCol w:w="8929"/>
      </w:tblGrid>
      <w:tr w:rsidR="00030687" w:rsidRPr="002843F3" w:rsidTr="0018448C">
        <w:trPr>
          <w:cnfStyle w:val="100000000000"/>
        </w:trPr>
        <w:tc>
          <w:tcPr>
            <w:cnfStyle w:val="001000000000"/>
            <w:tcW w:w="5000" w:type="pct"/>
            <w:hideMark/>
          </w:tcPr>
          <w:p w:rsidR="00030687" w:rsidRPr="002843F3" w:rsidRDefault="00030687" w:rsidP="0018448C">
            <w:pPr>
              <w:rPr>
                <w:rFonts w:ascii="Arial" w:eastAsia="Times New Roman" w:hAnsi="Arial" w:cs="Arial"/>
                <w:sz w:val="15"/>
                <w:szCs w:val="15"/>
              </w:rPr>
            </w:pPr>
            <w:r w:rsidRPr="002843F3">
              <w:rPr>
                <w:rFonts w:ascii="Arial" w:eastAsia="Times New Roman" w:hAnsi="Arial" w:cs="Arial"/>
                <w:sz w:val="15"/>
                <w:szCs w:val="15"/>
              </w:rPr>
              <w:t>I have published in a journal that required author fees</w:t>
            </w:r>
          </w:p>
          <w:p w:rsidR="00030687" w:rsidRPr="002843F3" w:rsidRDefault="00030687" w:rsidP="0018448C">
            <w:pPr>
              <w:rPr>
                <w:rFonts w:ascii="Arial" w:eastAsia="Times New Roman" w:hAnsi="Arial" w:cs="Arial"/>
                <w:sz w:val="15"/>
                <w:szCs w:val="15"/>
              </w:rPr>
            </w:pPr>
            <w:r w:rsidRPr="002843F3">
              <w:rPr>
                <w:rFonts w:ascii="Arial" w:eastAsia="Times New Roman" w:hAnsi="Arial" w:cs="Arial"/>
                <w:sz w:val="15"/>
                <w:szCs w:val="15"/>
              </w:rPr>
              <w:t>I would do it if a funding agency or institution paid for it</w:t>
            </w:r>
          </w:p>
          <w:p w:rsidR="00030687" w:rsidRPr="002843F3" w:rsidRDefault="00030687" w:rsidP="0018448C">
            <w:pPr>
              <w:rPr>
                <w:rFonts w:ascii="Times New Roman" w:eastAsia="Times New Roman" w:hAnsi="Times New Roman" w:cs="Times New Roman"/>
                <w:sz w:val="15"/>
                <w:szCs w:val="15"/>
              </w:rPr>
            </w:pPr>
            <w:r w:rsidRPr="002843F3">
              <w:rPr>
                <w:rFonts w:ascii="Arial" w:eastAsia="Times New Roman" w:hAnsi="Arial" w:cs="Arial"/>
                <w:sz w:val="15"/>
                <w:szCs w:val="15"/>
              </w:rPr>
              <w:t>I would not publish in a journal that requires publication fees</w:t>
            </w:r>
          </w:p>
        </w:tc>
      </w:tr>
    </w:tbl>
    <w:p w:rsidR="00030687" w:rsidRDefault="00030687" w:rsidP="00030687">
      <w:pPr>
        <w:spacing w:before="100" w:beforeAutospacing="1" w:after="270" w:line="240" w:lineRule="auto"/>
        <w:ind w:left="720"/>
        <w:outlineLvl w:val="2"/>
        <w:rPr>
          <w:rFonts w:ascii="Arial" w:eastAsia="Times New Roman" w:hAnsi="Arial" w:cs="Arial"/>
          <w:b/>
          <w:bCs/>
          <w:sz w:val="16"/>
          <w:szCs w:val="16"/>
        </w:rPr>
      </w:pPr>
    </w:p>
    <w:p w:rsidR="00030687" w:rsidRPr="002843F3" w:rsidRDefault="00030687" w:rsidP="00030687">
      <w:pPr>
        <w:spacing w:before="100" w:beforeAutospacing="1" w:after="270" w:line="240" w:lineRule="auto"/>
        <w:ind w:left="720"/>
        <w:outlineLvl w:val="2"/>
        <w:rPr>
          <w:rFonts w:ascii="Arial" w:eastAsia="Times New Roman" w:hAnsi="Arial" w:cs="Arial"/>
          <w:b/>
          <w:bCs/>
          <w:sz w:val="16"/>
          <w:szCs w:val="16"/>
        </w:rPr>
      </w:pPr>
      <w:r w:rsidRPr="002843F3">
        <w:rPr>
          <w:rFonts w:ascii="Arial" w:eastAsia="Times New Roman" w:hAnsi="Arial" w:cs="Arial"/>
          <w:b/>
          <w:bCs/>
          <w:sz w:val="16"/>
          <w:szCs w:val="16"/>
        </w:rPr>
        <w:t xml:space="preserve">13. </w:t>
      </w:r>
      <w:proofErr w:type="gramStart"/>
      <w:r w:rsidRPr="002843F3">
        <w:rPr>
          <w:rFonts w:ascii="Arial" w:eastAsia="Times New Roman" w:hAnsi="Arial" w:cs="Arial"/>
          <w:b/>
          <w:bCs/>
          <w:sz w:val="16"/>
          <w:szCs w:val="16"/>
        </w:rPr>
        <w:t>Of</w:t>
      </w:r>
      <w:proofErr w:type="gramEnd"/>
      <w:r w:rsidRPr="002843F3">
        <w:rPr>
          <w:rFonts w:ascii="Arial" w:eastAsia="Times New Roman" w:hAnsi="Arial" w:cs="Arial"/>
          <w:b/>
          <w:bCs/>
          <w:sz w:val="16"/>
          <w:szCs w:val="16"/>
        </w:rPr>
        <w:t xml:space="preserve"> the choices below, which of these disciplines </w:t>
      </w:r>
      <w:r w:rsidRPr="002843F3">
        <w:rPr>
          <w:rFonts w:ascii="Arial" w:eastAsia="Times New Roman" w:hAnsi="Arial" w:cs="Arial"/>
          <w:b/>
          <w:bCs/>
          <w:i/>
          <w:iCs/>
          <w:sz w:val="16"/>
          <w:szCs w:val="16"/>
        </w:rPr>
        <w:t>most closely</w:t>
      </w:r>
      <w:r w:rsidRPr="002843F3">
        <w:rPr>
          <w:rFonts w:ascii="Arial" w:eastAsia="Times New Roman" w:hAnsi="Arial" w:cs="Arial"/>
          <w:b/>
          <w:bCs/>
          <w:sz w:val="16"/>
          <w:szCs w:val="16"/>
        </w:rPr>
        <w:t xml:space="preserve"> represents your area of research?</w:t>
      </w:r>
    </w:p>
    <w:tbl>
      <w:tblPr>
        <w:tblStyle w:val="LightGrid1"/>
        <w:tblW w:w="4662" w:type="pct"/>
        <w:tblInd w:w="720" w:type="dxa"/>
        <w:tblLook w:val="04A0"/>
      </w:tblPr>
      <w:tblGrid>
        <w:gridCol w:w="8929"/>
      </w:tblGrid>
      <w:tr w:rsidR="00030687" w:rsidRPr="002843F3" w:rsidTr="0018448C">
        <w:trPr>
          <w:cnfStyle w:val="100000000000"/>
        </w:trPr>
        <w:tc>
          <w:tcPr>
            <w:cnfStyle w:val="001000000000"/>
            <w:tcW w:w="5000" w:type="pct"/>
            <w:hideMark/>
          </w:tcPr>
          <w:p w:rsidR="00030687" w:rsidRPr="002843F3" w:rsidRDefault="00030687" w:rsidP="0018448C">
            <w:pPr>
              <w:rPr>
                <w:rFonts w:ascii="Arial" w:eastAsia="Times New Roman" w:hAnsi="Arial" w:cs="Arial"/>
                <w:sz w:val="15"/>
                <w:szCs w:val="15"/>
              </w:rPr>
            </w:pPr>
            <w:r w:rsidRPr="002843F3">
              <w:rPr>
                <w:rFonts w:ascii="Arial" w:eastAsia="Times New Roman" w:hAnsi="Arial" w:cs="Arial"/>
                <w:sz w:val="15"/>
                <w:szCs w:val="15"/>
              </w:rPr>
              <w:t>Psychology</w:t>
            </w:r>
          </w:p>
          <w:p w:rsidR="00030687" w:rsidRPr="002843F3" w:rsidRDefault="00030687" w:rsidP="0018448C">
            <w:pPr>
              <w:rPr>
                <w:rFonts w:ascii="Arial" w:eastAsia="Times New Roman" w:hAnsi="Arial" w:cs="Arial"/>
                <w:sz w:val="15"/>
                <w:szCs w:val="15"/>
              </w:rPr>
            </w:pPr>
            <w:r w:rsidRPr="002843F3">
              <w:rPr>
                <w:rFonts w:ascii="Arial" w:eastAsia="Times New Roman" w:hAnsi="Arial" w:cs="Arial"/>
                <w:sz w:val="15"/>
                <w:szCs w:val="15"/>
              </w:rPr>
              <w:t>Business</w:t>
            </w:r>
          </w:p>
          <w:p w:rsidR="00030687" w:rsidRPr="002843F3" w:rsidRDefault="00030687" w:rsidP="0018448C">
            <w:pPr>
              <w:rPr>
                <w:rFonts w:ascii="Arial" w:eastAsia="Times New Roman" w:hAnsi="Arial" w:cs="Arial"/>
                <w:sz w:val="15"/>
                <w:szCs w:val="15"/>
              </w:rPr>
            </w:pPr>
            <w:r w:rsidRPr="002843F3">
              <w:rPr>
                <w:rFonts w:ascii="Arial" w:eastAsia="Times New Roman" w:hAnsi="Arial" w:cs="Arial"/>
                <w:sz w:val="15"/>
                <w:szCs w:val="15"/>
              </w:rPr>
              <w:t>Music</w:t>
            </w:r>
          </w:p>
          <w:p w:rsidR="00030687" w:rsidRPr="002843F3" w:rsidRDefault="00030687" w:rsidP="0018448C">
            <w:pPr>
              <w:rPr>
                <w:rFonts w:ascii="Times New Roman" w:eastAsia="Times New Roman" w:hAnsi="Times New Roman" w:cs="Times New Roman"/>
                <w:sz w:val="15"/>
                <w:szCs w:val="15"/>
              </w:rPr>
            </w:pPr>
            <w:r w:rsidRPr="002843F3">
              <w:rPr>
                <w:rFonts w:ascii="Arial" w:eastAsia="Times New Roman" w:hAnsi="Arial" w:cs="Arial"/>
                <w:sz w:val="15"/>
                <w:szCs w:val="15"/>
              </w:rPr>
              <w:t>Women’s/Gender Studies (e.g. women's health, activism, arts)</w:t>
            </w:r>
          </w:p>
        </w:tc>
      </w:tr>
    </w:tbl>
    <w:p w:rsidR="00030687" w:rsidRDefault="00030687" w:rsidP="00030687">
      <w:pPr>
        <w:spacing w:before="100" w:beforeAutospacing="1" w:after="100" w:afterAutospacing="1" w:line="240" w:lineRule="auto"/>
        <w:ind w:left="720"/>
        <w:outlineLvl w:val="2"/>
        <w:rPr>
          <w:rFonts w:ascii="Arial" w:eastAsia="Times New Roman" w:hAnsi="Arial" w:cs="Arial"/>
          <w:b/>
          <w:bCs/>
          <w:sz w:val="16"/>
          <w:szCs w:val="16"/>
        </w:rPr>
      </w:pPr>
    </w:p>
    <w:p w:rsidR="00030687" w:rsidRDefault="00030687" w:rsidP="00030687">
      <w:pPr>
        <w:spacing w:before="100" w:beforeAutospacing="1" w:after="100" w:afterAutospacing="1" w:line="240" w:lineRule="auto"/>
        <w:ind w:left="720"/>
        <w:outlineLvl w:val="2"/>
      </w:pPr>
      <w:r w:rsidRPr="002843F3">
        <w:rPr>
          <w:rFonts w:ascii="Arial" w:eastAsia="Times New Roman" w:hAnsi="Arial" w:cs="Arial"/>
          <w:b/>
          <w:bCs/>
          <w:sz w:val="16"/>
          <w:szCs w:val="16"/>
        </w:rPr>
        <w:t>14. Your additional comments are welcome.</w:t>
      </w:r>
    </w:p>
    <w:p w:rsidR="00030687" w:rsidRDefault="00030687" w:rsidP="00030687">
      <w:pPr>
        <w:spacing w:after="0" w:line="240" w:lineRule="auto"/>
        <w:jc w:val="center"/>
        <w:rPr>
          <w:rFonts w:ascii="Arial" w:eastAsia="Times New Roman" w:hAnsi="Arial" w:cs="Arial"/>
          <w:b/>
        </w:rPr>
      </w:pPr>
      <w:r>
        <w:rPr>
          <w:rFonts w:ascii="Arial" w:eastAsia="Times New Roman" w:hAnsi="Arial" w:cs="Arial"/>
          <w:b/>
        </w:rPr>
        <w:lastRenderedPageBreak/>
        <w:t>)</w:t>
      </w:r>
    </w:p>
    <w:p w:rsidR="003913FB" w:rsidRDefault="003913FB"/>
    <w:sectPr w:rsidR="003913FB" w:rsidSect="003913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alt="http://www.surveymonkey.com/img/t.gif" style="width:.75pt;height:.75pt;visibility:visible;mso-wrap-style:square" o:bullet="t">
        <v:imagedata r:id="rId1" o:title="t"/>
      </v:shape>
    </w:pict>
  </w:numPicBullet>
  <w:abstractNum w:abstractNumId="0">
    <w:nsid w:val="60CD6937"/>
    <w:multiLevelType w:val="hybridMultilevel"/>
    <w:tmpl w:val="3AFE6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0718B3"/>
    <w:multiLevelType w:val="hybridMultilevel"/>
    <w:tmpl w:val="9320ACD4"/>
    <w:lvl w:ilvl="0" w:tplc="F4E0D776">
      <w:start w:val="1"/>
      <w:numFmt w:val="bullet"/>
      <w:lvlText w:val=""/>
      <w:lvlPicBulletId w:val="0"/>
      <w:lvlJc w:val="left"/>
      <w:pPr>
        <w:tabs>
          <w:tab w:val="num" w:pos="720"/>
        </w:tabs>
        <w:ind w:left="720" w:hanging="360"/>
      </w:pPr>
      <w:rPr>
        <w:rFonts w:ascii="Symbol" w:hAnsi="Symbol" w:hint="default"/>
      </w:rPr>
    </w:lvl>
    <w:lvl w:ilvl="1" w:tplc="535C6BEC" w:tentative="1">
      <w:start w:val="1"/>
      <w:numFmt w:val="bullet"/>
      <w:lvlText w:val=""/>
      <w:lvlJc w:val="left"/>
      <w:pPr>
        <w:tabs>
          <w:tab w:val="num" w:pos="1440"/>
        </w:tabs>
        <w:ind w:left="1440" w:hanging="360"/>
      </w:pPr>
      <w:rPr>
        <w:rFonts w:ascii="Symbol" w:hAnsi="Symbol" w:hint="default"/>
      </w:rPr>
    </w:lvl>
    <w:lvl w:ilvl="2" w:tplc="AE846DE4" w:tentative="1">
      <w:start w:val="1"/>
      <w:numFmt w:val="bullet"/>
      <w:lvlText w:val=""/>
      <w:lvlJc w:val="left"/>
      <w:pPr>
        <w:tabs>
          <w:tab w:val="num" w:pos="2160"/>
        </w:tabs>
        <w:ind w:left="2160" w:hanging="360"/>
      </w:pPr>
      <w:rPr>
        <w:rFonts w:ascii="Symbol" w:hAnsi="Symbol" w:hint="default"/>
      </w:rPr>
    </w:lvl>
    <w:lvl w:ilvl="3" w:tplc="24C85E08" w:tentative="1">
      <w:start w:val="1"/>
      <w:numFmt w:val="bullet"/>
      <w:lvlText w:val=""/>
      <w:lvlJc w:val="left"/>
      <w:pPr>
        <w:tabs>
          <w:tab w:val="num" w:pos="2880"/>
        </w:tabs>
        <w:ind w:left="2880" w:hanging="360"/>
      </w:pPr>
      <w:rPr>
        <w:rFonts w:ascii="Symbol" w:hAnsi="Symbol" w:hint="default"/>
      </w:rPr>
    </w:lvl>
    <w:lvl w:ilvl="4" w:tplc="CB9C9322" w:tentative="1">
      <w:start w:val="1"/>
      <w:numFmt w:val="bullet"/>
      <w:lvlText w:val=""/>
      <w:lvlJc w:val="left"/>
      <w:pPr>
        <w:tabs>
          <w:tab w:val="num" w:pos="3600"/>
        </w:tabs>
        <w:ind w:left="3600" w:hanging="360"/>
      </w:pPr>
      <w:rPr>
        <w:rFonts w:ascii="Symbol" w:hAnsi="Symbol" w:hint="default"/>
      </w:rPr>
    </w:lvl>
    <w:lvl w:ilvl="5" w:tplc="1A184AEC" w:tentative="1">
      <w:start w:val="1"/>
      <w:numFmt w:val="bullet"/>
      <w:lvlText w:val=""/>
      <w:lvlJc w:val="left"/>
      <w:pPr>
        <w:tabs>
          <w:tab w:val="num" w:pos="4320"/>
        </w:tabs>
        <w:ind w:left="4320" w:hanging="360"/>
      </w:pPr>
      <w:rPr>
        <w:rFonts w:ascii="Symbol" w:hAnsi="Symbol" w:hint="default"/>
      </w:rPr>
    </w:lvl>
    <w:lvl w:ilvl="6" w:tplc="9B56DFCE" w:tentative="1">
      <w:start w:val="1"/>
      <w:numFmt w:val="bullet"/>
      <w:lvlText w:val=""/>
      <w:lvlJc w:val="left"/>
      <w:pPr>
        <w:tabs>
          <w:tab w:val="num" w:pos="5040"/>
        </w:tabs>
        <w:ind w:left="5040" w:hanging="360"/>
      </w:pPr>
      <w:rPr>
        <w:rFonts w:ascii="Symbol" w:hAnsi="Symbol" w:hint="default"/>
      </w:rPr>
    </w:lvl>
    <w:lvl w:ilvl="7" w:tplc="79961680" w:tentative="1">
      <w:start w:val="1"/>
      <w:numFmt w:val="bullet"/>
      <w:lvlText w:val=""/>
      <w:lvlJc w:val="left"/>
      <w:pPr>
        <w:tabs>
          <w:tab w:val="num" w:pos="5760"/>
        </w:tabs>
        <w:ind w:left="5760" w:hanging="360"/>
      </w:pPr>
      <w:rPr>
        <w:rFonts w:ascii="Symbol" w:hAnsi="Symbol" w:hint="default"/>
      </w:rPr>
    </w:lvl>
    <w:lvl w:ilvl="8" w:tplc="9ACACE7C"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30687"/>
    <w:rsid w:val="00030687"/>
    <w:rsid w:val="000B3B91"/>
    <w:rsid w:val="003913FB"/>
    <w:rsid w:val="004F11E7"/>
    <w:rsid w:val="00566C20"/>
    <w:rsid w:val="00CA0DA3"/>
    <w:rsid w:val="00EF64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687"/>
  </w:style>
  <w:style w:type="paragraph" w:styleId="Heading3">
    <w:name w:val="heading 3"/>
    <w:basedOn w:val="Normal"/>
    <w:link w:val="Heading3Char"/>
    <w:uiPriority w:val="9"/>
    <w:qFormat/>
    <w:rsid w:val="000306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0687"/>
    <w:rPr>
      <w:color w:val="0000FF"/>
      <w:u w:val="single"/>
    </w:rPr>
  </w:style>
  <w:style w:type="paragraph" w:styleId="ListParagraph">
    <w:name w:val="List Paragraph"/>
    <w:basedOn w:val="Normal"/>
    <w:uiPriority w:val="34"/>
    <w:qFormat/>
    <w:rsid w:val="000306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30687"/>
    <w:rPr>
      <w:rFonts w:ascii="Times New Roman" w:eastAsia="Times New Roman" w:hAnsi="Times New Roman" w:cs="Times New Roman"/>
      <w:b/>
      <w:bCs/>
      <w:sz w:val="27"/>
      <w:szCs w:val="27"/>
    </w:rPr>
  </w:style>
  <w:style w:type="character" w:customStyle="1" w:styleId="qlabel">
    <w:name w:val="qlabel"/>
    <w:basedOn w:val="DefaultParagraphFont"/>
    <w:rsid w:val="00030687"/>
  </w:style>
  <w:style w:type="table" w:customStyle="1" w:styleId="LightGrid1">
    <w:name w:val="Light Grid1"/>
    <w:basedOn w:val="TableNormal"/>
    <w:uiPriority w:val="62"/>
    <w:rsid w:val="0003068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0306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6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437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www.earlham.edu/~peters/fos/timeline.htm" TargetMode="External"/><Relationship Id="rId1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www.doaj.org" TargetMode="External"/><Relationship Id="rId17" Type="http://schemas.openxmlformats.org/officeDocument/2006/relationships/hyperlink" Target="http://caltechbook.library.caltech.edu/" TargetMode="External"/><Relationship Id="rId2" Type="http://schemas.openxmlformats.org/officeDocument/2006/relationships/styles" Target="styles.xml"/><Relationship Id="rId16" Type="http://schemas.openxmlformats.org/officeDocument/2006/relationships/hyperlink" Target="http://www.earlham.edu/~peters/fos/timeline.ht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medfordl@ecu.edu" TargetMode="External"/><Relationship Id="rId11" Type="http://schemas.openxmlformats.org/officeDocument/2006/relationships/chart" Target="charts/chart5.xml"/><Relationship Id="rId5" Type="http://schemas.openxmlformats.org/officeDocument/2006/relationships/hyperlink" Target="mailto:coonin@ecu.edu" TargetMode="External"/><Relationship Id="rId15" Type="http://schemas.openxmlformats.org/officeDocument/2006/relationships/hyperlink" Target="http://www.jisc.ac.uk/media/documents/themes/infoenvironment/acf655.pdf" TargetMode="External"/><Relationship Id="rId10" Type="http://schemas.openxmlformats.org/officeDocument/2006/relationships/chart" Target="charts/chart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hyperlink" Target="http://www.soros.org/openaccess/read/s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piratedrive\facultystaff\COONINB\Leigh%20&amp;%20Bryna's%20final%20article%20files\Figure%201%20Respondents%20By%20Disciplin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piratedrive\facultystaff\COONINB\Leigh%20&amp;%20Bryna's%20final%20article%20files\Figure%202%20Decision%20Factors%20By%20Discipline%20fina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piratedrive\facultystaff\COONINB\Leigh%20&amp;%20Bryna's%20final%20article%20files\Figure%203%20Acceptability%20of%20Electronic%20Journals%20by%20Discipline%20fina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piratedrive\facultystaff\COONINB\Leigh%20&amp;%20Bryna's%20final%20article%20files\Figure%204%20Importance%20of%20Publication%20Type%20by%20Discipline%20fina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piratedrive\facultystaff\COONINB\Leigh%20&amp;%20Bryna's%20final%20article%20files\Figure%205%20Awareness%20of%20OA%20by%20Age%20fina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7"/>
  <c:chart>
    <c:title>
      <c:tx>
        <c:rich>
          <a:bodyPr/>
          <a:lstStyle/>
          <a:p>
            <a:pPr>
              <a:defRPr sz="1200"/>
            </a:pPr>
            <a:r>
              <a:rPr lang="en-US" sz="1200"/>
              <a:t>Figure 1: Respondents</a:t>
            </a:r>
            <a:r>
              <a:rPr lang="en-US" sz="1200" baseline="0"/>
              <a:t> by Discipline</a:t>
            </a:r>
          </a:p>
          <a:p>
            <a:pPr>
              <a:defRPr sz="1200"/>
            </a:pPr>
            <a:r>
              <a:rPr lang="en-US" sz="1000" b="0" baseline="0"/>
              <a:t>n=339</a:t>
            </a:r>
            <a:endParaRPr lang="en-US" sz="1000" b="0"/>
          </a:p>
        </c:rich>
      </c:tx>
    </c:title>
    <c:plotArea>
      <c:layout>
        <c:manualLayout>
          <c:layoutTarget val="inner"/>
          <c:xMode val="edge"/>
          <c:yMode val="edge"/>
          <c:x val="0.27196708025178257"/>
          <c:y val="0.24064390123558316"/>
          <c:w val="0.45606566738683124"/>
          <c:h val="0.72637103129732805"/>
        </c:manualLayout>
      </c:layout>
      <c:pieChart>
        <c:varyColors val="1"/>
        <c:ser>
          <c:idx val="0"/>
          <c:order val="0"/>
          <c:spPr>
            <a:ln w="47625">
              <a:noFill/>
            </a:ln>
          </c:spPr>
          <c:dPt>
            <c:idx val="0"/>
            <c:spPr>
              <a:solidFill>
                <a:schemeClr val="tx1"/>
              </a:solidFill>
              <a:ln w="47625">
                <a:noFill/>
              </a:ln>
            </c:spPr>
          </c:dPt>
          <c:dLbls>
            <c:dLbl>
              <c:idx val="0"/>
              <c:layout>
                <c:manualLayout>
                  <c:x val="0.1240087562482242"/>
                  <c:y val="-0.1336003234582622"/>
                </c:manualLayout>
              </c:layout>
              <c:tx>
                <c:rich>
                  <a:bodyPr/>
                  <a:lstStyle/>
                  <a:p>
                    <a:r>
                      <a:rPr lang="en-US"/>
                      <a:t>Psychology </a:t>
                    </a:r>
                  </a:p>
                  <a:p>
                    <a:r>
                      <a:rPr lang="en-US"/>
                      <a:t> 58.1%</a:t>
                    </a:r>
                  </a:p>
                </c:rich>
              </c:tx>
              <c:showVal val="1"/>
              <c:showCatName val="1"/>
            </c:dLbl>
            <c:dLbl>
              <c:idx val="1"/>
              <c:layout>
                <c:manualLayout>
                  <c:x val="-7.6541099515322147E-2"/>
                  <c:y val="-1.425628584938632E-2"/>
                </c:manualLayout>
              </c:layout>
              <c:tx>
                <c:rich>
                  <a:bodyPr/>
                  <a:lstStyle/>
                  <a:p>
                    <a:r>
                      <a:rPr lang="en-US"/>
                      <a:t>Business </a:t>
                    </a:r>
                  </a:p>
                  <a:p>
                    <a:r>
                      <a:rPr lang="en-US"/>
                      <a:t> 23.1%</a:t>
                    </a:r>
                  </a:p>
                </c:rich>
              </c:tx>
              <c:showVal val="1"/>
              <c:showCatName val="1"/>
            </c:dLbl>
            <c:dLbl>
              <c:idx val="2"/>
              <c:layout>
                <c:manualLayout>
                  <c:x val="-0.10945069326609126"/>
                  <c:y val="4.1021360580580049E-2"/>
                </c:manualLayout>
              </c:layout>
              <c:tx>
                <c:rich>
                  <a:bodyPr/>
                  <a:lstStyle/>
                  <a:p>
                    <a:r>
                      <a:rPr lang="en-US"/>
                      <a:t>Music     </a:t>
                    </a:r>
                  </a:p>
                  <a:p>
                    <a:r>
                      <a:rPr lang="en-US"/>
                      <a:t> 7.1%</a:t>
                    </a:r>
                  </a:p>
                </c:rich>
              </c:tx>
              <c:showVal val="1"/>
              <c:showCatName val="1"/>
            </c:dLbl>
            <c:dLbl>
              <c:idx val="3"/>
              <c:layout>
                <c:manualLayout>
                  <c:x val="-6.5096413218637378E-2"/>
                  <c:y val="1.9147084421235881E-2"/>
                </c:manualLayout>
              </c:layout>
              <c:tx>
                <c:rich>
                  <a:bodyPr/>
                  <a:lstStyle/>
                  <a:p>
                    <a:r>
                      <a:rPr lang="en-US"/>
                      <a:t>Women's Studies  8.1%</a:t>
                    </a:r>
                  </a:p>
                </c:rich>
              </c:tx>
              <c:showVal val="1"/>
              <c:showCatName val="1"/>
            </c:dLbl>
            <c:dLbl>
              <c:idx val="4"/>
              <c:layout>
                <c:manualLayout>
                  <c:x val="-1.411599946370647E-2"/>
                  <c:y val="-4.8001480232725525E-2"/>
                </c:manualLayout>
              </c:layout>
              <c:tx>
                <c:rich>
                  <a:bodyPr/>
                  <a:lstStyle/>
                  <a:p>
                    <a:pPr>
                      <a:defRPr/>
                    </a:pPr>
                    <a:r>
                      <a:rPr lang="en-US"/>
                      <a:t>Other</a:t>
                    </a:r>
                    <a:r>
                      <a:rPr lang="en-US" baseline="0"/>
                      <a:t>  </a:t>
                    </a:r>
                  </a:p>
                  <a:p>
                    <a:pPr>
                      <a:defRPr/>
                    </a:pPr>
                    <a:r>
                      <a:rPr lang="en-US" baseline="0"/>
                      <a:t>   </a:t>
                    </a:r>
                    <a:r>
                      <a:rPr lang="en-US"/>
                      <a:t>8.50%</a:t>
                    </a:r>
                  </a:p>
                </c:rich>
              </c:tx>
              <c:spPr>
                <a:noFill/>
              </c:spPr>
              <c:showVal val="1"/>
              <c:showCatName val="1"/>
            </c:dLbl>
            <c:showVal val="1"/>
            <c:showCatName val="1"/>
            <c:showLeaderLines val="1"/>
          </c:dLbls>
          <c:cat>
            <c:strRef>
              <c:f>Sheet1!$A$2:$A$6</c:f>
              <c:strCache>
                <c:ptCount val="5"/>
                <c:pt idx="0">
                  <c:v>Psychology </c:v>
                </c:pt>
                <c:pt idx="1">
                  <c:v>Business </c:v>
                </c:pt>
                <c:pt idx="2">
                  <c:v>Music </c:v>
                </c:pt>
                <c:pt idx="3">
                  <c:v>Women's Studies </c:v>
                </c:pt>
                <c:pt idx="4">
                  <c:v>Other</c:v>
                </c:pt>
              </c:strCache>
            </c:strRef>
          </c:cat>
          <c:val>
            <c:numRef>
              <c:f>Sheet1!$B$2:$B$6</c:f>
              <c:numCache>
                <c:formatCode>0.0%</c:formatCode>
                <c:ptCount val="5"/>
                <c:pt idx="0">
                  <c:v>0.58099999999999996</c:v>
                </c:pt>
                <c:pt idx="1">
                  <c:v>0.23100000000000001</c:v>
                </c:pt>
                <c:pt idx="2">
                  <c:v>7.0999999999999994E-2</c:v>
                </c:pt>
                <c:pt idx="3">
                  <c:v>8.1000000000000003E-2</c:v>
                </c:pt>
                <c:pt idx="4" formatCode="0.00%">
                  <c:v>8.5000000000000006E-2</c:v>
                </c:pt>
              </c:numCache>
            </c:numRef>
          </c:val>
        </c:ser>
        <c:dLbls>
          <c:showVal val="1"/>
          <c:showCatName val="1"/>
        </c:dLbls>
        <c:firstSliceAng val="0"/>
      </c:pie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style val="1"/>
  <c:chart>
    <c:title>
      <c:tx>
        <c:rich>
          <a:bodyPr/>
          <a:lstStyle/>
          <a:p>
            <a:pPr>
              <a:defRPr sz="1200"/>
            </a:pPr>
            <a:r>
              <a:rPr lang="en-US" sz="1200"/>
              <a:t>Figure</a:t>
            </a:r>
            <a:r>
              <a:rPr lang="en-US" sz="1200" baseline="0"/>
              <a:t> 2: Decision Factors in Where to Publish</a:t>
            </a:r>
          </a:p>
          <a:p>
            <a:pPr>
              <a:defRPr sz="1200"/>
            </a:pPr>
            <a:r>
              <a:rPr lang="en-US" sz="1200" baseline="0"/>
              <a:t>by Discipline</a:t>
            </a:r>
            <a:endParaRPr lang="en-US" sz="1200"/>
          </a:p>
        </c:rich>
      </c:tx>
    </c:title>
    <c:plotArea>
      <c:layout/>
      <c:barChart>
        <c:barDir val="col"/>
        <c:grouping val="clustered"/>
        <c:ser>
          <c:idx val="0"/>
          <c:order val="0"/>
          <c:tx>
            <c:strRef>
              <c:f>Sheet1!$B$1</c:f>
              <c:strCache>
                <c:ptCount val="1"/>
                <c:pt idx="0">
                  <c:v>Psychology </c:v>
                </c:pt>
              </c:strCache>
            </c:strRef>
          </c:tx>
          <c:spPr>
            <a:solidFill>
              <a:schemeClr val="tx1"/>
            </a:solidFill>
          </c:spPr>
          <c:cat>
            <c:strRef>
              <c:f>Sheet1!$A$2:$A$12</c:f>
              <c:strCache>
                <c:ptCount val="11"/>
                <c:pt idx="0">
                  <c:v>Reputation</c:v>
                </c:pt>
                <c:pt idx="1">
                  <c:v>Citation impact</c:v>
                </c:pt>
                <c:pt idx="2">
                  <c:v>Peer review</c:v>
                </c:pt>
                <c:pt idx="3">
                  <c:v>Editorial board</c:v>
                </c:pt>
                <c:pt idx="4">
                  <c:v>Acceptance rate</c:v>
                </c:pt>
                <c:pt idx="5">
                  <c:v>Timeliness</c:v>
                </c:pt>
                <c:pt idx="6">
                  <c:v>Scholarly Society</c:v>
                </c:pt>
                <c:pt idx="7">
                  <c:v>Grant-awarding body</c:v>
                </c:pt>
                <c:pt idx="8">
                  <c:v>Copyright retention</c:v>
                </c:pt>
                <c:pt idx="9">
                  <c:v>Good match</c:v>
                </c:pt>
                <c:pt idx="10">
                  <c:v>Published there before</c:v>
                </c:pt>
              </c:strCache>
            </c:strRef>
          </c:cat>
          <c:val>
            <c:numRef>
              <c:f>Sheet1!$B$2:$B$12</c:f>
              <c:numCache>
                <c:formatCode>General</c:formatCode>
                <c:ptCount val="11"/>
                <c:pt idx="0">
                  <c:v>90.4</c:v>
                </c:pt>
                <c:pt idx="1">
                  <c:v>35.800000000000011</c:v>
                </c:pt>
                <c:pt idx="2">
                  <c:v>97.3</c:v>
                </c:pt>
                <c:pt idx="3">
                  <c:v>70.5</c:v>
                </c:pt>
                <c:pt idx="4">
                  <c:v>34.200000000000003</c:v>
                </c:pt>
                <c:pt idx="5">
                  <c:v>62</c:v>
                </c:pt>
                <c:pt idx="6">
                  <c:v>38.5</c:v>
                </c:pt>
                <c:pt idx="7">
                  <c:v>6.8</c:v>
                </c:pt>
                <c:pt idx="8">
                  <c:v>14.5</c:v>
                </c:pt>
                <c:pt idx="9">
                  <c:v>93.4</c:v>
                </c:pt>
                <c:pt idx="10">
                  <c:v>35.200000000000003</c:v>
                </c:pt>
              </c:numCache>
            </c:numRef>
          </c:val>
        </c:ser>
        <c:ser>
          <c:idx val="1"/>
          <c:order val="1"/>
          <c:tx>
            <c:strRef>
              <c:f>Sheet1!$C$1</c:f>
              <c:strCache>
                <c:ptCount val="1"/>
                <c:pt idx="0">
                  <c:v>Business</c:v>
                </c:pt>
              </c:strCache>
            </c:strRef>
          </c:tx>
          <c:cat>
            <c:strRef>
              <c:f>Sheet1!$A$2:$A$12</c:f>
              <c:strCache>
                <c:ptCount val="11"/>
                <c:pt idx="0">
                  <c:v>Reputation</c:v>
                </c:pt>
                <c:pt idx="1">
                  <c:v>Citation impact</c:v>
                </c:pt>
                <c:pt idx="2">
                  <c:v>Peer review</c:v>
                </c:pt>
                <c:pt idx="3">
                  <c:v>Editorial board</c:v>
                </c:pt>
                <c:pt idx="4">
                  <c:v>Acceptance rate</c:v>
                </c:pt>
                <c:pt idx="5">
                  <c:v>Timeliness</c:v>
                </c:pt>
                <c:pt idx="6">
                  <c:v>Scholarly Society</c:v>
                </c:pt>
                <c:pt idx="7">
                  <c:v>Grant-awarding body</c:v>
                </c:pt>
                <c:pt idx="8">
                  <c:v>Copyright retention</c:v>
                </c:pt>
                <c:pt idx="9">
                  <c:v>Good match</c:v>
                </c:pt>
                <c:pt idx="10">
                  <c:v>Published there before</c:v>
                </c:pt>
              </c:strCache>
            </c:strRef>
          </c:cat>
          <c:val>
            <c:numRef>
              <c:f>Sheet1!$C$2:$C$12</c:f>
              <c:numCache>
                <c:formatCode>General</c:formatCode>
                <c:ptCount val="11"/>
                <c:pt idx="0">
                  <c:v>91.6</c:v>
                </c:pt>
                <c:pt idx="1">
                  <c:v>63.9</c:v>
                </c:pt>
                <c:pt idx="2">
                  <c:v>95.2</c:v>
                </c:pt>
                <c:pt idx="3">
                  <c:v>73.5</c:v>
                </c:pt>
                <c:pt idx="4">
                  <c:v>54.9</c:v>
                </c:pt>
                <c:pt idx="5">
                  <c:v>72.3</c:v>
                </c:pt>
                <c:pt idx="6">
                  <c:v>36.200000000000003</c:v>
                </c:pt>
                <c:pt idx="7">
                  <c:v>8.5</c:v>
                </c:pt>
                <c:pt idx="8">
                  <c:v>10.8</c:v>
                </c:pt>
                <c:pt idx="9">
                  <c:v>85.4</c:v>
                </c:pt>
                <c:pt idx="10">
                  <c:v>20.8</c:v>
                </c:pt>
              </c:numCache>
            </c:numRef>
          </c:val>
        </c:ser>
        <c:ser>
          <c:idx val="2"/>
          <c:order val="2"/>
          <c:tx>
            <c:strRef>
              <c:f>Sheet1!$D$1</c:f>
              <c:strCache>
                <c:ptCount val="1"/>
                <c:pt idx="0">
                  <c:v>Music</c:v>
                </c:pt>
              </c:strCache>
            </c:strRef>
          </c:tx>
          <c:cat>
            <c:strRef>
              <c:f>Sheet1!$A$2:$A$12</c:f>
              <c:strCache>
                <c:ptCount val="11"/>
                <c:pt idx="0">
                  <c:v>Reputation</c:v>
                </c:pt>
                <c:pt idx="1">
                  <c:v>Citation impact</c:v>
                </c:pt>
                <c:pt idx="2">
                  <c:v>Peer review</c:v>
                </c:pt>
                <c:pt idx="3">
                  <c:v>Editorial board</c:v>
                </c:pt>
                <c:pt idx="4">
                  <c:v>Acceptance rate</c:v>
                </c:pt>
                <c:pt idx="5">
                  <c:v>Timeliness</c:v>
                </c:pt>
                <c:pt idx="6">
                  <c:v>Scholarly Society</c:v>
                </c:pt>
                <c:pt idx="7">
                  <c:v>Grant-awarding body</c:v>
                </c:pt>
                <c:pt idx="8">
                  <c:v>Copyright retention</c:v>
                </c:pt>
                <c:pt idx="9">
                  <c:v>Good match</c:v>
                </c:pt>
                <c:pt idx="10">
                  <c:v>Published there before</c:v>
                </c:pt>
              </c:strCache>
            </c:strRef>
          </c:cat>
          <c:val>
            <c:numRef>
              <c:f>Sheet1!$D$2:$D$12</c:f>
              <c:numCache>
                <c:formatCode>General</c:formatCode>
                <c:ptCount val="11"/>
                <c:pt idx="0">
                  <c:v>90.9</c:v>
                </c:pt>
                <c:pt idx="1">
                  <c:v>42.9</c:v>
                </c:pt>
                <c:pt idx="2">
                  <c:v>95.4</c:v>
                </c:pt>
                <c:pt idx="3">
                  <c:v>95.3</c:v>
                </c:pt>
                <c:pt idx="4">
                  <c:v>27.3</c:v>
                </c:pt>
                <c:pt idx="5">
                  <c:v>77.3</c:v>
                </c:pt>
                <c:pt idx="6">
                  <c:v>63.7</c:v>
                </c:pt>
                <c:pt idx="7">
                  <c:v>0</c:v>
                </c:pt>
                <c:pt idx="8">
                  <c:v>27.3</c:v>
                </c:pt>
                <c:pt idx="9">
                  <c:v>81.8</c:v>
                </c:pt>
                <c:pt idx="10">
                  <c:v>14.3</c:v>
                </c:pt>
              </c:numCache>
            </c:numRef>
          </c:val>
        </c:ser>
        <c:ser>
          <c:idx val="3"/>
          <c:order val="3"/>
          <c:tx>
            <c:strRef>
              <c:f>Sheet1!$E$1</c:f>
              <c:strCache>
                <c:ptCount val="1"/>
                <c:pt idx="0">
                  <c:v>Women's Studies </c:v>
                </c:pt>
              </c:strCache>
            </c:strRef>
          </c:tx>
          <c:cat>
            <c:strRef>
              <c:f>Sheet1!$A$2:$A$12</c:f>
              <c:strCache>
                <c:ptCount val="11"/>
                <c:pt idx="0">
                  <c:v>Reputation</c:v>
                </c:pt>
                <c:pt idx="1">
                  <c:v>Citation impact</c:v>
                </c:pt>
                <c:pt idx="2">
                  <c:v>Peer review</c:v>
                </c:pt>
                <c:pt idx="3">
                  <c:v>Editorial board</c:v>
                </c:pt>
                <c:pt idx="4">
                  <c:v>Acceptance rate</c:v>
                </c:pt>
                <c:pt idx="5">
                  <c:v>Timeliness</c:v>
                </c:pt>
                <c:pt idx="6">
                  <c:v>Scholarly Society</c:v>
                </c:pt>
                <c:pt idx="7">
                  <c:v>Grant-awarding body</c:v>
                </c:pt>
                <c:pt idx="8">
                  <c:v>Copyright retention</c:v>
                </c:pt>
                <c:pt idx="9">
                  <c:v>Good match</c:v>
                </c:pt>
                <c:pt idx="10">
                  <c:v>Published there before</c:v>
                </c:pt>
              </c:strCache>
            </c:strRef>
          </c:cat>
          <c:val>
            <c:numRef>
              <c:f>Sheet1!$E$2:$E$12</c:f>
              <c:numCache>
                <c:formatCode>General</c:formatCode>
                <c:ptCount val="11"/>
                <c:pt idx="0">
                  <c:v>84</c:v>
                </c:pt>
                <c:pt idx="1">
                  <c:v>40</c:v>
                </c:pt>
                <c:pt idx="2">
                  <c:v>100</c:v>
                </c:pt>
                <c:pt idx="3">
                  <c:v>80</c:v>
                </c:pt>
                <c:pt idx="4">
                  <c:v>44</c:v>
                </c:pt>
                <c:pt idx="5">
                  <c:v>76</c:v>
                </c:pt>
                <c:pt idx="6">
                  <c:v>64</c:v>
                </c:pt>
                <c:pt idx="7">
                  <c:v>4</c:v>
                </c:pt>
                <c:pt idx="8">
                  <c:v>36</c:v>
                </c:pt>
                <c:pt idx="9">
                  <c:v>95.8</c:v>
                </c:pt>
                <c:pt idx="10">
                  <c:v>32</c:v>
                </c:pt>
              </c:numCache>
            </c:numRef>
          </c:val>
        </c:ser>
        <c:axId val="104729216"/>
        <c:axId val="105111936"/>
      </c:barChart>
      <c:catAx>
        <c:axId val="104729216"/>
        <c:scaling>
          <c:orientation val="minMax"/>
        </c:scaling>
        <c:axPos val="b"/>
        <c:tickLblPos val="nextTo"/>
        <c:txPr>
          <a:bodyPr rot="-5400000" vert="horz"/>
          <a:lstStyle/>
          <a:p>
            <a:pPr>
              <a:defRPr/>
            </a:pPr>
            <a:endParaRPr lang="en-US"/>
          </a:p>
        </c:txPr>
        <c:crossAx val="105111936"/>
        <c:crosses val="autoZero"/>
        <c:auto val="1"/>
        <c:lblAlgn val="ctr"/>
        <c:lblOffset val="100"/>
      </c:catAx>
      <c:valAx>
        <c:axId val="105111936"/>
        <c:scaling>
          <c:orientation val="minMax"/>
          <c:max val="100"/>
        </c:scaling>
        <c:axPos val="l"/>
        <c:majorGridlines/>
        <c:numFmt formatCode="General\%" sourceLinked="0"/>
        <c:tickLblPos val="nextTo"/>
        <c:crossAx val="104729216"/>
        <c:crosses val="autoZero"/>
        <c:crossBetween val="between"/>
      </c:valAx>
    </c:plotArea>
    <c:legend>
      <c:legendPos val="t"/>
      <c:layout>
        <c:manualLayout>
          <c:xMode val="edge"/>
          <c:yMode val="edge"/>
          <c:x val="0.21429383727034157"/>
          <c:y val="0.16428571428571417"/>
          <c:w val="0.57141232545931619"/>
          <c:h val="6.1506508115057049E-2"/>
        </c:manualLayout>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style val="17"/>
  <c:chart>
    <c:title>
      <c:tx>
        <c:rich>
          <a:bodyPr/>
          <a:lstStyle/>
          <a:p>
            <a:pPr>
              <a:defRPr sz="1200"/>
            </a:pPr>
            <a:r>
              <a:rPr lang="en-US" sz="1200"/>
              <a:t>Figure 3: Acceptability of Electronic Journals</a:t>
            </a:r>
          </a:p>
          <a:p>
            <a:pPr>
              <a:defRPr sz="1200"/>
            </a:pPr>
            <a:r>
              <a:rPr lang="en-US" sz="1200"/>
              <a:t>by Discipline</a:t>
            </a:r>
          </a:p>
        </c:rich>
      </c:tx>
    </c:title>
    <c:plotArea>
      <c:layout/>
      <c:barChart>
        <c:barDir val="col"/>
        <c:grouping val="clustered"/>
        <c:ser>
          <c:idx val="0"/>
          <c:order val="0"/>
          <c:tx>
            <c:strRef>
              <c:f>Sheet1!$B$1</c:f>
              <c:strCache>
                <c:ptCount val="1"/>
                <c:pt idx="0">
                  <c:v>Psychology n=180</c:v>
                </c:pt>
              </c:strCache>
            </c:strRef>
          </c:tx>
          <c:spPr>
            <a:solidFill>
              <a:schemeClr val="tx1"/>
            </a:solidFill>
          </c:spPr>
          <c:dLbls>
            <c:txPr>
              <a:bodyPr/>
              <a:lstStyle/>
              <a:p>
                <a:pPr>
                  <a:defRPr sz="700"/>
                </a:pPr>
                <a:endParaRPr lang="en-US"/>
              </a:p>
            </c:txPr>
            <c:showVal val="1"/>
          </c:dLbls>
          <c:cat>
            <c:strRef>
              <c:f>Sheet1!$A$2:$A$5</c:f>
              <c:strCache>
                <c:ptCount val="4"/>
                <c:pt idx="0">
                  <c:v>Acceptable</c:v>
                </c:pt>
                <c:pt idx="1">
                  <c:v>Not Acceptable</c:v>
                </c:pt>
                <c:pt idx="2">
                  <c:v>Less Desirable Than Print</c:v>
                </c:pt>
                <c:pt idx="3">
                  <c:v>Not an issue</c:v>
                </c:pt>
              </c:strCache>
            </c:strRef>
          </c:cat>
          <c:val>
            <c:numRef>
              <c:f>Sheet1!$B$2:$B$5</c:f>
              <c:numCache>
                <c:formatCode>0</c:formatCode>
                <c:ptCount val="4"/>
                <c:pt idx="0" formatCode="0.0">
                  <c:v>40.300000000000011</c:v>
                </c:pt>
                <c:pt idx="1">
                  <c:v>0</c:v>
                </c:pt>
                <c:pt idx="2" formatCode="General">
                  <c:v>38.1</c:v>
                </c:pt>
                <c:pt idx="3" formatCode="0.0">
                  <c:v>21.6</c:v>
                </c:pt>
              </c:numCache>
            </c:numRef>
          </c:val>
        </c:ser>
        <c:ser>
          <c:idx val="1"/>
          <c:order val="1"/>
          <c:tx>
            <c:strRef>
              <c:f>Sheet1!$C$1</c:f>
              <c:strCache>
                <c:ptCount val="1"/>
                <c:pt idx="0">
                  <c:v>Business n=83</c:v>
                </c:pt>
              </c:strCache>
            </c:strRef>
          </c:tx>
          <c:dLbls>
            <c:dLbl>
              <c:idx val="2"/>
              <c:layout>
                <c:manualLayout>
                  <c:x val="0"/>
                  <c:y val="1.5968063872255488E-2"/>
                </c:manualLayout>
              </c:layout>
              <c:showVal val="1"/>
            </c:dLbl>
            <c:dLbl>
              <c:idx val="3"/>
              <c:layout>
                <c:manualLayout>
                  <c:x val="0"/>
                  <c:y val="1.5968063872255488E-2"/>
                </c:manualLayout>
              </c:layout>
              <c:showVal val="1"/>
            </c:dLbl>
            <c:txPr>
              <a:bodyPr/>
              <a:lstStyle/>
              <a:p>
                <a:pPr>
                  <a:defRPr sz="700"/>
                </a:pPr>
                <a:endParaRPr lang="en-US"/>
              </a:p>
            </c:txPr>
            <c:showVal val="1"/>
          </c:dLbls>
          <c:cat>
            <c:strRef>
              <c:f>Sheet1!$A$2:$A$5</c:f>
              <c:strCache>
                <c:ptCount val="4"/>
                <c:pt idx="0">
                  <c:v>Acceptable</c:v>
                </c:pt>
                <c:pt idx="1">
                  <c:v>Not Acceptable</c:v>
                </c:pt>
                <c:pt idx="2">
                  <c:v>Less Desirable Than Print</c:v>
                </c:pt>
                <c:pt idx="3">
                  <c:v>Not an issue</c:v>
                </c:pt>
              </c:strCache>
            </c:strRef>
          </c:cat>
          <c:val>
            <c:numRef>
              <c:f>Sheet1!$C$2:$C$5</c:f>
              <c:numCache>
                <c:formatCode>General</c:formatCode>
                <c:ptCount val="4"/>
                <c:pt idx="0">
                  <c:v>37.800000000000011</c:v>
                </c:pt>
                <c:pt idx="1">
                  <c:v>1.2</c:v>
                </c:pt>
                <c:pt idx="2">
                  <c:v>35.4</c:v>
                </c:pt>
                <c:pt idx="3">
                  <c:v>25.6</c:v>
                </c:pt>
              </c:numCache>
            </c:numRef>
          </c:val>
        </c:ser>
        <c:ser>
          <c:idx val="2"/>
          <c:order val="2"/>
          <c:tx>
            <c:strRef>
              <c:f>Sheet1!$D$1</c:f>
              <c:strCache>
                <c:ptCount val="1"/>
                <c:pt idx="0">
                  <c:v>Music n=22</c:v>
                </c:pt>
              </c:strCache>
            </c:strRef>
          </c:tx>
          <c:dLbls>
            <c:txPr>
              <a:bodyPr/>
              <a:lstStyle/>
              <a:p>
                <a:pPr>
                  <a:defRPr sz="700"/>
                </a:pPr>
                <a:endParaRPr lang="en-US"/>
              </a:p>
            </c:txPr>
            <c:showVal val="1"/>
          </c:dLbls>
          <c:cat>
            <c:strRef>
              <c:f>Sheet1!$A$2:$A$5</c:f>
              <c:strCache>
                <c:ptCount val="4"/>
                <c:pt idx="0">
                  <c:v>Acceptable</c:v>
                </c:pt>
                <c:pt idx="1">
                  <c:v>Not Acceptable</c:v>
                </c:pt>
                <c:pt idx="2">
                  <c:v>Less Desirable Than Print</c:v>
                </c:pt>
                <c:pt idx="3">
                  <c:v>Not an issue</c:v>
                </c:pt>
              </c:strCache>
            </c:strRef>
          </c:cat>
          <c:val>
            <c:numRef>
              <c:f>Sheet1!$D$2:$D$5</c:f>
              <c:numCache>
                <c:formatCode>General</c:formatCode>
                <c:ptCount val="4"/>
                <c:pt idx="0">
                  <c:v>40.9</c:v>
                </c:pt>
                <c:pt idx="1">
                  <c:v>4.5</c:v>
                </c:pt>
                <c:pt idx="2">
                  <c:v>36.4</c:v>
                </c:pt>
                <c:pt idx="3">
                  <c:v>18.2</c:v>
                </c:pt>
              </c:numCache>
            </c:numRef>
          </c:val>
        </c:ser>
        <c:ser>
          <c:idx val="3"/>
          <c:order val="3"/>
          <c:tx>
            <c:strRef>
              <c:f>Sheet1!$E$1</c:f>
              <c:strCache>
                <c:ptCount val="1"/>
                <c:pt idx="0">
                  <c:v>Women's Studies n=25</c:v>
                </c:pt>
              </c:strCache>
            </c:strRef>
          </c:tx>
          <c:dLbls>
            <c:txPr>
              <a:bodyPr/>
              <a:lstStyle/>
              <a:p>
                <a:pPr>
                  <a:defRPr sz="700"/>
                </a:pPr>
                <a:endParaRPr lang="en-US"/>
              </a:p>
            </c:txPr>
            <c:showVal val="1"/>
          </c:dLbls>
          <c:cat>
            <c:strRef>
              <c:f>Sheet1!$A$2:$A$5</c:f>
              <c:strCache>
                <c:ptCount val="4"/>
                <c:pt idx="0">
                  <c:v>Acceptable</c:v>
                </c:pt>
                <c:pt idx="1">
                  <c:v>Not Acceptable</c:v>
                </c:pt>
                <c:pt idx="2">
                  <c:v>Less Desirable Than Print</c:v>
                </c:pt>
                <c:pt idx="3">
                  <c:v>Not an issue</c:v>
                </c:pt>
              </c:strCache>
            </c:strRef>
          </c:cat>
          <c:val>
            <c:numRef>
              <c:f>Sheet1!$E$2:$E$5</c:f>
              <c:numCache>
                <c:formatCode>General</c:formatCode>
                <c:ptCount val="4"/>
                <c:pt idx="0">
                  <c:v>48</c:v>
                </c:pt>
                <c:pt idx="1">
                  <c:v>0</c:v>
                </c:pt>
                <c:pt idx="2">
                  <c:v>28</c:v>
                </c:pt>
                <c:pt idx="3">
                  <c:v>24</c:v>
                </c:pt>
              </c:numCache>
            </c:numRef>
          </c:val>
        </c:ser>
        <c:dLbls>
          <c:showVal val="1"/>
        </c:dLbls>
        <c:axId val="106907904"/>
        <c:axId val="106944384"/>
      </c:barChart>
      <c:catAx>
        <c:axId val="106907904"/>
        <c:scaling>
          <c:orientation val="minMax"/>
        </c:scaling>
        <c:axPos val="b"/>
        <c:tickLblPos val="nextTo"/>
        <c:crossAx val="106944384"/>
        <c:crosses val="autoZero"/>
        <c:auto val="1"/>
        <c:lblAlgn val="ctr"/>
        <c:lblOffset val="100"/>
      </c:catAx>
      <c:valAx>
        <c:axId val="106944384"/>
        <c:scaling>
          <c:orientation val="minMax"/>
        </c:scaling>
        <c:axPos val="l"/>
        <c:majorGridlines/>
        <c:numFmt formatCode="General\%" sourceLinked="0"/>
        <c:tickLblPos val="nextTo"/>
        <c:crossAx val="106907904"/>
        <c:crosses val="autoZero"/>
        <c:crossBetween val="between"/>
      </c:valAx>
    </c:plotArea>
    <c:legend>
      <c:legendPos val="t"/>
      <c:layout>
        <c:manualLayout>
          <c:xMode val="edge"/>
          <c:yMode val="edge"/>
          <c:x val="4.9999948434736478E-2"/>
          <c:y val="0.19680638722554888"/>
          <c:w val="0.89999989686947446"/>
          <c:h val="7.2187278985336528E-2"/>
        </c:manualLayout>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style val="1"/>
  <c:chart>
    <c:title>
      <c:tx>
        <c:rich>
          <a:bodyPr/>
          <a:lstStyle/>
          <a:p>
            <a:pPr>
              <a:defRPr sz="1200"/>
            </a:pPr>
            <a:r>
              <a:rPr lang="en-US" sz="1200"/>
              <a:t>Figure</a:t>
            </a:r>
            <a:r>
              <a:rPr lang="en-US" sz="1200" baseline="0"/>
              <a:t> 4: Importance of Publication Type by Discipline</a:t>
            </a:r>
            <a:endParaRPr lang="en-US" sz="1200"/>
          </a:p>
        </c:rich>
      </c:tx>
    </c:title>
    <c:plotArea>
      <c:layout/>
      <c:barChart>
        <c:barDir val="col"/>
        <c:grouping val="clustered"/>
        <c:ser>
          <c:idx val="0"/>
          <c:order val="0"/>
          <c:tx>
            <c:strRef>
              <c:f>Sheet1!$B$1</c:f>
              <c:strCache>
                <c:ptCount val="1"/>
                <c:pt idx="0">
                  <c:v>Psychology</c:v>
                </c:pt>
              </c:strCache>
            </c:strRef>
          </c:tx>
          <c:spPr>
            <a:solidFill>
              <a:schemeClr val="tx1"/>
            </a:solidFill>
          </c:spPr>
          <c:cat>
            <c:strRef>
              <c:f>Sheet1!$A$2:$A$13</c:f>
              <c:strCache>
                <c:ptCount val="12"/>
                <c:pt idx="0">
                  <c:v>Books/Monographs</c:v>
                </c:pt>
                <c:pt idx="1">
                  <c:v>Book Reviews</c:v>
                </c:pt>
                <c:pt idx="2">
                  <c:v>Peer Reviewed Journal Articles</c:v>
                </c:pt>
                <c:pt idx="3">
                  <c:v>Articles in Trade Journals</c:v>
                </c:pt>
                <c:pt idx="4">
                  <c:v>Conference Proceedings</c:v>
                </c:pt>
                <c:pt idx="5">
                  <c:v>Presentations at professional meetings</c:v>
                </c:pt>
                <c:pt idx="6">
                  <c:v>Abstracts</c:v>
                </c:pt>
                <c:pt idx="7">
                  <c:v>Pre-prints/Working papers</c:v>
                </c:pt>
                <c:pt idx="8">
                  <c:v>Case Studies</c:v>
                </c:pt>
                <c:pt idx="9">
                  <c:v>Textbooks</c:v>
                </c:pt>
                <c:pt idx="10">
                  <c:v>Compositions or arrangements</c:v>
                </c:pt>
                <c:pt idx="11">
                  <c:v>Performances</c:v>
                </c:pt>
              </c:strCache>
            </c:strRef>
          </c:cat>
          <c:val>
            <c:numRef>
              <c:f>Sheet1!$B$2:$B$13</c:f>
              <c:numCache>
                <c:formatCode>General</c:formatCode>
                <c:ptCount val="12"/>
                <c:pt idx="0">
                  <c:v>61</c:v>
                </c:pt>
                <c:pt idx="1">
                  <c:v>10.4</c:v>
                </c:pt>
                <c:pt idx="2">
                  <c:v>98.8</c:v>
                </c:pt>
                <c:pt idx="3">
                  <c:v>8.9</c:v>
                </c:pt>
                <c:pt idx="4">
                  <c:v>27</c:v>
                </c:pt>
                <c:pt idx="5">
                  <c:v>41.9</c:v>
                </c:pt>
                <c:pt idx="6">
                  <c:v>9.2000000000000011</c:v>
                </c:pt>
                <c:pt idx="7">
                  <c:v>10.9</c:v>
                </c:pt>
                <c:pt idx="8">
                  <c:v>11.6</c:v>
                </c:pt>
                <c:pt idx="9">
                  <c:v>39.1</c:v>
                </c:pt>
                <c:pt idx="10">
                  <c:v>3.6</c:v>
                </c:pt>
                <c:pt idx="11">
                  <c:v>6</c:v>
                </c:pt>
              </c:numCache>
            </c:numRef>
          </c:val>
          <c:bubble3D val="1"/>
        </c:ser>
        <c:ser>
          <c:idx val="1"/>
          <c:order val="1"/>
          <c:tx>
            <c:strRef>
              <c:f>Sheet1!$C$1</c:f>
              <c:strCache>
                <c:ptCount val="1"/>
                <c:pt idx="0">
                  <c:v>Business</c:v>
                </c:pt>
              </c:strCache>
            </c:strRef>
          </c:tx>
          <c:cat>
            <c:strRef>
              <c:f>Sheet1!$A$2:$A$13</c:f>
              <c:strCache>
                <c:ptCount val="12"/>
                <c:pt idx="0">
                  <c:v>Books/Monographs</c:v>
                </c:pt>
                <c:pt idx="1">
                  <c:v>Book Reviews</c:v>
                </c:pt>
                <c:pt idx="2">
                  <c:v>Peer Reviewed Journal Articles</c:v>
                </c:pt>
                <c:pt idx="3">
                  <c:v>Articles in Trade Journals</c:v>
                </c:pt>
                <c:pt idx="4">
                  <c:v>Conference Proceedings</c:v>
                </c:pt>
                <c:pt idx="5">
                  <c:v>Presentations at professional meetings</c:v>
                </c:pt>
                <c:pt idx="6">
                  <c:v>Abstracts</c:v>
                </c:pt>
                <c:pt idx="7">
                  <c:v>Pre-prints/Working papers</c:v>
                </c:pt>
                <c:pt idx="8">
                  <c:v>Case Studies</c:v>
                </c:pt>
                <c:pt idx="9">
                  <c:v>Textbooks</c:v>
                </c:pt>
                <c:pt idx="10">
                  <c:v>Compositions or arrangements</c:v>
                </c:pt>
                <c:pt idx="11">
                  <c:v>Performances</c:v>
                </c:pt>
              </c:strCache>
            </c:strRef>
          </c:cat>
          <c:val>
            <c:numRef>
              <c:f>Sheet1!$C$2:$C$13</c:f>
              <c:numCache>
                <c:formatCode>General</c:formatCode>
                <c:ptCount val="12"/>
                <c:pt idx="0">
                  <c:v>42.2</c:v>
                </c:pt>
                <c:pt idx="1">
                  <c:v>10.8</c:v>
                </c:pt>
                <c:pt idx="2">
                  <c:v>97.6</c:v>
                </c:pt>
                <c:pt idx="3">
                  <c:v>27.7</c:v>
                </c:pt>
                <c:pt idx="4">
                  <c:v>36.1</c:v>
                </c:pt>
                <c:pt idx="5">
                  <c:v>33.700000000000003</c:v>
                </c:pt>
                <c:pt idx="6">
                  <c:v>7.2</c:v>
                </c:pt>
                <c:pt idx="7">
                  <c:v>10.8</c:v>
                </c:pt>
                <c:pt idx="8">
                  <c:v>15.7</c:v>
                </c:pt>
                <c:pt idx="9">
                  <c:v>38.5</c:v>
                </c:pt>
                <c:pt idx="10">
                  <c:v>6</c:v>
                </c:pt>
                <c:pt idx="11">
                  <c:v>9.9</c:v>
                </c:pt>
              </c:numCache>
            </c:numRef>
          </c:val>
          <c:bubble3D val="1"/>
        </c:ser>
        <c:ser>
          <c:idx val="2"/>
          <c:order val="2"/>
          <c:tx>
            <c:strRef>
              <c:f>Sheet1!$D$1</c:f>
              <c:strCache>
                <c:ptCount val="1"/>
                <c:pt idx="0">
                  <c:v>Music</c:v>
                </c:pt>
              </c:strCache>
            </c:strRef>
          </c:tx>
          <c:cat>
            <c:strRef>
              <c:f>Sheet1!$A$2:$A$13</c:f>
              <c:strCache>
                <c:ptCount val="12"/>
                <c:pt idx="0">
                  <c:v>Books/Monographs</c:v>
                </c:pt>
                <c:pt idx="1">
                  <c:v>Book Reviews</c:v>
                </c:pt>
                <c:pt idx="2">
                  <c:v>Peer Reviewed Journal Articles</c:v>
                </c:pt>
                <c:pt idx="3">
                  <c:v>Articles in Trade Journals</c:v>
                </c:pt>
                <c:pt idx="4">
                  <c:v>Conference Proceedings</c:v>
                </c:pt>
                <c:pt idx="5">
                  <c:v>Presentations at professional meetings</c:v>
                </c:pt>
                <c:pt idx="6">
                  <c:v>Abstracts</c:v>
                </c:pt>
                <c:pt idx="7">
                  <c:v>Pre-prints/Working papers</c:v>
                </c:pt>
                <c:pt idx="8">
                  <c:v>Case Studies</c:v>
                </c:pt>
                <c:pt idx="9">
                  <c:v>Textbooks</c:v>
                </c:pt>
                <c:pt idx="10">
                  <c:v>Compositions or arrangements</c:v>
                </c:pt>
                <c:pt idx="11">
                  <c:v>Performances</c:v>
                </c:pt>
              </c:strCache>
            </c:strRef>
          </c:cat>
          <c:val>
            <c:numRef>
              <c:f>Sheet1!$D$2:$D$13</c:f>
              <c:numCache>
                <c:formatCode>General</c:formatCode>
                <c:ptCount val="12"/>
                <c:pt idx="0">
                  <c:v>72.7</c:v>
                </c:pt>
                <c:pt idx="1">
                  <c:v>18.2</c:v>
                </c:pt>
                <c:pt idx="2">
                  <c:v>100</c:v>
                </c:pt>
                <c:pt idx="3">
                  <c:v>19</c:v>
                </c:pt>
                <c:pt idx="4">
                  <c:v>50</c:v>
                </c:pt>
                <c:pt idx="5">
                  <c:v>77.3</c:v>
                </c:pt>
                <c:pt idx="6">
                  <c:v>14.3</c:v>
                </c:pt>
                <c:pt idx="7">
                  <c:v>9.1</c:v>
                </c:pt>
                <c:pt idx="8">
                  <c:v>28.6</c:v>
                </c:pt>
                <c:pt idx="9">
                  <c:v>54.6</c:v>
                </c:pt>
                <c:pt idx="10">
                  <c:v>40.9</c:v>
                </c:pt>
                <c:pt idx="11">
                  <c:v>45.4</c:v>
                </c:pt>
              </c:numCache>
            </c:numRef>
          </c:val>
          <c:bubble3D val="1"/>
        </c:ser>
        <c:ser>
          <c:idx val="3"/>
          <c:order val="3"/>
          <c:tx>
            <c:strRef>
              <c:f>Sheet1!$E$1</c:f>
              <c:strCache>
                <c:ptCount val="1"/>
                <c:pt idx="0">
                  <c:v>Women's Studies</c:v>
                </c:pt>
              </c:strCache>
            </c:strRef>
          </c:tx>
          <c:cat>
            <c:strRef>
              <c:f>Sheet1!$A$2:$A$13</c:f>
              <c:strCache>
                <c:ptCount val="12"/>
                <c:pt idx="0">
                  <c:v>Books/Monographs</c:v>
                </c:pt>
                <c:pt idx="1">
                  <c:v>Book Reviews</c:v>
                </c:pt>
                <c:pt idx="2">
                  <c:v>Peer Reviewed Journal Articles</c:v>
                </c:pt>
                <c:pt idx="3">
                  <c:v>Articles in Trade Journals</c:v>
                </c:pt>
                <c:pt idx="4">
                  <c:v>Conference Proceedings</c:v>
                </c:pt>
                <c:pt idx="5">
                  <c:v>Presentations at professional meetings</c:v>
                </c:pt>
                <c:pt idx="6">
                  <c:v>Abstracts</c:v>
                </c:pt>
                <c:pt idx="7">
                  <c:v>Pre-prints/Working papers</c:v>
                </c:pt>
                <c:pt idx="8">
                  <c:v>Case Studies</c:v>
                </c:pt>
                <c:pt idx="9">
                  <c:v>Textbooks</c:v>
                </c:pt>
                <c:pt idx="10">
                  <c:v>Compositions or arrangements</c:v>
                </c:pt>
                <c:pt idx="11">
                  <c:v>Performances</c:v>
                </c:pt>
              </c:strCache>
            </c:strRef>
          </c:cat>
          <c:val>
            <c:numRef>
              <c:f>Sheet1!$E$2:$E$13</c:f>
              <c:numCache>
                <c:formatCode>General</c:formatCode>
                <c:ptCount val="12"/>
                <c:pt idx="0">
                  <c:v>84</c:v>
                </c:pt>
                <c:pt idx="1">
                  <c:v>16</c:v>
                </c:pt>
                <c:pt idx="2">
                  <c:v>100</c:v>
                </c:pt>
                <c:pt idx="3">
                  <c:v>12</c:v>
                </c:pt>
                <c:pt idx="4">
                  <c:v>24</c:v>
                </c:pt>
                <c:pt idx="5">
                  <c:v>48</c:v>
                </c:pt>
                <c:pt idx="6">
                  <c:v>8</c:v>
                </c:pt>
                <c:pt idx="7">
                  <c:v>12.5</c:v>
                </c:pt>
                <c:pt idx="8">
                  <c:v>24</c:v>
                </c:pt>
                <c:pt idx="9">
                  <c:v>37.5</c:v>
                </c:pt>
                <c:pt idx="10">
                  <c:v>8</c:v>
                </c:pt>
                <c:pt idx="11">
                  <c:v>12</c:v>
                </c:pt>
              </c:numCache>
            </c:numRef>
          </c:val>
          <c:bubble3D val="1"/>
        </c:ser>
        <c:axId val="107213952"/>
        <c:axId val="107212160"/>
      </c:barChart>
      <c:valAx>
        <c:axId val="107212160"/>
        <c:scaling>
          <c:orientation val="minMax"/>
          <c:max val="100"/>
        </c:scaling>
        <c:axPos val="l"/>
        <c:majorGridlines/>
        <c:numFmt formatCode="General\%" sourceLinked="0"/>
        <c:majorTickMark val="none"/>
        <c:tickLblPos val="nextTo"/>
        <c:crossAx val="107213952"/>
        <c:crosses val="autoZero"/>
        <c:crossBetween val="between"/>
      </c:valAx>
      <c:catAx>
        <c:axId val="107213952"/>
        <c:scaling>
          <c:orientation val="minMax"/>
        </c:scaling>
        <c:axPos val="b"/>
        <c:majorTickMark val="none"/>
        <c:tickLblPos val="nextTo"/>
        <c:txPr>
          <a:bodyPr rot="-5400000" vert="horz"/>
          <a:lstStyle/>
          <a:p>
            <a:pPr>
              <a:defRPr/>
            </a:pPr>
            <a:endParaRPr lang="en-US"/>
          </a:p>
        </c:txPr>
        <c:crossAx val="107212160"/>
        <c:crosses val="autoZero"/>
        <c:auto val="1"/>
        <c:lblAlgn val="ctr"/>
        <c:lblOffset val="100"/>
      </c:catAx>
    </c:plotArea>
    <c:legend>
      <c:legendPos val="t"/>
      <c:layout>
        <c:manualLayout>
          <c:xMode val="edge"/>
          <c:yMode val="edge"/>
          <c:x val="0.18390441332054774"/>
          <c:y val="0.1021909233176841"/>
          <c:w val="0.60017269710925925"/>
          <c:h val="5.6597537983808496E-2"/>
        </c:manualLayout>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400"/>
              <a:t>Figure</a:t>
            </a:r>
            <a:r>
              <a:rPr lang="en-US" sz="1400" baseline="0"/>
              <a:t> 5:  Awareness of Open Access </a:t>
            </a:r>
          </a:p>
          <a:p>
            <a:pPr>
              <a:defRPr/>
            </a:pPr>
            <a:r>
              <a:rPr lang="en-US" sz="1400" baseline="0"/>
              <a:t>by Age</a:t>
            </a:r>
            <a:endParaRPr lang="en-US" sz="1400"/>
          </a:p>
        </c:rich>
      </c:tx>
    </c:title>
    <c:plotArea>
      <c:layout/>
      <c:barChart>
        <c:barDir val="col"/>
        <c:grouping val="clustered"/>
        <c:ser>
          <c:idx val="0"/>
          <c:order val="0"/>
          <c:tx>
            <c:strRef>
              <c:f>Sheet1!$B$15</c:f>
              <c:strCache>
                <c:ptCount val="1"/>
                <c:pt idx="0">
                  <c:v>Very Aware</c:v>
                </c:pt>
              </c:strCache>
            </c:strRef>
          </c:tx>
          <c:spPr>
            <a:solidFill>
              <a:schemeClr val="tx1"/>
            </a:solidFill>
          </c:spPr>
          <c:cat>
            <c:strRef>
              <c:f>Sheet1!$C$14:$G$14</c:f>
              <c:strCache>
                <c:ptCount val="5"/>
                <c:pt idx="0">
                  <c:v>Under 30 yrs         n=44</c:v>
                </c:pt>
                <c:pt idx="1">
                  <c:v>31-40 yrs         n=101</c:v>
                </c:pt>
                <c:pt idx="2">
                  <c:v>41-50 yrs          n=76</c:v>
                </c:pt>
                <c:pt idx="3">
                  <c:v>51-60 yrs         n=74</c:v>
                </c:pt>
                <c:pt idx="4">
                  <c:v>Over 60 yrs    n=43</c:v>
                </c:pt>
              </c:strCache>
            </c:strRef>
          </c:cat>
          <c:val>
            <c:numRef>
              <c:f>Sheet1!$C$15:$G$15</c:f>
              <c:numCache>
                <c:formatCode>General</c:formatCode>
                <c:ptCount val="5"/>
                <c:pt idx="0">
                  <c:v>38.1</c:v>
                </c:pt>
                <c:pt idx="1">
                  <c:v>37.1</c:v>
                </c:pt>
                <c:pt idx="2">
                  <c:v>42.5</c:v>
                </c:pt>
                <c:pt idx="3">
                  <c:v>42</c:v>
                </c:pt>
                <c:pt idx="4">
                  <c:v>34.9</c:v>
                </c:pt>
              </c:numCache>
            </c:numRef>
          </c:val>
        </c:ser>
        <c:ser>
          <c:idx val="1"/>
          <c:order val="1"/>
          <c:tx>
            <c:strRef>
              <c:f>Sheet1!$B$16</c:f>
              <c:strCache>
                <c:ptCount val="1"/>
                <c:pt idx="0">
                  <c:v>Somewhat Aware</c:v>
                </c:pt>
              </c:strCache>
            </c:strRef>
          </c:tx>
          <c:spPr>
            <a:solidFill>
              <a:schemeClr val="tx1">
                <a:lumMod val="50000"/>
                <a:lumOff val="50000"/>
              </a:schemeClr>
            </a:solidFill>
          </c:spPr>
          <c:cat>
            <c:strRef>
              <c:f>Sheet1!$C$14:$G$14</c:f>
              <c:strCache>
                <c:ptCount val="5"/>
                <c:pt idx="0">
                  <c:v>Under 30 yrs         n=44</c:v>
                </c:pt>
                <c:pt idx="1">
                  <c:v>31-40 yrs         n=101</c:v>
                </c:pt>
                <c:pt idx="2">
                  <c:v>41-50 yrs          n=76</c:v>
                </c:pt>
                <c:pt idx="3">
                  <c:v>51-60 yrs         n=74</c:v>
                </c:pt>
                <c:pt idx="4">
                  <c:v>Over 60 yrs    n=43</c:v>
                </c:pt>
              </c:strCache>
            </c:strRef>
          </c:cat>
          <c:val>
            <c:numRef>
              <c:f>Sheet1!$C$16:$G$16</c:f>
              <c:numCache>
                <c:formatCode>General</c:formatCode>
                <c:ptCount val="5"/>
                <c:pt idx="0">
                  <c:v>47.6</c:v>
                </c:pt>
                <c:pt idx="1">
                  <c:v>45.4</c:v>
                </c:pt>
                <c:pt idx="2">
                  <c:v>41.4</c:v>
                </c:pt>
                <c:pt idx="3">
                  <c:v>37.700000000000003</c:v>
                </c:pt>
                <c:pt idx="4">
                  <c:v>48.8</c:v>
                </c:pt>
              </c:numCache>
            </c:numRef>
          </c:val>
        </c:ser>
        <c:ser>
          <c:idx val="2"/>
          <c:order val="2"/>
          <c:tx>
            <c:strRef>
              <c:f>Sheet1!$B$17</c:f>
              <c:strCache>
                <c:ptCount val="1"/>
                <c:pt idx="0">
                  <c:v>Not At All Aware</c:v>
                </c:pt>
              </c:strCache>
            </c:strRef>
          </c:tx>
          <c:spPr>
            <a:solidFill>
              <a:schemeClr val="bg1">
                <a:lumMod val="75000"/>
              </a:schemeClr>
            </a:solidFill>
          </c:spPr>
          <c:cat>
            <c:strRef>
              <c:f>Sheet1!$C$14:$G$14</c:f>
              <c:strCache>
                <c:ptCount val="5"/>
                <c:pt idx="0">
                  <c:v>Under 30 yrs         n=44</c:v>
                </c:pt>
                <c:pt idx="1">
                  <c:v>31-40 yrs         n=101</c:v>
                </c:pt>
                <c:pt idx="2">
                  <c:v>41-50 yrs          n=76</c:v>
                </c:pt>
                <c:pt idx="3">
                  <c:v>51-60 yrs         n=74</c:v>
                </c:pt>
                <c:pt idx="4">
                  <c:v>Over 60 yrs    n=43</c:v>
                </c:pt>
              </c:strCache>
            </c:strRef>
          </c:cat>
          <c:val>
            <c:numRef>
              <c:f>Sheet1!$C$17:$G$17</c:f>
              <c:numCache>
                <c:formatCode>General</c:formatCode>
                <c:ptCount val="5"/>
                <c:pt idx="0">
                  <c:v>14.3</c:v>
                </c:pt>
                <c:pt idx="1">
                  <c:v>17.5</c:v>
                </c:pt>
                <c:pt idx="2">
                  <c:v>16.399999999999999</c:v>
                </c:pt>
                <c:pt idx="3">
                  <c:v>20.3</c:v>
                </c:pt>
                <c:pt idx="4">
                  <c:v>16</c:v>
                </c:pt>
              </c:numCache>
            </c:numRef>
          </c:val>
        </c:ser>
        <c:axId val="109110400"/>
        <c:axId val="109191168"/>
      </c:barChart>
      <c:catAx>
        <c:axId val="109110400"/>
        <c:scaling>
          <c:orientation val="minMax"/>
        </c:scaling>
        <c:axPos val="b"/>
        <c:tickLblPos val="nextTo"/>
        <c:crossAx val="109191168"/>
        <c:crosses val="autoZero"/>
        <c:auto val="1"/>
        <c:lblAlgn val="ctr"/>
        <c:lblOffset val="100"/>
      </c:catAx>
      <c:valAx>
        <c:axId val="109191168"/>
        <c:scaling>
          <c:orientation val="minMax"/>
        </c:scaling>
        <c:axPos val="l"/>
        <c:majorGridlines/>
        <c:numFmt formatCode="General\%" sourceLinked="0"/>
        <c:tickLblPos val="nextTo"/>
        <c:crossAx val="109110400"/>
        <c:crosses val="autoZero"/>
        <c:crossBetween val="between"/>
      </c:valAx>
    </c:plotArea>
    <c:legend>
      <c:legendPos val="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14</Pages>
  <Words>3698</Words>
  <Characters>21082</Characters>
  <Application>Microsoft Office Word</Application>
  <DocSecurity>0</DocSecurity>
  <Lines>175</Lines>
  <Paragraphs>49</Paragraphs>
  <ScaleCrop>false</ScaleCrop>
  <Company>ECU</Company>
  <LinksUpToDate>false</LinksUpToDate>
  <CharactersWithSpaces>24731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Bryna</dc:creator>
  <cp:keywords/>
  <dc:description/>
  <cp:lastModifiedBy>Bryna</cp:lastModifiedBy>
  <cp:revision>6</cp:revision>
  <dcterms:created xsi:type="dcterms:W3CDTF">2010-03-03T16:33:00Z</dcterms:created>
  <dcterms:modified xsi:type="dcterms:W3CDTF">2010-03-03T16:48:00Z</dcterms:modified>
</cp:coreProperties>
</file>