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82ADD2" w14:textId="77777777" w:rsidR="003330A3" w:rsidRPr="00FF7DC4" w:rsidRDefault="003330A3" w:rsidP="00840CB8">
      <w:pPr>
        <w:spacing w:line="480" w:lineRule="auto"/>
        <w:rPr>
          <w:rFonts w:ascii="Times New Roman" w:hAnsi="Times New Roman" w:cs="Times New Roman"/>
          <w:b/>
          <w:bCs/>
          <w:i/>
          <w:iCs/>
          <w:color w:val="767171" w:themeColor="background2" w:themeShade="80"/>
        </w:rPr>
      </w:pPr>
    </w:p>
    <w:p w14:paraId="14531B79" w14:textId="77777777" w:rsidR="003330A3" w:rsidRPr="00FF7DC4" w:rsidRDefault="003330A3" w:rsidP="00840CB8">
      <w:pPr>
        <w:spacing w:line="480" w:lineRule="auto"/>
        <w:jc w:val="center"/>
        <w:rPr>
          <w:rFonts w:ascii="Times New Roman" w:hAnsi="Times New Roman" w:cs="Times New Roman"/>
          <w:b/>
          <w:bCs/>
          <w:i/>
          <w:iCs/>
          <w:color w:val="767171" w:themeColor="background2" w:themeShade="80"/>
        </w:rPr>
      </w:pPr>
    </w:p>
    <w:p w14:paraId="53519DB0" w14:textId="77777777" w:rsidR="003330A3" w:rsidRPr="00FF7DC4" w:rsidRDefault="003330A3" w:rsidP="00840CB8">
      <w:pPr>
        <w:spacing w:line="480" w:lineRule="auto"/>
        <w:jc w:val="center"/>
        <w:rPr>
          <w:rFonts w:ascii="Times New Roman" w:hAnsi="Times New Roman" w:cs="Times New Roman"/>
          <w:b/>
          <w:bCs/>
          <w:i/>
          <w:iCs/>
          <w:color w:val="767171" w:themeColor="background2" w:themeShade="80"/>
        </w:rPr>
      </w:pPr>
    </w:p>
    <w:p w14:paraId="7D1B53A2" w14:textId="77777777" w:rsidR="003330A3" w:rsidRPr="00FF7DC4" w:rsidRDefault="003330A3" w:rsidP="00840CB8">
      <w:pPr>
        <w:spacing w:line="480" w:lineRule="auto"/>
        <w:jc w:val="center"/>
        <w:rPr>
          <w:rFonts w:ascii="Times New Roman" w:hAnsi="Times New Roman" w:cs="Times New Roman"/>
          <w:b/>
          <w:bCs/>
          <w:i/>
          <w:iCs/>
          <w:color w:val="767171" w:themeColor="background2" w:themeShade="80"/>
        </w:rPr>
      </w:pPr>
    </w:p>
    <w:p w14:paraId="1142F7C5" w14:textId="73EE3CA5" w:rsidR="00027A8B" w:rsidRDefault="00FE31D3" w:rsidP="0056419B">
      <w:pPr>
        <w:spacing w:line="480" w:lineRule="auto"/>
        <w:ind w:left="720"/>
        <w:jc w:val="center"/>
        <w:rPr>
          <w:rFonts w:ascii="Times New Roman" w:hAnsi="Times New Roman" w:cs="Times New Roman"/>
          <w:b/>
          <w:bCs/>
        </w:rPr>
      </w:pPr>
      <w:r>
        <w:rPr>
          <w:rFonts w:ascii="Times New Roman" w:hAnsi="Times New Roman" w:cs="Times New Roman"/>
          <w:b/>
          <w:bCs/>
        </w:rPr>
        <w:t>Medication C</w:t>
      </w:r>
      <w:r w:rsidR="00027A8B" w:rsidRPr="00FF7DC4">
        <w:rPr>
          <w:rFonts w:ascii="Times New Roman" w:hAnsi="Times New Roman" w:cs="Times New Roman"/>
          <w:b/>
          <w:bCs/>
        </w:rPr>
        <w:t>ost Saving</w:t>
      </w:r>
      <w:r w:rsidR="00776834">
        <w:rPr>
          <w:rFonts w:ascii="Times New Roman" w:hAnsi="Times New Roman" w:cs="Times New Roman"/>
          <w:b/>
          <w:bCs/>
        </w:rPr>
        <w:t>s</w:t>
      </w:r>
      <w:r w:rsidR="00027A8B" w:rsidRPr="00FF7DC4">
        <w:rPr>
          <w:rFonts w:ascii="Times New Roman" w:hAnsi="Times New Roman" w:cs="Times New Roman"/>
          <w:b/>
          <w:bCs/>
        </w:rPr>
        <w:t xml:space="preserve"> in Hospice and Palliative Care </w:t>
      </w:r>
      <w:r>
        <w:rPr>
          <w:rFonts w:ascii="Times New Roman" w:hAnsi="Times New Roman" w:cs="Times New Roman"/>
          <w:b/>
          <w:bCs/>
        </w:rPr>
        <w:t>Through</w:t>
      </w:r>
      <w:r w:rsidR="003B037D">
        <w:rPr>
          <w:rFonts w:ascii="Times New Roman" w:hAnsi="Times New Roman" w:cs="Times New Roman"/>
          <w:b/>
          <w:bCs/>
        </w:rPr>
        <w:t xml:space="preserve"> </w:t>
      </w:r>
      <w:r>
        <w:rPr>
          <w:rFonts w:ascii="Times New Roman" w:hAnsi="Times New Roman" w:cs="Times New Roman"/>
          <w:b/>
          <w:bCs/>
        </w:rPr>
        <w:t xml:space="preserve">Implementation of </w:t>
      </w:r>
      <w:r w:rsidR="00E963C5">
        <w:rPr>
          <w:rFonts w:ascii="Times New Roman" w:hAnsi="Times New Roman" w:cs="Times New Roman"/>
          <w:b/>
          <w:bCs/>
        </w:rPr>
        <w:t>a</w:t>
      </w:r>
      <w:r w:rsidR="003B037D">
        <w:rPr>
          <w:rFonts w:ascii="Times New Roman" w:hAnsi="Times New Roman" w:cs="Times New Roman"/>
          <w:b/>
          <w:bCs/>
        </w:rPr>
        <w:t xml:space="preserve"> </w:t>
      </w:r>
      <w:r>
        <w:rPr>
          <w:rFonts w:ascii="Times New Roman" w:hAnsi="Times New Roman" w:cs="Times New Roman"/>
          <w:b/>
          <w:bCs/>
        </w:rPr>
        <w:t xml:space="preserve">Quick-Reference </w:t>
      </w:r>
      <w:r w:rsidR="003B037D">
        <w:rPr>
          <w:rFonts w:ascii="Times New Roman" w:hAnsi="Times New Roman" w:cs="Times New Roman"/>
          <w:b/>
          <w:bCs/>
        </w:rPr>
        <w:t xml:space="preserve">Medication </w:t>
      </w:r>
      <w:r>
        <w:rPr>
          <w:rFonts w:ascii="Times New Roman" w:hAnsi="Times New Roman" w:cs="Times New Roman"/>
          <w:b/>
          <w:bCs/>
        </w:rPr>
        <w:t>Guide</w:t>
      </w:r>
      <w:r w:rsidR="00027A8B" w:rsidRPr="00FF7DC4">
        <w:rPr>
          <w:rFonts w:ascii="Times New Roman" w:hAnsi="Times New Roman" w:cs="Times New Roman"/>
          <w:b/>
          <w:bCs/>
        </w:rPr>
        <w:t xml:space="preserve"> </w:t>
      </w:r>
    </w:p>
    <w:p w14:paraId="6C534334" w14:textId="77777777" w:rsidR="005A78C6" w:rsidRPr="00FF7DC4" w:rsidRDefault="005A78C6" w:rsidP="00A11026">
      <w:pPr>
        <w:spacing w:line="480" w:lineRule="auto"/>
        <w:jc w:val="center"/>
        <w:rPr>
          <w:rFonts w:ascii="Times New Roman" w:hAnsi="Times New Roman" w:cs="Times New Roman"/>
          <w:b/>
          <w:bCs/>
        </w:rPr>
      </w:pPr>
    </w:p>
    <w:p w14:paraId="61779813" w14:textId="260327C1" w:rsidR="003330A3" w:rsidRPr="00FF7DC4" w:rsidRDefault="003330A3" w:rsidP="00A11026">
      <w:pPr>
        <w:spacing w:line="480" w:lineRule="auto"/>
        <w:jc w:val="center"/>
        <w:rPr>
          <w:rFonts w:ascii="Times New Roman" w:hAnsi="Times New Roman" w:cs="Times New Roman"/>
        </w:rPr>
      </w:pPr>
      <w:r w:rsidRPr="00FF7DC4">
        <w:rPr>
          <w:rFonts w:ascii="Times New Roman" w:hAnsi="Times New Roman" w:cs="Times New Roman"/>
        </w:rPr>
        <w:t xml:space="preserve">Brittney </w:t>
      </w:r>
      <w:r w:rsidR="005A78C6">
        <w:rPr>
          <w:rFonts w:ascii="Times New Roman" w:hAnsi="Times New Roman" w:cs="Times New Roman"/>
        </w:rPr>
        <w:t xml:space="preserve">M. </w:t>
      </w:r>
      <w:r w:rsidRPr="00FF7DC4">
        <w:rPr>
          <w:rFonts w:ascii="Times New Roman" w:hAnsi="Times New Roman" w:cs="Times New Roman"/>
        </w:rPr>
        <w:t>Sabol</w:t>
      </w:r>
    </w:p>
    <w:p w14:paraId="44120963" w14:textId="77777777" w:rsidR="003330A3" w:rsidRPr="00FF7DC4" w:rsidRDefault="003330A3" w:rsidP="00A11026">
      <w:pPr>
        <w:pStyle w:val="APA"/>
        <w:ind w:firstLine="0"/>
        <w:contextualSpacing/>
        <w:jc w:val="center"/>
        <w:rPr>
          <w:szCs w:val="24"/>
        </w:rPr>
      </w:pPr>
      <w:r w:rsidRPr="00FF7DC4">
        <w:rPr>
          <w:szCs w:val="24"/>
        </w:rPr>
        <w:t>College of Nursing, East Carolina University</w:t>
      </w:r>
    </w:p>
    <w:p w14:paraId="02FEF7CE" w14:textId="77777777" w:rsidR="003330A3" w:rsidRPr="00FF7DC4" w:rsidRDefault="003330A3" w:rsidP="00A11026">
      <w:pPr>
        <w:pStyle w:val="APA"/>
        <w:ind w:firstLine="0"/>
        <w:contextualSpacing/>
        <w:jc w:val="center"/>
        <w:rPr>
          <w:szCs w:val="24"/>
        </w:rPr>
      </w:pPr>
      <w:r w:rsidRPr="00FF7DC4">
        <w:rPr>
          <w:szCs w:val="24"/>
        </w:rPr>
        <w:t>Doctor of Nursing Practice Program</w:t>
      </w:r>
    </w:p>
    <w:p w14:paraId="0A754F57" w14:textId="3C17249E" w:rsidR="003330A3" w:rsidRPr="00FF7DC4" w:rsidRDefault="003330A3" w:rsidP="00A11026">
      <w:pPr>
        <w:pStyle w:val="APA"/>
        <w:ind w:firstLine="0"/>
        <w:contextualSpacing/>
        <w:jc w:val="center"/>
        <w:rPr>
          <w:szCs w:val="24"/>
        </w:rPr>
      </w:pPr>
      <w:r w:rsidRPr="00FF7DC4">
        <w:rPr>
          <w:szCs w:val="24"/>
        </w:rPr>
        <w:t xml:space="preserve">Dr. </w:t>
      </w:r>
      <w:r w:rsidR="005A2820">
        <w:rPr>
          <w:szCs w:val="24"/>
        </w:rPr>
        <w:t>Krystle</w:t>
      </w:r>
      <w:r w:rsidRPr="00FF7DC4">
        <w:rPr>
          <w:szCs w:val="24"/>
        </w:rPr>
        <w:t xml:space="preserve"> </w:t>
      </w:r>
      <w:r w:rsidR="005A2820">
        <w:rPr>
          <w:szCs w:val="24"/>
        </w:rPr>
        <w:t>Vinson</w:t>
      </w:r>
    </w:p>
    <w:p w14:paraId="5171643F" w14:textId="6FC87251" w:rsidR="003330A3" w:rsidRPr="00FF7DC4" w:rsidRDefault="005A2820" w:rsidP="00A11026">
      <w:pPr>
        <w:spacing w:line="480" w:lineRule="auto"/>
        <w:jc w:val="center"/>
        <w:rPr>
          <w:rFonts w:ascii="Times New Roman" w:hAnsi="Times New Roman" w:cs="Times New Roman"/>
        </w:rPr>
      </w:pPr>
      <w:r>
        <w:rPr>
          <w:rFonts w:ascii="Times New Roman" w:hAnsi="Times New Roman" w:cs="Times New Roman"/>
        </w:rPr>
        <w:t>April</w:t>
      </w:r>
      <w:r w:rsidR="00FE31D3">
        <w:rPr>
          <w:rFonts w:ascii="Times New Roman" w:hAnsi="Times New Roman" w:cs="Times New Roman"/>
        </w:rPr>
        <w:t xml:space="preserve"> 2</w:t>
      </w:r>
      <w:r w:rsidR="00684C31">
        <w:rPr>
          <w:rFonts w:ascii="Times New Roman" w:hAnsi="Times New Roman" w:cs="Times New Roman"/>
        </w:rPr>
        <w:t>1</w:t>
      </w:r>
      <w:r w:rsidR="00FE31D3">
        <w:rPr>
          <w:rFonts w:ascii="Times New Roman" w:hAnsi="Times New Roman" w:cs="Times New Roman"/>
        </w:rPr>
        <w:t>, 2022</w:t>
      </w:r>
    </w:p>
    <w:p w14:paraId="2FF98160" w14:textId="77777777" w:rsidR="00FE31D3" w:rsidRDefault="005A78C6" w:rsidP="00FE31D3">
      <w:pPr>
        <w:spacing w:line="480" w:lineRule="auto"/>
        <w:jc w:val="center"/>
        <w:rPr>
          <w:rFonts w:ascii="Times New Roman" w:hAnsi="Times New Roman" w:cs="Times New Roman"/>
          <w:b/>
          <w:bCs/>
        </w:rPr>
      </w:pPr>
      <w:r>
        <w:rPr>
          <w:rFonts w:ascii="Times New Roman" w:hAnsi="Times New Roman" w:cs="Times New Roman"/>
        </w:rPr>
        <w:br w:type="page"/>
      </w:r>
      <w:r w:rsidR="00FE31D3">
        <w:rPr>
          <w:rFonts w:ascii="Times New Roman" w:hAnsi="Times New Roman" w:cs="Times New Roman"/>
          <w:b/>
          <w:bCs/>
        </w:rPr>
        <w:lastRenderedPageBreak/>
        <w:t xml:space="preserve">Abstract </w:t>
      </w:r>
    </w:p>
    <w:p w14:paraId="06DFD536" w14:textId="3056DCB9" w:rsidR="00A54E43" w:rsidRDefault="00A54E43" w:rsidP="00FE31D3">
      <w:pPr>
        <w:spacing w:line="480" w:lineRule="auto"/>
        <w:rPr>
          <w:rFonts w:ascii="Times New Roman" w:hAnsi="Times New Roman" w:cs="Times New Roman"/>
        </w:rPr>
      </w:pPr>
      <w:r w:rsidRPr="00A54E43">
        <w:rPr>
          <w:rFonts w:ascii="Times New Roman" w:hAnsi="Times New Roman" w:cs="Times New Roman"/>
        </w:rPr>
        <w:t xml:space="preserve">Symptom management is an integral component of end-of-life care provided by hospice services. This project employed a list of alternative low-cost medication options for symptom management to decrease medication costs to the hospice organization. This project applied a multifaceted educational approach to lower the average overall medication cost and the average nonformulary medication cost per patient per day. A quick-reference guide was created and comprised of a target medication list of high-cost, high-use medications, and medications proposed by the nursing and pharmacy staff. In collaboration with the organization’s pharmacy team, a list of low-cost alternative and formulary options with cost comparisons was defined for each </w:t>
      </w:r>
      <w:r w:rsidR="00E40AD2">
        <w:rPr>
          <w:rFonts w:ascii="Times New Roman" w:hAnsi="Times New Roman" w:cs="Times New Roman"/>
        </w:rPr>
        <w:t xml:space="preserve">target </w:t>
      </w:r>
      <w:r w:rsidRPr="00A54E43">
        <w:rPr>
          <w:rFonts w:ascii="Times New Roman" w:hAnsi="Times New Roman" w:cs="Times New Roman"/>
        </w:rPr>
        <w:t xml:space="preserve">medication and included in the guide. All nursing staff was educated regarding the quick-reference guide and its use. The tools were disseminated physically and digitally to all home care and hospice house nurses and providers. Post-implementation data showed an average of $2.92 cost reduction in overall medication cost and $0.35 cost reduction in nonformulary medication cost per patient per day. These findings compute to a projected estimated annual savings of $149,212 to $159,870 for overall medication cost and $17,885 to $19,162 for nonformulary medication cost, dependent upon patient census. These findings support </w:t>
      </w:r>
      <w:r w:rsidR="00E963C5">
        <w:rPr>
          <w:rFonts w:ascii="Times New Roman" w:hAnsi="Times New Roman" w:cs="Times New Roman"/>
        </w:rPr>
        <w:t>the use of</w:t>
      </w:r>
      <w:r w:rsidRPr="00A54E43">
        <w:rPr>
          <w:rFonts w:ascii="Times New Roman" w:hAnsi="Times New Roman" w:cs="Times New Roman"/>
        </w:rPr>
        <w:t xml:space="preserve"> a multifaceted education</w:t>
      </w:r>
      <w:r w:rsidR="00E963C5">
        <w:rPr>
          <w:rFonts w:ascii="Times New Roman" w:hAnsi="Times New Roman" w:cs="Times New Roman"/>
        </w:rPr>
        <w:t>al</w:t>
      </w:r>
      <w:r w:rsidRPr="00A54E43">
        <w:rPr>
          <w:rFonts w:ascii="Times New Roman" w:hAnsi="Times New Roman" w:cs="Times New Roman"/>
        </w:rPr>
        <w:t xml:space="preserve"> approach to medication cost reduction in the hospice setting. However, further investigation of other methods is </w:t>
      </w:r>
      <w:r w:rsidR="00E40AD2" w:rsidRPr="00A54E43">
        <w:rPr>
          <w:rFonts w:ascii="Times New Roman" w:hAnsi="Times New Roman" w:cs="Times New Roman"/>
        </w:rPr>
        <w:t>warranted,</w:t>
      </w:r>
      <w:r w:rsidR="00E963C5">
        <w:rPr>
          <w:rFonts w:ascii="Times New Roman" w:hAnsi="Times New Roman" w:cs="Times New Roman"/>
        </w:rPr>
        <w:t xml:space="preserve"> and more robust studies are needed to fully estimate the long-term impact of a project like this.</w:t>
      </w:r>
    </w:p>
    <w:p w14:paraId="22DF5346" w14:textId="5A72F2F7" w:rsidR="00FE31D3" w:rsidRPr="00FE31D3" w:rsidRDefault="00FE31D3" w:rsidP="00FE31D3">
      <w:pPr>
        <w:spacing w:line="480" w:lineRule="auto"/>
        <w:rPr>
          <w:rFonts w:ascii="Times New Roman" w:hAnsi="Times New Roman" w:cs="Times New Roman"/>
        </w:rPr>
      </w:pPr>
      <w:r>
        <w:rPr>
          <w:rFonts w:ascii="Times New Roman" w:hAnsi="Times New Roman" w:cs="Times New Roman"/>
        </w:rPr>
        <w:tab/>
      </w:r>
      <w:r w:rsidRPr="00FE31D3">
        <w:rPr>
          <w:rFonts w:ascii="Times New Roman" w:hAnsi="Times New Roman" w:cs="Times New Roman"/>
          <w:i/>
          <w:iCs/>
        </w:rPr>
        <w:t>Keywords</w:t>
      </w:r>
      <w:r>
        <w:rPr>
          <w:rFonts w:ascii="Times New Roman" w:hAnsi="Times New Roman" w:cs="Times New Roman"/>
        </w:rPr>
        <w:t xml:space="preserve"> cost savings, medication cost, educational intervention, formulary, hospice</w:t>
      </w:r>
    </w:p>
    <w:p w14:paraId="23369FE2" w14:textId="77777777" w:rsidR="00FE31D3" w:rsidRDefault="00FE31D3" w:rsidP="00FE31D3">
      <w:pPr>
        <w:spacing w:line="480" w:lineRule="auto"/>
        <w:jc w:val="center"/>
        <w:rPr>
          <w:rFonts w:ascii="Times New Roman" w:hAnsi="Times New Roman" w:cs="Times New Roman"/>
        </w:rPr>
      </w:pPr>
    </w:p>
    <w:p w14:paraId="01A0570E" w14:textId="77777777" w:rsidR="00FE31D3" w:rsidRDefault="00FE31D3" w:rsidP="00FE31D3">
      <w:pPr>
        <w:spacing w:line="480" w:lineRule="auto"/>
        <w:jc w:val="center"/>
        <w:rPr>
          <w:rFonts w:ascii="Times New Roman" w:hAnsi="Times New Roman" w:cs="Times New Roman"/>
        </w:rPr>
      </w:pPr>
    </w:p>
    <w:p w14:paraId="3065308A" w14:textId="77777777" w:rsidR="005D637B" w:rsidRDefault="005D637B" w:rsidP="00740E83">
      <w:pPr>
        <w:spacing w:line="480" w:lineRule="auto"/>
        <w:rPr>
          <w:rFonts w:ascii="Times New Roman" w:hAnsi="Times New Roman" w:cs="Times New Roman"/>
          <w:b/>
          <w:bCs/>
        </w:rPr>
      </w:pPr>
    </w:p>
    <w:p w14:paraId="4048910A" w14:textId="5BCF07A5" w:rsidR="00FE31D3" w:rsidRDefault="00FE31D3" w:rsidP="00FE31D3">
      <w:pPr>
        <w:spacing w:line="480" w:lineRule="auto"/>
        <w:jc w:val="center"/>
        <w:rPr>
          <w:rFonts w:ascii="Times New Roman" w:hAnsi="Times New Roman" w:cs="Times New Roman"/>
          <w:b/>
          <w:bCs/>
        </w:rPr>
      </w:pPr>
      <w:r>
        <w:rPr>
          <w:rFonts w:ascii="Times New Roman" w:hAnsi="Times New Roman" w:cs="Times New Roman"/>
          <w:b/>
          <w:bCs/>
        </w:rPr>
        <w:lastRenderedPageBreak/>
        <w:t>Table of Contents</w:t>
      </w:r>
    </w:p>
    <w:p w14:paraId="3AF0F5B0" w14:textId="77777777" w:rsidR="00FE31D3" w:rsidRPr="007E5D36" w:rsidRDefault="00FE31D3" w:rsidP="005D637B">
      <w:pPr>
        <w:spacing w:line="480" w:lineRule="auto"/>
        <w:jc w:val="right"/>
        <w:rPr>
          <w:rFonts w:ascii="Times New Roman" w:hAnsi="Times New Roman" w:cs="Times New Roman"/>
          <w:b/>
          <w:bCs/>
        </w:rPr>
      </w:pPr>
      <w:r>
        <w:rPr>
          <w:rFonts w:ascii="Times New Roman" w:hAnsi="Times New Roman" w:cs="Times New Roman"/>
        </w:rPr>
        <w:t>Abstract …………………………………………………………………………………………. 2</w:t>
      </w:r>
    </w:p>
    <w:p w14:paraId="490E3E99" w14:textId="7AB7C503" w:rsidR="00FE31D3" w:rsidRDefault="00FE31D3" w:rsidP="005D637B">
      <w:pPr>
        <w:spacing w:line="480" w:lineRule="auto"/>
        <w:jc w:val="right"/>
        <w:rPr>
          <w:rFonts w:ascii="Times New Roman" w:hAnsi="Times New Roman" w:cs="Times New Roman"/>
        </w:rPr>
      </w:pPr>
      <w:r>
        <w:rPr>
          <w:rFonts w:ascii="Times New Roman" w:hAnsi="Times New Roman" w:cs="Times New Roman"/>
        </w:rPr>
        <w:t>Section I: Introduction.……………………………………………………………………………5</w:t>
      </w:r>
    </w:p>
    <w:p w14:paraId="42844F5F" w14:textId="2F81E64E"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Background……………………………………………………………………………….5</w:t>
      </w:r>
    </w:p>
    <w:p w14:paraId="68E5B68B" w14:textId="16F14C09"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Organizational Needs Statement………………………………………………………….5</w:t>
      </w:r>
    </w:p>
    <w:p w14:paraId="4F98D3D4"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Problem Statement………………………………………………………………………...7</w:t>
      </w:r>
    </w:p>
    <w:p w14:paraId="350343FC"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Purpose Statement…………………………………………………………………………7</w:t>
      </w:r>
    </w:p>
    <w:p w14:paraId="5953D776"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Section II: Evidence……………………………………………………………………………….9</w:t>
      </w:r>
    </w:p>
    <w:p w14:paraId="007DBD90"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Literature Review………………………………………………………………………….9</w:t>
      </w:r>
    </w:p>
    <w:p w14:paraId="72DDDBCE"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Evidence-Based Practice Framework……………………………………………………14</w:t>
      </w:r>
    </w:p>
    <w:p w14:paraId="44466B44"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Ethical Consideration and Protection of Human Subjects……………………………….16</w:t>
      </w:r>
    </w:p>
    <w:p w14:paraId="5C8DF7A1" w14:textId="77777777" w:rsidR="00FE31D3" w:rsidRDefault="00FE31D3" w:rsidP="00FE31D3">
      <w:pPr>
        <w:spacing w:line="480" w:lineRule="auto"/>
        <w:rPr>
          <w:rFonts w:ascii="Times New Roman" w:hAnsi="Times New Roman" w:cs="Times New Roman"/>
        </w:rPr>
      </w:pPr>
      <w:r>
        <w:rPr>
          <w:rFonts w:ascii="Times New Roman" w:hAnsi="Times New Roman" w:cs="Times New Roman"/>
        </w:rPr>
        <w:t>Section III: Project Design……………………………………………………………………….18</w:t>
      </w:r>
    </w:p>
    <w:p w14:paraId="4D61B2DB"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Project Site and Population………………………………………………………………18</w:t>
      </w:r>
    </w:p>
    <w:p w14:paraId="38174D75" w14:textId="712EF098"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Project Team…………………………………………………………………………….19</w:t>
      </w:r>
    </w:p>
    <w:p w14:paraId="7103496F"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Project Goals and Outcomes Measures………………………………………………….19</w:t>
      </w:r>
    </w:p>
    <w:p w14:paraId="26250F8D" w14:textId="05B93004"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Implementation Plan…………………………………………………………………….21</w:t>
      </w:r>
    </w:p>
    <w:p w14:paraId="76D2612C"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Timeline………………………………………………………………………………….21</w:t>
      </w:r>
    </w:p>
    <w:p w14:paraId="7FE6C3BA"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Section IV: Results and Findings………………………………………………………………...23</w:t>
      </w:r>
    </w:p>
    <w:p w14:paraId="52EFA264"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Results……………………………………………………………………………………23</w:t>
      </w:r>
    </w:p>
    <w:p w14:paraId="4E35BEDA"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Discussion of Major Findings……………………………………………………………24</w:t>
      </w:r>
    </w:p>
    <w:p w14:paraId="7EE799F1"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Section V: Interpretation and Implications………………………………………………………26</w:t>
      </w:r>
    </w:p>
    <w:p w14:paraId="1609B035" w14:textId="67627B1E" w:rsidR="00FE31D3" w:rsidRDefault="00FE31D3" w:rsidP="005D637B">
      <w:pPr>
        <w:spacing w:line="480" w:lineRule="auto"/>
        <w:ind w:firstLine="720"/>
        <w:jc w:val="right"/>
        <w:rPr>
          <w:rFonts w:ascii="Times New Roman" w:hAnsi="Times New Roman" w:cs="Times New Roman"/>
        </w:rPr>
      </w:pPr>
      <w:r>
        <w:rPr>
          <w:rFonts w:ascii="Times New Roman" w:hAnsi="Times New Roman" w:cs="Times New Roman"/>
        </w:rPr>
        <w:t>Costs and Resource Management……………………………………………………….26</w:t>
      </w:r>
    </w:p>
    <w:p w14:paraId="0CB9AC43" w14:textId="0707A34E" w:rsidR="00FE31D3" w:rsidRDefault="00FE31D3" w:rsidP="005D637B">
      <w:pPr>
        <w:spacing w:line="480" w:lineRule="auto"/>
        <w:ind w:firstLine="720"/>
        <w:jc w:val="right"/>
        <w:rPr>
          <w:rFonts w:ascii="Times New Roman" w:hAnsi="Times New Roman" w:cs="Times New Roman"/>
        </w:rPr>
      </w:pPr>
      <w:r>
        <w:rPr>
          <w:rFonts w:ascii="Times New Roman" w:hAnsi="Times New Roman" w:cs="Times New Roman"/>
        </w:rPr>
        <w:t>Implications of the Findings…………………………………………………………….27</w:t>
      </w:r>
    </w:p>
    <w:p w14:paraId="4A1232FF" w14:textId="77777777" w:rsidR="00FE31D3" w:rsidRDefault="00FE31D3" w:rsidP="005D637B">
      <w:pPr>
        <w:spacing w:line="480" w:lineRule="auto"/>
        <w:ind w:firstLine="720"/>
        <w:jc w:val="right"/>
        <w:rPr>
          <w:rFonts w:ascii="Times New Roman" w:hAnsi="Times New Roman" w:cs="Times New Roman"/>
        </w:rPr>
      </w:pPr>
      <w:r>
        <w:rPr>
          <w:rFonts w:ascii="Times New Roman" w:hAnsi="Times New Roman" w:cs="Times New Roman"/>
        </w:rPr>
        <w:lastRenderedPageBreak/>
        <w:t>Sustainability ……………………………………………………………………………29</w:t>
      </w:r>
    </w:p>
    <w:p w14:paraId="373B445E" w14:textId="77777777" w:rsidR="00FE31D3" w:rsidRDefault="00FE31D3" w:rsidP="005D637B">
      <w:pPr>
        <w:spacing w:line="480" w:lineRule="auto"/>
        <w:ind w:firstLine="720"/>
        <w:jc w:val="right"/>
        <w:rPr>
          <w:rFonts w:ascii="Times New Roman" w:hAnsi="Times New Roman" w:cs="Times New Roman"/>
        </w:rPr>
      </w:pPr>
      <w:r>
        <w:rPr>
          <w:rFonts w:ascii="Times New Roman" w:hAnsi="Times New Roman" w:cs="Times New Roman"/>
        </w:rPr>
        <w:t>Dissemination Plan ……………………………………………………………………...30</w:t>
      </w:r>
    </w:p>
    <w:p w14:paraId="77BA9AEB" w14:textId="519A38B6" w:rsidR="00FE31D3" w:rsidRDefault="00FE31D3" w:rsidP="005D637B">
      <w:pPr>
        <w:spacing w:line="480" w:lineRule="auto"/>
        <w:jc w:val="right"/>
        <w:rPr>
          <w:rFonts w:ascii="Times New Roman" w:hAnsi="Times New Roman" w:cs="Times New Roman"/>
        </w:rPr>
      </w:pPr>
      <w:r>
        <w:rPr>
          <w:rFonts w:ascii="Times New Roman" w:hAnsi="Times New Roman" w:cs="Times New Roman"/>
        </w:rPr>
        <w:t>Section VI: Conclusion……………………………………………………………………….….31</w:t>
      </w:r>
    </w:p>
    <w:p w14:paraId="4CD6223B" w14:textId="3AD9D3AC"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Limitations and Facilitators………….…………………………………………….…….31</w:t>
      </w:r>
    </w:p>
    <w:p w14:paraId="4DEC0AD3"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Recommendations for Others……………………………………………………………32</w:t>
      </w:r>
    </w:p>
    <w:p w14:paraId="73680EE0"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b/>
        <w:t>Recommendations for Further Study…………………………………………………….32</w:t>
      </w:r>
      <w:r>
        <w:rPr>
          <w:rFonts w:ascii="Times New Roman" w:hAnsi="Times New Roman" w:cs="Times New Roman"/>
        </w:rPr>
        <w:tab/>
        <w:t>Final Thoughts…………………………………………………………………………...32</w:t>
      </w:r>
    </w:p>
    <w:p w14:paraId="7A0F997D" w14:textId="3BB49710" w:rsidR="00FE31D3" w:rsidRDefault="00FE31D3" w:rsidP="005D637B">
      <w:pPr>
        <w:spacing w:line="480" w:lineRule="auto"/>
        <w:jc w:val="right"/>
        <w:rPr>
          <w:rFonts w:ascii="Times New Roman" w:hAnsi="Times New Roman" w:cs="Times New Roman"/>
        </w:rPr>
      </w:pPr>
      <w:r>
        <w:rPr>
          <w:rFonts w:ascii="Times New Roman" w:hAnsi="Times New Roman" w:cs="Times New Roman"/>
        </w:rPr>
        <w:t>References……………………………………………………………………………………….34</w:t>
      </w:r>
    </w:p>
    <w:p w14:paraId="438042D3" w14:textId="77777777" w:rsidR="00FE31D3" w:rsidRDefault="00FE31D3" w:rsidP="005D637B">
      <w:pPr>
        <w:spacing w:line="480" w:lineRule="auto"/>
        <w:jc w:val="right"/>
        <w:rPr>
          <w:rFonts w:ascii="Times New Roman" w:hAnsi="Times New Roman" w:cs="Times New Roman"/>
        </w:rPr>
      </w:pPr>
      <w:r>
        <w:rPr>
          <w:rFonts w:ascii="Times New Roman" w:hAnsi="Times New Roman" w:cs="Times New Roman"/>
        </w:rPr>
        <w:t>Appendices……………………………………………………………………………………….37</w:t>
      </w:r>
    </w:p>
    <w:p w14:paraId="2A908094" w14:textId="508A3B12" w:rsidR="00FE31D3" w:rsidRDefault="00FE31D3" w:rsidP="005D637B">
      <w:pPr>
        <w:spacing w:line="480" w:lineRule="auto"/>
        <w:jc w:val="right"/>
        <w:rPr>
          <w:rFonts w:ascii="Times New Roman" w:hAnsi="Times New Roman" w:cs="Times New Roman"/>
        </w:rPr>
      </w:pPr>
      <w:r>
        <w:rPr>
          <w:rFonts w:ascii="Times New Roman" w:hAnsi="Times New Roman" w:cs="Times New Roman"/>
        </w:rPr>
        <w:t>Appendix A: Literature Matrix.………………………………………………………….37</w:t>
      </w:r>
    </w:p>
    <w:p w14:paraId="04A18523" w14:textId="6752454F" w:rsidR="00FE31D3" w:rsidRDefault="00FE31D3" w:rsidP="005D637B">
      <w:pPr>
        <w:spacing w:line="480" w:lineRule="auto"/>
        <w:ind w:firstLine="720"/>
        <w:jc w:val="right"/>
        <w:rPr>
          <w:rFonts w:ascii="Times New Roman" w:hAnsi="Times New Roman" w:cs="Times New Roman"/>
        </w:rPr>
      </w:pPr>
      <w:r>
        <w:rPr>
          <w:rFonts w:ascii="Times New Roman" w:hAnsi="Times New Roman" w:cs="Times New Roman"/>
        </w:rPr>
        <w:t>Appendix B: Plan Do Study Act (PDSA) Framework. ………………………………….41</w:t>
      </w:r>
    </w:p>
    <w:p w14:paraId="202FAAAA" w14:textId="0C0CBDA9" w:rsidR="00840CB8" w:rsidRPr="00840CB8" w:rsidRDefault="00840CB8" w:rsidP="00840CB8">
      <w:pPr>
        <w:spacing w:line="480" w:lineRule="auto"/>
        <w:ind w:firstLine="720"/>
        <w:rPr>
          <w:rFonts w:ascii="Times New Roman" w:hAnsi="Times New Roman" w:cs="Times New Roman"/>
        </w:rPr>
      </w:pPr>
      <w:r w:rsidRPr="00840CB8">
        <w:rPr>
          <w:rFonts w:ascii="Times New Roman" w:hAnsi="Times New Roman" w:cs="Times New Roman"/>
        </w:rPr>
        <w:t xml:space="preserve">Appendix </w:t>
      </w:r>
      <w:r>
        <w:rPr>
          <w:rFonts w:ascii="Times New Roman" w:hAnsi="Times New Roman" w:cs="Times New Roman"/>
        </w:rPr>
        <w:t>C</w:t>
      </w:r>
      <w:r w:rsidRPr="00840CB8">
        <w:rPr>
          <w:rFonts w:ascii="Times New Roman" w:hAnsi="Times New Roman" w:cs="Times New Roman"/>
        </w:rPr>
        <w:t>: Driver Diagram…………………………………………………</w:t>
      </w:r>
      <w:r>
        <w:rPr>
          <w:rFonts w:ascii="Times New Roman" w:hAnsi="Times New Roman" w:cs="Times New Roman"/>
        </w:rPr>
        <w:t>.</w:t>
      </w:r>
      <w:r w:rsidRPr="00840CB8">
        <w:rPr>
          <w:rFonts w:ascii="Times New Roman" w:hAnsi="Times New Roman" w:cs="Times New Roman"/>
        </w:rPr>
        <w:t>…………</w:t>
      </w:r>
      <w:r>
        <w:rPr>
          <w:rFonts w:ascii="Times New Roman" w:hAnsi="Times New Roman" w:cs="Times New Roman"/>
        </w:rPr>
        <w:t>42</w:t>
      </w:r>
    </w:p>
    <w:p w14:paraId="1CC3917E" w14:textId="409FF074" w:rsidR="00FE31D3" w:rsidRDefault="00FE31D3" w:rsidP="005D637B">
      <w:pPr>
        <w:spacing w:line="480" w:lineRule="auto"/>
        <w:jc w:val="right"/>
        <w:rPr>
          <w:rFonts w:ascii="Times New Roman" w:hAnsi="Times New Roman" w:cs="Times New Roman"/>
          <w:b/>
        </w:rPr>
      </w:pPr>
      <w:r>
        <w:rPr>
          <w:rFonts w:ascii="Times New Roman" w:hAnsi="Times New Roman" w:cs="Times New Roman"/>
        </w:rPr>
        <w:t xml:space="preserve"> Appendix </w:t>
      </w:r>
      <w:r w:rsidR="00840CB8">
        <w:rPr>
          <w:rFonts w:ascii="Times New Roman" w:hAnsi="Times New Roman" w:cs="Times New Roman"/>
        </w:rPr>
        <w:t>D</w:t>
      </w:r>
      <w:r>
        <w:rPr>
          <w:rFonts w:ascii="Times New Roman" w:hAnsi="Times New Roman" w:cs="Times New Roman"/>
        </w:rPr>
        <w:t>: Quick-reference Tool………………………………………………………4</w:t>
      </w:r>
      <w:r w:rsidR="00840CB8">
        <w:rPr>
          <w:rFonts w:ascii="Times New Roman" w:hAnsi="Times New Roman" w:cs="Times New Roman"/>
        </w:rPr>
        <w:t>3</w:t>
      </w:r>
    </w:p>
    <w:p w14:paraId="78DB59A3" w14:textId="512F6AD3" w:rsidR="00FE31D3" w:rsidRDefault="00FE31D3" w:rsidP="005D637B">
      <w:pPr>
        <w:spacing w:line="480" w:lineRule="auto"/>
        <w:jc w:val="right"/>
        <w:rPr>
          <w:rFonts w:ascii="Times New Roman" w:hAnsi="Times New Roman" w:cs="Times New Roman"/>
        </w:rPr>
      </w:pPr>
      <w:r>
        <w:rPr>
          <w:rFonts w:ascii="Times New Roman" w:hAnsi="Times New Roman" w:cs="Times New Roman"/>
        </w:rPr>
        <w:t xml:space="preserve">           Appendix </w:t>
      </w:r>
      <w:r w:rsidR="00840CB8">
        <w:rPr>
          <w:rFonts w:ascii="Times New Roman" w:hAnsi="Times New Roman" w:cs="Times New Roman"/>
        </w:rPr>
        <w:t>E</w:t>
      </w:r>
      <w:r>
        <w:rPr>
          <w:rFonts w:ascii="Times New Roman" w:hAnsi="Times New Roman" w:cs="Times New Roman"/>
        </w:rPr>
        <w:t>: Project Timeline……………………………………………………………4</w:t>
      </w:r>
      <w:r w:rsidR="00840CB8">
        <w:rPr>
          <w:rFonts w:ascii="Times New Roman" w:hAnsi="Times New Roman" w:cs="Times New Roman"/>
        </w:rPr>
        <w:t>5</w:t>
      </w:r>
    </w:p>
    <w:p w14:paraId="512AFB15" w14:textId="2646FAB5" w:rsidR="00FE31D3" w:rsidRPr="00FE31D3" w:rsidRDefault="00FE31D3" w:rsidP="00840CB8">
      <w:pPr>
        <w:spacing w:line="480" w:lineRule="auto"/>
        <w:ind w:firstLine="720"/>
        <w:rPr>
          <w:rFonts w:ascii="Times New Roman" w:hAnsi="Times New Roman" w:cs="Times New Roman"/>
        </w:rPr>
      </w:pPr>
      <w:r>
        <w:rPr>
          <w:rFonts w:ascii="Times New Roman" w:hAnsi="Times New Roman" w:cs="Times New Roman"/>
        </w:rPr>
        <w:t xml:space="preserve">Appendix </w:t>
      </w:r>
      <w:r w:rsidR="00840CB8">
        <w:rPr>
          <w:rFonts w:ascii="Times New Roman" w:hAnsi="Times New Roman" w:cs="Times New Roman"/>
        </w:rPr>
        <w:t>F</w:t>
      </w:r>
      <w:r>
        <w:rPr>
          <w:rFonts w:ascii="Times New Roman" w:hAnsi="Times New Roman" w:cs="Times New Roman"/>
        </w:rPr>
        <w:t>: Project Results Data……………………………………………………</w:t>
      </w:r>
      <w:r w:rsidR="00840CB8">
        <w:rPr>
          <w:rFonts w:ascii="Times New Roman" w:hAnsi="Times New Roman" w:cs="Times New Roman"/>
        </w:rPr>
        <w:t>.….</w:t>
      </w:r>
      <w:r>
        <w:rPr>
          <w:rFonts w:ascii="Times New Roman" w:hAnsi="Times New Roman" w:cs="Times New Roman"/>
        </w:rPr>
        <w:t>4</w:t>
      </w:r>
      <w:r w:rsidR="00840CB8">
        <w:rPr>
          <w:rFonts w:ascii="Times New Roman" w:hAnsi="Times New Roman" w:cs="Times New Roman"/>
        </w:rPr>
        <w:t>6</w:t>
      </w:r>
    </w:p>
    <w:p w14:paraId="6D218E01" w14:textId="3681A295" w:rsidR="00840CB8" w:rsidRDefault="00FE31D3" w:rsidP="00840CB8">
      <w:pPr>
        <w:spacing w:line="480" w:lineRule="auto"/>
        <w:ind w:firstLine="720"/>
        <w:rPr>
          <w:rFonts w:ascii="Times New Roman" w:hAnsi="Times New Roman" w:cs="Times New Roman"/>
        </w:rPr>
      </w:pPr>
      <w:r>
        <w:rPr>
          <w:rFonts w:ascii="Times New Roman" w:hAnsi="Times New Roman" w:cs="Times New Roman"/>
        </w:rPr>
        <w:t xml:space="preserve">Appendix </w:t>
      </w:r>
      <w:r w:rsidR="00840CB8">
        <w:rPr>
          <w:rFonts w:ascii="Times New Roman" w:hAnsi="Times New Roman" w:cs="Times New Roman"/>
        </w:rPr>
        <w:t>G</w:t>
      </w:r>
      <w:r>
        <w:rPr>
          <w:rFonts w:ascii="Times New Roman" w:hAnsi="Times New Roman" w:cs="Times New Roman"/>
        </w:rPr>
        <w:t xml:space="preserve">: </w:t>
      </w:r>
      <w:r w:rsidR="005D637B">
        <w:rPr>
          <w:rFonts w:ascii="Times New Roman" w:hAnsi="Times New Roman" w:cs="Times New Roman"/>
        </w:rPr>
        <w:t>Year-to-Year Savings</w:t>
      </w:r>
      <w:r w:rsidR="00840CB8">
        <w:rPr>
          <w:rFonts w:ascii="Times New Roman" w:hAnsi="Times New Roman" w:cs="Times New Roman"/>
        </w:rPr>
        <w:t xml:space="preserve"> </w:t>
      </w:r>
      <w:r w:rsidR="005D637B">
        <w:rPr>
          <w:rFonts w:ascii="Times New Roman" w:hAnsi="Times New Roman" w:cs="Times New Roman"/>
        </w:rPr>
        <w:t>Comparison</w:t>
      </w:r>
      <w:r>
        <w:rPr>
          <w:rFonts w:ascii="Times New Roman" w:hAnsi="Times New Roman" w:cs="Times New Roman"/>
        </w:rPr>
        <w:t>…………………………………</w:t>
      </w:r>
      <w:r w:rsidR="00840CB8">
        <w:rPr>
          <w:rFonts w:ascii="Times New Roman" w:hAnsi="Times New Roman" w:cs="Times New Roman"/>
        </w:rPr>
        <w:t>...</w:t>
      </w:r>
      <w:r>
        <w:rPr>
          <w:rFonts w:ascii="Times New Roman" w:hAnsi="Times New Roman" w:cs="Times New Roman"/>
        </w:rPr>
        <w:t>…...4</w:t>
      </w:r>
      <w:r w:rsidR="00840CB8">
        <w:rPr>
          <w:rFonts w:ascii="Times New Roman" w:hAnsi="Times New Roman" w:cs="Times New Roman"/>
        </w:rPr>
        <w:t>7</w:t>
      </w:r>
    </w:p>
    <w:p w14:paraId="7DF0E5CE" w14:textId="449E2BD1" w:rsidR="00FE31D3" w:rsidRPr="00840CB8" w:rsidRDefault="00FE31D3" w:rsidP="00840CB8">
      <w:pPr>
        <w:spacing w:line="480" w:lineRule="auto"/>
        <w:ind w:firstLine="720"/>
        <w:rPr>
          <w:rFonts w:ascii="Times New Roman" w:hAnsi="Times New Roman" w:cs="Times New Roman"/>
        </w:rPr>
      </w:pPr>
      <w:r>
        <w:rPr>
          <w:rFonts w:ascii="Times New Roman" w:hAnsi="Times New Roman" w:cs="Times New Roman"/>
        </w:rPr>
        <w:t xml:space="preserve">Appendix </w:t>
      </w:r>
      <w:r w:rsidR="00840CB8">
        <w:rPr>
          <w:rFonts w:ascii="Times New Roman" w:hAnsi="Times New Roman" w:cs="Times New Roman"/>
        </w:rPr>
        <w:t>H</w:t>
      </w:r>
      <w:r>
        <w:rPr>
          <w:rFonts w:ascii="Times New Roman" w:hAnsi="Times New Roman" w:cs="Times New Roman"/>
        </w:rPr>
        <w:t xml:space="preserve">: </w:t>
      </w:r>
      <w:r w:rsidR="005D637B">
        <w:rPr>
          <w:rFonts w:ascii="Times New Roman" w:hAnsi="Times New Roman" w:cs="Times New Roman"/>
        </w:rPr>
        <w:t xml:space="preserve">Pre-implementation Nurse Survey </w:t>
      </w:r>
      <w:r>
        <w:rPr>
          <w:rFonts w:ascii="Times New Roman" w:hAnsi="Times New Roman" w:cs="Times New Roman"/>
        </w:rPr>
        <w:t>…………………………………</w:t>
      </w:r>
      <w:r w:rsidR="00840CB8">
        <w:rPr>
          <w:rFonts w:ascii="Times New Roman" w:hAnsi="Times New Roman" w:cs="Times New Roman"/>
        </w:rPr>
        <w:t>.</w:t>
      </w:r>
      <w:r>
        <w:rPr>
          <w:rFonts w:ascii="Times New Roman" w:hAnsi="Times New Roman" w:cs="Times New Roman"/>
        </w:rPr>
        <w:t>…….4</w:t>
      </w:r>
      <w:r w:rsidR="00840CB8">
        <w:rPr>
          <w:rFonts w:ascii="Times New Roman" w:hAnsi="Times New Roman" w:cs="Times New Roman"/>
        </w:rPr>
        <w:t>8</w:t>
      </w:r>
    </w:p>
    <w:p w14:paraId="40A07C90" w14:textId="44F3A273" w:rsidR="00FE31D3" w:rsidRDefault="00FE31D3" w:rsidP="00840CB8">
      <w:pPr>
        <w:spacing w:line="480" w:lineRule="auto"/>
        <w:ind w:firstLine="720"/>
        <w:rPr>
          <w:rFonts w:ascii="Times New Roman" w:hAnsi="Times New Roman" w:cs="Times New Roman"/>
        </w:rPr>
      </w:pPr>
      <w:r>
        <w:rPr>
          <w:rFonts w:ascii="Times New Roman" w:hAnsi="Times New Roman" w:cs="Times New Roman"/>
        </w:rPr>
        <w:t xml:space="preserve">Appendix </w:t>
      </w:r>
      <w:r w:rsidR="00840CB8">
        <w:rPr>
          <w:rFonts w:ascii="Times New Roman" w:hAnsi="Times New Roman" w:cs="Times New Roman"/>
        </w:rPr>
        <w:t>I</w:t>
      </w:r>
      <w:r>
        <w:rPr>
          <w:rFonts w:ascii="Times New Roman" w:hAnsi="Times New Roman" w:cs="Times New Roman"/>
        </w:rPr>
        <w:t xml:space="preserve">: </w:t>
      </w:r>
      <w:r w:rsidR="005D637B">
        <w:rPr>
          <w:rFonts w:ascii="Times New Roman" w:hAnsi="Times New Roman" w:cs="Times New Roman"/>
        </w:rPr>
        <w:t xml:space="preserve">Post-implementation Nurse Survey </w:t>
      </w:r>
      <w:r>
        <w:rPr>
          <w:rFonts w:ascii="Times New Roman" w:hAnsi="Times New Roman" w:cs="Times New Roman"/>
        </w:rPr>
        <w:t>………………………………</w:t>
      </w:r>
      <w:r w:rsidR="00840CB8">
        <w:rPr>
          <w:rFonts w:ascii="Times New Roman" w:hAnsi="Times New Roman" w:cs="Times New Roman"/>
        </w:rPr>
        <w:t>.</w:t>
      </w:r>
      <w:r>
        <w:rPr>
          <w:rFonts w:ascii="Times New Roman" w:hAnsi="Times New Roman" w:cs="Times New Roman"/>
        </w:rPr>
        <w:t>……….4</w:t>
      </w:r>
      <w:r w:rsidR="00840CB8">
        <w:rPr>
          <w:rFonts w:ascii="Times New Roman" w:hAnsi="Times New Roman" w:cs="Times New Roman"/>
        </w:rPr>
        <w:t>9</w:t>
      </w:r>
    </w:p>
    <w:p w14:paraId="4F04A752" w14:textId="2F2ACA03" w:rsidR="00FE31D3" w:rsidRDefault="00FE31D3" w:rsidP="00840CB8">
      <w:pPr>
        <w:spacing w:line="480" w:lineRule="auto"/>
        <w:ind w:firstLine="720"/>
        <w:rPr>
          <w:rFonts w:ascii="Times New Roman" w:hAnsi="Times New Roman" w:cs="Times New Roman"/>
        </w:rPr>
      </w:pPr>
      <w:r>
        <w:rPr>
          <w:rFonts w:ascii="Times New Roman" w:hAnsi="Times New Roman" w:cs="Times New Roman"/>
        </w:rPr>
        <w:t xml:space="preserve">Appendix </w:t>
      </w:r>
      <w:r w:rsidR="00840CB8">
        <w:rPr>
          <w:rFonts w:ascii="Times New Roman" w:hAnsi="Times New Roman" w:cs="Times New Roman"/>
        </w:rPr>
        <w:t>J</w:t>
      </w:r>
      <w:r>
        <w:rPr>
          <w:rFonts w:ascii="Times New Roman" w:hAnsi="Times New Roman" w:cs="Times New Roman"/>
        </w:rPr>
        <w:t xml:space="preserve">: </w:t>
      </w:r>
      <w:r w:rsidR="005D637B">
        <w:rPr>
          <w:rFonts w:ascii="Times New Roman" w:hAnsi="Times New Roman" w:cs="Times New Roman"/>
        </w:rPr>
        <w:t xml:space="preserve">Project Budget Analysis </w:t>
      </w:r>
      <w:r>
        <w:rPr>
          <w:rFonts w:ascii="Times New Roman" w:hAnsi="Times New Roman" w:cs="Times New Roman"/>
        </w:rPr>
        <w:t>………………………………………………</w:t>
      </w:r>
      <w:r w:rsidR="005D637B">
        <w:rPr>
          <w:rFonts w:ascii="Times New Roman" w:hAnsi="Times New Roman" w:cs="Times New Roman"/>
        </w:rPr>
        <w:t>…...</w:t>
      </w:r>
      <w:r w:rsidR="00840CB8">
        <w:rPr>
          <w:rFonts w:ascii="Times New Roman" w:hAnsi="Times New Roman" w:cs="Times New Roman"/>
        </w:rPr>
        <w:t>50</w:t>
      </w:r>
    </w:p>
    <w:p w14:paraId="6ED38B92" w14:textId="6D7C0574" w:rsidR="00FE31D3" w:rsidRDefault="00FE31D3" w:rsidP="00840CB8">
      <w:pPr>
        <w:spacing w:line="480" w:lineRule="auto"/>
        <w:ind w:firstLine="720"/>
        <w:rPr>
          <w:rFonts w:ascii="Times New Roman" w:hAnsi="Times New Roman" w:cs="Times New Roman"/>
        </w:rPr>
      </w:pPr>
      <w:r>
        <w:rPr>
          <w:rFonts w:ascii="Times New Roman" w:hAnsi="Times New Roman" w:cs="Times New Roman"/>
        </w:rPr>
        <w:t xml:space="preserve">Appendix </w:t>
      </w:r>
      <w:r w:rsidR="00840CB8">
        <w:rPr>
          <w:rFonts w:ascii="Times New Roman" w:hAnsi="Times New Roman" w:cs="Times New Roman"/>
        </w:rPr>
        <w:t>K</w:t>
      </w:r>
      <w:r>
        <w:rPr>
          <w:rFonts w:ascii="Times New Roman" w:hAnsi="Times New Roman" w:cs="Times New Roman"/>
        </w:rPr>
        <w:t xml:space="preserve">: </w:t>
      </w:r>
      <w:r w:rsidR="005D637B">
        <w:rPr>
          <w:rFonts w:ascii="Times New Roman" w:hAnsi="Times New Roman" w:cs="Times New Roman"/>
        </w:rPr>
        <w:t xml:space="preserve">Project Management Report I </w:t>
      </w:r>
      <w:r>
        <w:rPr>
          <w:rFonts w:ascii="Times New Roman" w:hAnsi="Times New Roman" w:cs="Times New Roman"/>
        </w:rPr>
        <w:t>……………………………</w:t>
      </w:r>
      <w:r w:rsidR="00840CB8">
        <w:rPr>
          <w:rFonts w:ascii="Times New Roman" w:hAnsi="Times New Roman" w:cs="Times New Roman"/>
        </w:rPr>
        <w:t>.</w:t>
      </w:r>
      <w:r>
        <w:rPr>
          <w:rFonts w:ascii="Times New Roman" w:hAnsi="Times New Roman" w:cs="Times New Roman"/>
        </w:rPr>
        <w:t>……………</w:t>
      </w:r>
      <w:r w:rsidR="00840CB8">
        <w:rPr>
          <w:rFonts w:ascii="Times New Roman" w:hAnsi="Times New Roman" w:cs="Times New Roman"/>
        </w:rPr>
        <w:t>....</w:t>
      </w:r>
      <w:r>
        <w:rPr>
          <w:rFonts w:ascii="Times New Roman" w:hAnsi="Times New Roman" w:cs="Times New Roman"/>
        </w:rPr>
        <w:t>5</w:t>
      </w:r>
      <w:r w:rsidR="00840CB8">
        <w:rPr>
          <w:rFonts w:ascii="Times New Roman" w:hAnsi="Times New Roman" w:cs="Times New Roman"/>
        </w:rPr>
        <w:t>1</w:t>
      </w:r>
    </w:p>
    <w:p w14:paraId="3A9FB23C" w14:textId="38B5962D" w:rsidR="00FE31D3" w:rsidRDefault="00FE31D3" w:rsidP="00840CB8">
      <w:pPr>
        <w:spacing w:line="480" w:lineRule="auto"/>
        <w:ind w:firstLine="720"/>
        <w:rPr>
          <w:rFonts w:ascii="Times New Roman" w:hAnsi="Times New Roman" w:cs="Times New Roman"/>
        </w:rPr>
      </w:pPr>
      <w:r>
        <w:rPr>
          <w:rFonts w:ascii="Times New Roman" w:hAnsi="Times New Roman" w:cs="Times New Roman"/>
        </w:rPr>
        <w:t xml:space="preserve">Appendix </w:t>
      </w:r>
      <w:r w:rsidR="00840CB8">
        <w:rPr>
          <w:rFonts w:ascii="Times New Roman" w:hAnsi="Times New Roman" w:cs="Times New Roman"/>
        </w:rPr>
        <w:t>L</w:t>
      </w:r>
      <w:r>
        <w:rPr>
          <w:rFonts w:ascii="Times New Roman" w:hAnsi="Times New Roman" w:cs="Times New Roman"/>
        </w:rPr>
        <w:t xml:space="preserve">: </w:t>
      </w:r>
      <w:r w:rsidR="005D637B">
        <w:rPr>
          <w:rFonts w:ascii="Times New Roman" w:hAnsi="Times New Roman" w:cs="Times New Roman"/>
        </w:rPr>
        <w:t xml:space="preserve">Project Management Report II </w:t>
      </w:r>
      <w:r>
        <w:rPr>
          <w:rFonts w:ascii="Times New Roman" w:hAnsi="Times New Roman" w:cs="Times New Roman"/>
        </w:rPr>
        <w:t>……………………………………………5</w:t>
      </w:r>
      <w:r w:rsidR="00840CB8">
        <w:rPr>
          <w:rFonts w:ascii="Times New Roman" w:hAnsi="Times New Roman" w:cs="Times New Roman"/>
        </w:rPr>
        <w:t>2</w:t>
      </w:r>
    </w:p>
    <w:p w14:paraId="55C2F6EC" w14:textId="580218E7" w:rsidR="00FE31D3" w:rsidRDefault="00FE31D3" w:rsidP="00840CB8">
      <w:pPr>
        <w:spacing w:line="480" w:lineRule="auto"/>
        <w:ind w:firstLine="720"/>
        <w:rPr>
          <w:rFonts w:ascii="Times New Roman" w:hAnsi="Times New Roman" w:cs="Times New Roman"/>
        </w:rPr>
      </w:pPr>
      <w:r>
        <w:rPr>
          <w:rFonts w:ascii="Times New Roman" w:hAnsi="Times New Roman" w:cs="Times New Roman"/>
        </w:rPr>
        <w:t xml:space="preserve">Appendix </w:t>
      </w:r>
      <w:r w:rsidR="00840CB8">
        <w:rPr>
          <w:rFonts w:ascii="Times New Roman" w:hAnsi="Times New Roman" w:cs="Times New Roman"/>
        </w:rPr>
        <w:t>M</w:t>
      </w:r>
      <w:r>
        <w:rPr>
          <w:rFonts w:ascii="Times New Roman" w:hAnsi="Times New Roman" w:cs="Times New Roman"/>
        </w:rPr>
        <w:t xml:space="preserve">: </w:t>
      </w:r>
      <w:r w:rsidR="005D637B">
        <w:rPr>
          <w:rFonts w:ascii="Times New Roman" w:hAnsi="Times New Roman" w:cs="Times New Roman"/>
        </w:rPr>
        <w:t xml:space="preserve">Project Management Report III </w:t>
      </w:r>
      <w:r>
        <w:rPr>
          <w:rFonts w:ascii="Times New Roman" w:hAnsi="Times New Roman" w:cs="Times New Roman"/>
        </w:rPr>
        <w:t>………………………………………</w:t>
      </w:r>
      <w:r w:rsidR="005D637B">
        <w:rPr>
          <w:rFonts w:ascii="Times New Roman" w:hAnsi="Times New Roman" w:cs="Times New Roman"/>
        </w:rPr>
        <w:t>..</w:t>
      </w:r>
      <w:r w:rsidR="00840CB8">
        <w:rPr>
          <w:rFonts w:ascii="Times New Roman" w:hAnsi="Times New Roman" w:cs="Times New Roman"/>
        </w:rPr>
        <w:t>...</w:t>
      </w:r>
      <w:r w:rsidR="005D637B">
        <w:rPr>
          <w:rFonts w:ascii="Times New Roman" w:hAnsi="Times New Roman" w:cs="Times New Roman"/>
        </w:rPr>
        <w:t>.</w:t>
      </w:r>
      <w:r>
        <w:rPr>
          <w:rFonts w:ascii="Times New Roman" w:hAnsi="Times New Roman" w:cs="Times New Roman"/>
        </w:rPr>
        <w:t>5</w:t>
      </w:r>
      <w:r w:rsidR="00840CB8">
        <w:rPr>
          <w:rFonts w:ascii="Times New Roman" w:hAnsi="Times New Roman" w:cs="Times New Roman"/>
        </w:rPr>
        <w:t>3</w:t>
      </w:r>
    </w:p>
    <w:p w14:paraId="6E7FAF3E" w14:textId="68612283" w:rsidR="00FE31D3" w:rsidRDefault="00FE31D3" w:rsidP="00840CB8">
      <w:pPr>
        <w:spacing w:line="480" w:lineRule="auto"/>
        <w:ind w:firstLine="720"/>
        <w:rPr>
          <w:rFonts w:ascii="Times New Roman" w:hAnsi="Times New Roman" w:cs="Times New Roman"/>
        </w:rPr>
      </w:pPr>
      <w:r>
        <w:rPr>
          <w:rFonts w:ascii="Times New Roman" w:hAnsi="Times New Roman" w:cs="Times New Roman"/>
        </w:rPr>
        <w:t xml:space="preserve">Appendix </w:t>
      </w:r>
      <w:r w:rsidR="00840CB8">
        <w:rPr>
          <w:rFonts w:ascii="Times New Roman" w:hAnsi="Times New Roman" w:cs="Times New Roman"/>
        </w:rPr>
        <w:t>N</w:t>
      </w:r>
      <w:r>
        <w:rPr>
          <w:rFonts w:ascii="Times New Roman" w:hAnsi="Times New Roman" w:cs="Times New Roman"/>
        </w:rPr>
        <w:t xml:space="preserve">: </w:t>
      </w:r>
      <w:r w:rsidR="005D637B">
        <w:rPr>
          <w:rFonts w:ascii="Times New Roman" w:hAnsi="Times New Roman" w:cs="Times New Roman"/>
        </w:rPr>
        <w:t xml:space="preserve">Project Management Report IV </w:t>
      </w:r>
      <w:r>
        <w:rPr>
          <w:rFonts w:ascii="Times New Roman" w:hAnsi="Times New Roman" w:cs="Times New Roman"/>
        </w:rPr>
        <w:t>…………………</w:t>
      </w:r>
      <w:r w:rsidR="00840CB8">
        <w:rPr>
          <w:rFonts w:ascii="Times New Roman" w:hAnsi="Times New Roman" w:cs="Times New Roman"/>
        </w:rPr>
        <w:t>.</w:t>
      </w:r>
      <w:r>
        <w:rPr>
          <w:rFonts w:ascii="Times New Roman" w:hAnsi="Times New Roman" w:cs="Times New Roman"/>
        </w:rPr>
        <w:t>……………………</w:t>
      </w:r>
      <w:r w:rsidR="00840CB8">
        <w:rPr>
          <w:rFonts w:ascii="Times New Roman" w:hAnsi="Times New Roman" w:cs="Times New Roman"/>
        </w:rPr>
        <w:t>….</w:t>
      </w:r>
      <w:r>
        <w:rPr>
          <w:rFonts w:ascii="Times New Roman" w:hAnsi="Times New Roman" w:cs="Times New Roman"/>
        </w:rPr>
        <w:t>5</w:t>
      </w:r>
      <w:r w:rsidR="00840CB8">
        <w:rPr>
          <w:rFonts w:ascii="Times New Roman" w:hAnsi="Times New Roman" w:cs="Times New Roman"/>
        </w:rPr>
        <w:t>4</w:t>
      </w:r>
    </w:p>
    <w:p w14:paraId="069C91D0" w14:textId="73D744CB" w:rsidR="00740E83" w:rsidRDefault="00740E83" w:rsidP="00740E83">
      <w:pPr>
        <w:spacing w:line="480" w:lineRule="auto"/>
        <w:ind w:firstLine="720"/>
        <w:rPr>
          <w:rFonts w:ascii="Times New Roman" w:hAnsi="Times New Roman" w:cs="Times New Roman"/>
        </w:rPr>
      </w:pPr>
      <w:r>
        <w:rPr>
          <w:rFonts w:ascii="Times New Roman" w:hAnsi="Times New Roman" w:cs="Times New Roman"/>
        </w:rPr>
        <w:lastRenderedPageBreak/>
        <w:t xml:space="preserve">Appendix O: </w:t>
      </w:r>
      <w:r w:rsidRPr="00740E83">
        <w:rPr>
          <w:rFonts w:ascii="Times New Roman" w:hAnsi="Times New Roman" w:cs="Times New Roman"/>
        </w:rPr>
        <w:t>Doctor of Nursing Practice Essentials Table</w:t>
      </w:r>
      <w:r>
        <w:rPr>
          <w:rFonts w:ascii="Times New Roman" w:hAnsi="Times New Roman" w:cs="Times New Roman"/>
        </w:rPr>
        <w:t>………………….…………</w:t>
      </w:r>
      <w:r w:rsidR="00DF2FB9">
        <w:rPr>
          <w:rFonts w:ascii="Times New Roman" w:hAnsi="Times New Roman" w:cs="Times New Roman"/>
        </w:rPr>
        <w:t>.</w:t>
      </w:r>
      <w:r>
        <w:rPr>
          <w:rFonts w:ascii="Times New Roman" w:hAnsi="Times New Roman" w:cs="Times New Roman"/>
        </w:rPr>
        <w:t>5</w:t>
      </w:r>
      <w:r>
        <w:rPr>
          <w:rFonts w:ascii="Times New Roman" w:hAnsi="Times New Roman" w:cs="Times New Roman"/>
        </w:rPr>
        <w:t>5</w:t>
      </w:r>
    </w:p>
    <w:p w14:paraId="367CE19A" w14:textId="71CA2AC2" w:rsidR="00DF2FB9" w:rsidRDefault="00DF2FB9" w:rsidP="00DF2FB9">
      <w:pPr>
        <w:spacing w:line="480" w:lineRule="auto"/>
        <w:ind w:firstLine="720"/>
        <w:rPr>
          <w:rFonts w:ascii="Times New Roman" w:hAnsi="Times New Roman" w:cs="Times New Roman"/>
        </w:rPr>
      </w:pPr>
      <w:r>
        <w:rPr>
          <w:rFonts w:ascii="Times New Roman" w:hAnsi="Times New Roman" w:cs="Times New Roman"/>
        </w:rPr>
        <w:t xml:space="preserve">Appendix </w:t>
      </w:r>
      <w:r>
        <w:rPr>
          <w:rFonts w:ascii="Times New Roman" w:hAnsi="Times New Roman" w:cs="Times New Roman"/>
        </w:rPr>
        <w:t>P</w:t>
      </w:r>
      <w:r>
        <w:rPr>
          <w:rFonts w:ascii="Times New Roman" w:hAnsi="Times New Roman" w:cs="Times New Roman"/>
        </w:rPr>
        <w:t xml:space="preserve">: </w:t>
      </w:r>
      <w:r>
        <w:rPr>
          <w:rFonts w:ascii="Times New Roman" w:hAnsi="Times New Roman" w:cs="Times New Roman"/>
        </w:rPr>
        <w:t>DNP Project Poster…………………………</w:t>
      </w:r>
      <w:r>
        <w:rPr>
          <w:rFonts w:ascii="Times New Roman" w:hAnsi="Times New Roman" w:cs="Times New Roman"/>
        </w:rPr>
        <w:t>………………….…………5</w:t>
      </w:r>
      <w:r>
        <w:rPr>
          <w:rFonts w:ascii="Times New Roman" w:hAnsi="Times New Roman" w:cs="Times New Roman"/>
        </w:rPr>
        <w:t>6</w:t>
      </w:r>
    </w:p>
    <w:p w14:paraId="5053B613" w14:textId="77777777" w:rsidR="00DF2FB9" w:rsidRDefault="00DF2FB9" w:rsidP="00740E83">
      <w:pPr>
        <w:spacing w:line="480" w:lineRule="auto"/>
        <w:ind w:firstLine="720"/>
        <w:rPr>
          <w:rFonts w:ascii="Times New Roman" w:hAnsi="Times New Roman" w:cs="Times New Roman"/>
        </w:rPr>
      </w:pPr>
    </w:p>
    <w:p w14:paraId="7B8258CD" w14:textId="3F927C3B" w:rsidR="00740E83" w:rsidRPr="00740E83" w:rsidRDefault="00740E83" w:rsidP="00740E83">
      <w:pPr>
        <w:spacing w:line="480" w:lineRule="auto"/>
        <w:ind w:firstLine="720"/>
        <w:rPr>
          <w:rFonts w:ascii="Times New Roman" w:hAnsi="Times New Roman" w:cs="Times New Roman"/>
        </w:rPr>
      </w:pPr>
    </w:p>
    <w:p w14:paraId="7175DAD2" w14:textId="5295A13D" w:rsidR="00740E83" w:rsidRDefault="00740E83" w:rsidP="00840CB8">
      <w:pPr>
        <w:spacing w:line="480" w:lineRule="auto"/>
        <w:ind w:firstLine="720"/>
        <w:rPr>
          <w:rFonts w:ascii="Times New Roman" w:hAnsi="Times New Roman" w:cs="Times New Roman"/>
        </w:rPr>
      </w:pPr>
    </w:p>
    <w:p w14:paraId="542BAF05" w14:textId="77777777" w:rsidR="00E963C5" w:rsidRDefault="00E963C5">
      <w:pPr>
        <w:rPr>
          <w:rFonts w:ascii="Times New Roman" w:hAnsi="Times New Roman" w:cs="Times New Roman"/>
          <w:b/>
        </w:rPr>
      </w:pPr>
      <w:r>
        <w:rPr>
          <w:rFonts w:ascii="Times New Roman" w:hAnsi="Times New Roman" w:cs="Times New Roman"/>
          <w:b/>
        </w:rPr>
        <w:br w:type="page"/>
      </w:r>
    </w:p>
    <w:p w14:paraId="6DFECE47" w14:textId="7EF9E74F" w:rsidR="003330A3" w:rsidRPr="005A78C6" w:rsidRDefault="003330A3" w:rsidP="005A78C6">
      <w:pPr>
        <w:spacing w:line="480" w:lineRule="auto"/>
        <w:jc w:val="center"/>
        <w:rPr>
          <w:rFonts w:ascii="Times New Roman" w:hAnsi="Times New Roman" w:cs="Times New Roman"/>
        </w:rPr>
      </w:pPr>
      <w:r w:rsidRPr="00FF7DC4">
        <w:rPr>
          <w:rFonts w:ascii="Times New Roman" w:hAnsi="Times New Roman" w:cs="Times New Roman"/>
          <w:b/>
        </w:rPr>
        <w:lastRenderedPageBreak/>
        <w:t>Section I.  Introduction</w:t>
      </w:r>
    </w:p>
    <w:p w14:paraId="633C762C" w14:textId="77777777" w:rsidR="003330A3" w:rsidRPr="00FF7DC4" w:rsidRDefault="003330A3" w:rsidP="005A78C6">
      <w:pPr>
        <w:spacing w:line="480" w:lineRule="auto"/>
        <w:rPr>
          <w:rFonts w:ascii="Times New Roman" w:hAnsi="Times New Roman" w:cs="Times New Roman"/>
          <w:color w:val="323E4F" w:themeColor="text2" w:themeShade="BF"/>
        </w:rPr>
      </w:pPr>
      <w:r w:rsidRPr="00FF7DC4">
        <w:rPr>
          <w:rFonts w:ascii="Times New Roman" w:hAnsi="Times New Roman" w:cs="Times New Roman"/>
          <w:b/>
        </w:rPr>
        <w:t>Background</w:t>
      </w:r>
      <w:r w:rsidRPr="00FF7DC4">
        <w:rPr>
          <w:rFonts w:ascii="Times New Roman" w:hAnsi="Times New Roman" w:cs="Times New Roman"/>
          <w:color w:val="323E4F" w:themeColor="text2" w:themeShade="BF"/>
        </w:rPr>
        <w:tab/>
      </w:r>
    </w:p>
    <w:p w14:paraId="69D93502" w14:textId="77777777" w:rsidR="00E963C5" w:rsidRDefault="00E963C5" w:rsidP="00E963C5">
      <w:pPr>
        <w:spacing w:line="480" w:lineRule="auto"/>
        <w:ind w:firstLine="720"/>
        <w:rPr>
          <w:rFonts w:ascii="Times New Roman" w:hAnsi="Times New Roman" w:cs="Times New Roman"/>
        </w:rPr>
      </w:pPr>
      <w:r w:rsidRPr="00E963C5">
        <w:rPr>
          <w:rFonts w:ascii="Times New Roman" w:hAnsi="Times New Roman" w:cs="Times New Roman"/>
        </w:rPr>
        <w:t>Hospice is a community-based, non-profit organization that strives to provide excellent, proficient, compassionate care and support for individuals with terminal illnesses. Hospice works to support individuals, their families, and the community, regardless of their ability to pay. Their vision is for a future with increased access to hospice care at home or in a facility setting for everyone with a life-limiting illness. Funding for such services is determined by the Centers for Medicare &amp; Medicaid Services (CMS) annually and established on a per diem basis. Meaning, each day that a patient is enrolled in hospice, the per diem rate is disbursed to that hospice regardless of the number of services utilized (Brock et al., 2017). Therefore, if the organization can provide more efficacious care at a reduced cost, the monies saved may be reallocated to ensure adequate staffing and resources that could propel the hospice organization closer to realizing its vision of increasing access to hospice services for all who need it.</w:t>
      </w:r>
    </w:p>
    <w:p w14:paraId="6E9B80AA" w14:textId="47F70074" w:rsidR="003330A3" w:rsidRPr="00FF7DC4" w:rsidRDefault="003330A3" w:rsidP="00862329">
      <w:pPr>
        <w:spacing w:line="480" w:lineRule="auto"/>
        <w:rPr>
          <w:rFonts w:ascii="Times New Roman" w:hAnsi="Times New Roman" w:cs="Times New Roman"/>
          <w:b/>
        </w:rPr>
      </w:pPr>
      <w:r w:rsidRPr="00FF7DC4">
        <w:rPr>
          <w:rFonts w:ascii="Times New Roman" w:hAnsi="Times New Roman" w:cs="Times New Roman"/>
          <w:b/>
        </w:rPr>
        <w:t>Organizational Needs Statement</w:t>
      </w:r>
    </w:p>
    <w:p w14:paraId="3DE7F503" w14:textId="77777777" w:rsidR="00684C31" w:rsidRDefault="00E963C5" w:rsidP="00684C31">
      <w:pPr>
        <w:spacing w:line="480" w:lineRule="auto"/>
        <w:ind w:firstLine="720"/>
        <w:rPr>
          <w:rFonts w:ascii="Times New Roman" w:hAnsi="Times New Roman" w:cs="Times New Roman"/>
        </w:rPr>
      </w:pPr>
      <w:r w:rsidRPr="00E963C5">
        <w:rPr>
          <w:rFonts w:ascii="Times New Roman" w:hAnsi="Times New Roman" w:cs="Times New Roman"/>
        </w:rPr>
        <w:t xml:space="preserve">According to the organization, medication costs remain a significant expenditure within the hospice and palliative care community. Savings initiatives have already been set in motion with the change to the Enclara Pharmacia fee-for-service program, which has produced savings of approximately $10,000/month. However, another opportunity for improvement identified by the organization is assessing the new drug formulary with comparisons between cost and efficacy. Such assessments may be utilized to create a quick reference </w:t>
      </w:r>
      <w:r w:rsidR="00E40AD2">
        <w:rPr>
          <w:rFonts w:ascii="Times New Roman" w:hAnsi="Times New Roman" w:cs="Times New Roman"/>
        </w:rPr>
        <w:t xml:space="preserve">guide </w:t>
      </w:r>
      <w:r w:rsidRPr="00E963C5">
        <w:rPr>
          <w:rFonts w:ascii="Times New Roman" w:hAnsi="Times New Roman" w:cs="Times New Roman"/>
        </w:rPr>
        <w:t xml:space="preserve">to equip nurses and providers with a list of the most cost-effective and efficacious medications within the </w:t>
      </w:r>
      <w:proofErr w:type="gramStart"/>
      <w:r w:rsidRPr="00E963C5">
        <w:rPr>
          <w:rFonts w:ascii="Times New Roman" w:hAnsi="Times New Roman" w:cs="Times New Roman"/>
        </w:rPr>
        <w:t>most commonly prescribed</w:t>
      </w:r>
      <w:proofErr w:type="gramEnd"/>
      <w:r w:rsidRPr="00E963C5">
        <w:rPr>
          <w:rFonts w:ascii="Times New Roman" w:hAnsi="Times New Roman" w:cs="Times New Roman"/>
        </w:rPr>
        <w:t xml:space="preserve"> drug categories.</w:t>
      </w:r>
      <w:r w:rsidR="00684C31">
        <w:rPr>
          <w:rFonts w:ascii="Times New Roman" w:hAnsi="Times New Roman" w:cs="Times New Roman"/>
        </w:rPr>
        <w:t xml:space="preserve"> </w:t>
      </w:r>
    </w:p>
    <w:p w14:paraId="69D4663F" w14:textId="0D9B3D28" w:rsidR="00E963C5" w:rsidRPr="00E963C5" w:rsidRDefault="00E963C5" w:rsidP="00684C31">
      <w:pPr>
        <w:spacing w:line="480" w:lineRule="auto"/>
        <w:ind w:firstLine="720"/>
        <w:rPr>
          <w:rFonts w:ascii="Times New Roman" w:hAnsi="Times New Roman" w:cs="Times New Roman"/>
        </w:rPr>
      </w:pPr>
      <w:r w:rsidRPr="00E963C5">
        <w:rPr>
          <w:rFonts w:ascii="Times New Roman" w:hAnsi="Times New Roman" w:cs="Times New Roman"/>
        </w:rPr>
        <w:lastRenderedPageBreak/>
        <w:t xml:space="preserve">Additionally, after discussion with the organization's nursing staff, another potential solution may include the visual differentiation between formulary versus non-formulary medications within the new medication ordering platform. Reducing non-formulary medication orders will reduce medication costs and increase nurse efficiency. Per the organization, if able to reduce the cost of the most frequently prescribed medications, the overall dollar savings will translate to increased funding to staff more providers, nurses, and aids. Increased healthcare providers will, in turn, result in increased access to hospice services within the community, advancing the organization one step closer to realizing its vision. </w:t>
      </w:r>
    </w:p>
    <w:p w14:paraId="14636DA2" w14:textId="77777777" w:rsidR="00E963C5" w:rsidRPr="00E963C5" w:rsidRDefault="00E963C5" w:rsidP="00E963C5">
      <w:pPr>
        <w:spacing w:line="480" w:lineRule="auto"/>
        <w:ind w:firstLine="720"/>
        <w:rPr>
          <w:rFonts w:ascii="Times New Roman" w:hAnsi="Times New Roman" w:cs="Times New Roman"/>
        </w:rPr>
      </w:pPr>
      <w:r w:rsidRPr="00E963C5">
        <w:rPr>
          <w:rFonts w:ascii="Times New Roman" w:hAnsi="Times New Roman" w:cs="Times New Roman"/>
        </w:rPr>
        <w:t xml:space="preserve">The Centers for Medicare and Medicaid Services have delineated quality care measures in the Hospice Quality Reporting Program directly related to medication management, such as pain, bowel regimen, and dyspnea treatment (CMS, 2021). Healthy North Carolina 2030 overreaching goals relevant to this need include eliminating health disparities, achieving health equity, and engaging leadership and key constituents to </w:t>
      </w:r>
      <w:proofErr w:type="gramStart"/>
      <w:r w:rsidRPr="00E963C5">
        <w:rPr>
          <w:rFonts w:ascii="Times New Roman" w:hAnsi="Times New Roman" w:cs="Times New Roman"/>
        </w:rPr>
        <w:t>take action</w:t>
      </w:r>
      <w:proofErr w:type="gramEnd"/>
      <w:r w:rsidRPr="00E963C5">
        <w:rPr>
          <w:rFonts w:ascii="Times New Roman" w:hAnsi="Times New Roman" w:cs="Times New Roman"/>
        </w:rPr>
        <w:t xml:space="preserve"> (North Carolinas Department of Health and Human Services, 2020). According to the United States Department of Health and Human Services (2020), the leading Healthy People 2030 indicator applicable to this need include increased access to comprehensive, high-quality healthcare services. Additionally, the need to reduce the cost of frequently prescribed medications intersects with all three of the Triple Aim goals of lowering healthcare costs, improving patient experiences, and improving health outcomes of the hospice population (Berwick et al., 2008). </w:t>
      </w:r>
    </w:p>
    <w:p w14:paraId="6D33227A" w14:textId="4571A529" w:rsidR="00DB39D9" w:rsidRPr="00FF7DC4" w:rsidRDefault="00E963C5" w:rsidP="00E963C5">
      <w:pPr>
        <w:spacing w:line="480" w:lineRule="auto"/>
        <w:ind w:firstLine="720"/>
        <w:rPr>
          <w:rFonts w:ascii="Times New Roman" w:hAnsi="Times New Roman" w:cs="Times New Roman"/>
        </w:rPr>
      </w:pPr>
      <w:r w:rsidRPr="00E963C5">
        <w:rPr>
          <w:rFonts w:ascii="Times New Roman" w:hAnsi="Times New Roman" w:cs="Times New Roman"/>
        </w:rPr>
        <w:t xml:space="preserve">Suppose patients are more readily able to afford the necessary medications prescribed to them. In that case, they are more likely to fill their prescription and reap the benefits of that medication, thus increasing the potential for improving their overall health status, outcomes, and experience. Conversely, if patients cannot afford their medications, they may never fill their </w:t>
      </w:r>
      <w:r w:rsidRPr="00E963C5">
        <w:rPr>
          <w:rFonts w:ascii="Times New Roman" w:hAnsi="Times New Roman" w:cs="Times New Roman"/>
        </w:rPr>
        <w:lastRenderedPageBreak/>
        <w:t xml:space="preserve">prescriptions, further delaying treatment and symptom relief. Per the Hospice organization, some patients may feel ashamed or embarrassed of their inability to afford their medications and refrain from communicating their financial distress to their providers during follow-up visits. This negatively affects the patient's overall experience and quality of life which is especially important among the hospice and palliative care patient populations. </w:t>
      </w:r>
      <w:r w:rsidR="00DB39D9" w:rsidRPr="00FF7DC4">
        <w:rPr>
          <w:rFonts w:ascii="Times New Roman" w:hAnsi="Times New Roman" w:cs="Times New Roman"/>
        </w:rPr>
        <w:t xml:space="preserve"> </w:t>
      </w:r>
    </w:p>
    <w:p w14:paraId="32EC9497" w14:textId="704DA155" w:rsidR="003330A3" w:rsidRPr="00FF7DC4" w:rsidRDefault="003330A3" w:rsidP="00DB39D9">
      <w:pPr>
        <w:spacing w:line="480" w:lineRule="auto"/>
        <w:rPr>
          <w:rFonts w:ascii="Times New Roman" w:hAnsi="Times New Roman" w:cs="Times New Roman"/>
          <w:b/>
        </w:rPr>
      </w:pPr>
      <w:r w:rsidRPr="00FF7DC4">
        <w:rPr>
          <w:rFonts w:ascii="Times New Roman" w:hAnsi="Times New Roman" w:cs="Times New Roman"/>
          <w:b/>
        </w:rPr>
        <w:t xml:space="preserve">Problem Statement </w:t>
      </w:r>
    </w:p>
    <w:p w14:paraId="75A973CF" w14:textId="2C64B747" w:rsidR="002529D0" w:rsidRPr="00FF7DC4" w:rsidRDefault="002529D0" w:rsidP="002529D0">
      <w:pPr>
        <w:spacing w:line="480" w:lineRule="auto"/>
        <w:ind w:firstLine="720"/>
        <w:rPr>
          <w:rFonts w:ascii="Times New Roman" w:hAnsi="Times New Roman" w:cs="Times New Roman"/>
          <w:bCs/>
        </w:rPr>
      </w:pPr>
      <w:r w:rsidRPr="00FF7DC4">
        <w:rPr>
          <w:rFonts w:ascii="Times New Roman" w:hAnsi="Times New Roman" w:cs="Times New Roman"/>
          <w:bCs/>
        </w:rPr>
        <w:t xml:space="preserve">Following the Enclara Pharmacia fee-for-service model transition, a need </w:t>
      </w:r>
      <w:r w:rsidR="00377D11">
        <w:rPr>
          <w:rFonts w:ascii="Times New Roman" w:hAnsi="Times New Roman" w:cs="Times New Roman"/>
          <w:bCs/>
        </w:rPr>
        <w:t>was</w:t>
      </w:r>
      <w:r w:rsidRPr="00FF7DC4">
        <w:rPr>
          <w:rFonts w:ascii="Times New Roman" w:hAnsi="Times New Roman" w:cs="Times New Roman"/>
          <w:bCs/>
        </w:rPr>
        <w:t xml:space="preserve"> identified within the Hospice organization to reduce nonformulary medication or high-dollar formulary medication orders. </w:t>
      </w:r>
      <w:r w:rsidR="00377D11">
        <w:rPr>
          <w:rFonts w:ascii="Times New Roman" w:hAnsi="Times New Roman" w:cs="Times New Roman"/>
          <w:bCs/>
        </w:rPr>
        <w:t>Upon</w:t>
      </w:r>
      <w:r w:rsidRPr="00FF7DC4">
        <w:rPr>
          <w:rFonts w:ascii="Times New Roman" w:hAnsi="Times New Roman" w:cs="Times New Roman"/>
          <w:bCs/>
        </w:rPr>
        <w:t xml:space="preserve"> switching to the new pharmacy </w:t>
      </w:r>
      <w:r w:rsidR="00377D11">
        <w:rPr>
          <w:rFonts w:ascii="Times New Roman" w:hAnsi="Times New Roman" w:cs="Times New Roman"/>
          <w:bCs/>
        </w:rPr>
        <w:t>model</w:t>
      </w:r>
      <w:r w:rsidRPr="00FF7DC4">
        <w:rPr>
          <w:rFonts w:ascii="Times New Roman" w:hAnsi="Times New Roman" w:cs="Times New Roman"/>
          <w:bCs/>
        </w:rPr>
        <w:t xml:space="preserve">, providers and nurses </w:t>
      </w:r>
      <w:r w:rsidR="00377D11">
        <w:rPr>
          <w:rFonts w:ascii="Times New Roman" w:hAnsi="Times New Roman" w:cs="Times New Roman"/>
          <w:bCs/>
        </w:rPr>
        <w:t>were</w:t>
      </w:r>
      <w:r w:rsidRPr="00FF7DC4">
        <w:rPr>
          <w:rFonts w:ascii="Times New Roman" w:hAnsi="Times New Roman" w:cs="Times New Roman"/>
          <w:bCs/>
        </w:rPr>
        <w:t xml:space="preserve"> unfamiliar with new formulary medications and how each medication compares based on cost and efficacy. Furthermore, nursing staff </w:t>
      </w:r>
      <w:r w:rsidR="00377D11">
        <w:rPr>
          <w:rFonts w:ascii="Times New Roman" w:hAnsi="Times New Roman" w:cs="Times New Roman"/>
          <w:bCs/>
        </w:rPr>
        <w:t>were unable to</w:t>
      </w:r>
      <w:r w:rsidRPr="00FF7DC4">
        <w:rPr>
          <w:rFonts w:ascii="Times New Roman" w:hAnsi="Times New Roman" w:cs="Times New Roman"/>
          <w:bCs/>
        </w:rPr>
        <w:t xml:space="preserve"> discern formulary versus nonformulary medication when inputting provider orders into the online ordering platform. According to the CMS updates (2021), hospice patients paid $58,509,601 for medications for the 2019 fiscal year, and approximately $499 million was paid by Medicare part D.</w:t>
      </w:r>
    </w:p>
    <w:p w14:paraId="4B78CC5B" w14:textId="1D6CE567" w:rsidR="003330A3" w:rsidRPr="00FF7DC4" w:rsidRDefault="003330A3" w:rsidP="002529D0">
      <w:pPr>
        <w:spacing w:line="480" w:lineRule="auto"/>
        <w:rPr>
          <w:rFonts w:ascii="Times New Roman" w:hAnsi="Times New Roman" w:cs="Times New Roman"/>
          <w:b/>
        </w:rPr>
      </w:pPr>
      <w:r w:rsidRPr="00FF7DC4">
        <w:rPr>
          <w:rFonts w:ascii="Times New Roman" w:hAnsi="Times New Roman" w:cs="Times New Roman"/>
          <w:b/>
        </w:rPr>
        <w:t>Purpose Statement</w:t>
      </w:r>
    </w:p>
    <w:p w14:paraId="7C2B5937" w14:textId="1785CD86" w:rsidR="005B6BB0" w:rsidRPr="00840CB8" w:rsidRDefault="00E40AD2" w:rsidP="00684C31">
      <w:pPr>
        <w:spacing w:line="480" w:lineRule="auto"/>
        <w:ind w:firstLine="720"/>
        <w:rPr>
          <w:rFonts w:ascii="Times New Roman" w:hAnsi="Times New Roman" w:cs="Times New Roman"/>
        </w:rPr>
      </w:pPr>
      <w:r w:rsidRPr="00FF7DC4">
        <w:rPr>
          <w:rFonts w:ascii="Times New Roman" w:hAnsi="Times New Roman" w:cs="Times New Roman"/>
        </w:rPr>
        <w:t>This project aim</w:t>
      </w:r>
      <w:r>
        <w:rPr>
          <w:rFonts w:ascii="Times New Roman" w:hAnsi="Times New Roman" w:cs="Times New Roman"/>
        </w:rPr>
        <w:t>ed</w:t>
      </w:r>
      <w:r w:rsidRPr="00FF7DC4">
        <w:rPr>
          <w:rFonts w:ascii="Times New Roman" w:hAnsi="Times New Roman" w:cs="Times New Roman"/>
        </w:rPr>
        <w:t xml:space="preserve"> to reduce the amount of non</w:t>
      </w:r>
      <w:r>
        <w:rPr>
          <w:rFonts w:ascii="Times New Roman" w:hAnsi="Times New Roman" w:cs="Times New Roman"/>
        </w:rPr>
        <w:t>-</w:t>
      </w:r>
      <w:r w:rsidRPr="00FF7DC4">
        <w:rPr>
          <w:rFonts w:ascii="Times New Roman" w:hAnsi="Times New Roman" w:cs="Times New Roman"/>
        </w:rPr>
        <w:t>formulary and high-dollar formulary medications prescribed to reduce the overall cost of medications</w:t>
      </w:r>
      <w:r>
        <w:rPr>
          <w:rFonts w:ascii="Times New Roman" w:hAnsi="Times New Roman" w:cs="Times New Roman"/>
        </w:rPr>
        <w:t xml:space="preserve"> by </w:t>
      </w:r>
      <w:r>
        <w:rPr>
          <w:rFonts w:ascii="Times New Roman" w:hAnsi="Times New Roman" w:cs="Times New Roman"/>
        </w:rPr>
        <w:t>10%</w:t>
      </w:r>
      <w:r w:rsidRPr="00FF7DC4">
        <w:rPr>
          <w:rFonts w:ascii="Times New Roman" w:hAnsi="Times New Roman" w:cs="Times New Roman"/>
        </w:rPr>
        <w:t xml:space="preserve">. This aim </w:t>
      </w:r>
      <w:r>
        <w:rPr>
          <w:rFonts w:ascii="Times New Roman" w:hAnsi="Times New Roman" w:cs="Times New Roman"/>
        </w:rPr>
        <w:t>was</w:t>
      </w:r>
      <w:r w:rsidRPr="00FF7DC4">
        <w:rPr>
          <w:rFonts w:ascii="Times New Roman" w:hAnsi="Times New Roman" w:cs="Times New Roman"/>
        </w:rPr>
        <w:t xml:space="preserve"> accomplished </w:t>
      </w:r>
      <w:r>
        <w:rPr>
          <w:rFonts w:ascii="Times New Roman" w:hAnsi="Times New Roman" w:cs="Times New Roman"/>
        </w:rPr>
        <w:t>by</w:t>
      </w:r>
      <w:r w:rsidRPr="00FF7DC4">
        <w:rPr>
          <w:rFonts w:ascii="Times New Roman" w:hAnsi="Times New Roman" w:cs="Times New Roman"/>
        </w:rPr>
        <w:t xml:space="preserve"> assess</w:t>
      </w:r>
      <w:r>
        <w:rPr>
          <w:rFonts w:ascii="Times New Roman" w:hAnsi="Times New Roman" w:cs="Times New Roman"/>
        </w:rPr>
        <w:t>ing</w:t>
      </w:r>
      <w:r w:rsidRPr="00FF7DC4">
        <w:rPr>
          <w:rFonts w:ascii="Times New Roman" w:hAnsi="Times New Roman" w:cs="Times New Roman"/>
        </w:rPr>
        <w:t xml:space="preserve"> and compari</w:t>
      </w:r>
      <w:r>
        <w:rPr>
          <w:rFonts w:ascii="Times New Roman" w:hAnsi="Times New Roman" w:cs="Times New Roman"/>
        </w:rPr>
        <w:t>ng</w:t>
      </w:r>
      <w:r w:rsidRPr="00FF7DC4">
        <w:rPr>
          <w:rFonts w:ascii="Times New Roman" w:hAnsi="Times New Roman" w:cs="Times New Roman"/>
        </w:rPr>
        <w:t xml:space="preserve"> the new drug formulary </w:t>
      </w:r>
      <w:r>
        <w:rPr>
          <w:rFonts w:ascii="Times New Roman" w:hAnsi="Times New Roman" w:cs="Times New Roman"/>
        </w:rPr>
        <w:t>to create</w:t>
      </w:r>
      <w:r w:rsidRPr="00FF7DC4">
        <w:rPr>
          <w:rFonts w:ascii="Times New Roman" w:hAnsi="Times New Roman" w:cs="Times New Roman"/>
        </w:rPr>
        <w:t xml:space="preserve"> a quick-reference prescriber's guide. Al</w:t>
      </w:r>
      <w:r>
        <w:rPr>
          <w:rFonts w:ascii="Times New Roman" w:hAnsi="Times New Roman" w:cs="Times New Roman"/>
        </w:rPr>
        <w:t>ternatively</w:t>
      </w:r>
      <w:r w:rsidRPr="00FF7DC4">
        <w:rPr>
          <w:rFonts w:ascii="Times New Roman" w:hAnsi="Times New Roman" w:cs="Times New Roman"/>
        </w:rPr>
        <w:t xml:space="preserve">, developing a way to differentiate formulary versus nonformulary medications within the online ordering platform </w:t>
      </w:r>
      <w:r>
        <w:rPr>
          <w:rFonts w:ascii="Times New Roman" w:hAnsi="Times New Roman" w:cs="Times New Roman"/>
        </w:rPr>
        <w:t>could</w:t>
      </w:r>
      <w:r w:rsidRPr="00FF7DC4">
        <w:rPr>
          <w:rFonts w:ascii="Times New Roman" w:hAnsi="Times New Roman" w:cs="Times New Roman"/>
        </w:rPr>
        <w:t xml:space="preserve"> also reduce the amount of nonformulary medications prescribed. The solutions above will increase efficiency, simplify medication decision-making, and clearly delineate the most cost-effective, efficacious treatment options</w:t>
      </w:r>
      <w:r>
        <w:rPr>
          <w:rFonts w:ascii="Times New Roman" w:hAnsi="Times New Roman" w:cs="Times New Roman"/>
        </w:rPr>
        <w:t xml:space="preserve"> available when inputting medication orders</w:t>
      </w:r>
      <w:r w:rsidRPr="00FF7DC4">
        <w:rPr>
          <w:rFonts w:ascii="Times New Roman" w:hAnsi="Times New Roman" w:cs="Times New Roman"/>
        </w:rPr>
        <w:t>.</w:t>
      </w:r>
      <w:r w:rsidR="00E963C5">
        <w:rPr>
          <w:rFonts w:ascii="Times New Roman" w:hAnsi="Times New Roman" w:cs="Times New Roman"/>
        </w:rPr>
        <w:br w:type="page"/>
      </w:r>
    </w:p>
    <w:p w14:paraId="701216B8" w14:textId="77777777" w:rsidR="002E0363" w:rsidRPr="00FF7DC4" w:rsidRDefault="00840092" w:rsidP="002E0363">
      <w:pPr>
        <w:spacing w:line="480" w:lineRule="auto"/>
        <w:jc w:val="center"/>
        <w:rPr>
          <w:rFonts w:ascii="Times New Roman" w:hAnsi="Times New Roman" w:cs="Times New Roman"/>
          <w:b/>
        </w:rPr>
      </w:pPr>
      <w:r w:rsidRPr="00FF7DC4">
        <w:rPr>
          <w:rFonts w:ascii="Times New Roman" w:hAnsi="Times New Roman" w:cs="Times New Roman"/>
          <w:b/>
        </w:rPr>
        <w:lastRenderedPageBreak/>
        <w:t>Section II. Evidence</w:t>
      </w:r>
    </w:p>
    <w:p w14:paraId="3E97BB97" w14:textId="7DBDA93A" w:rsidR="0001062C" w:rsidRPr="00FF7DC4" w:rsidRDefault="0001062C" w:rsidP="002E0363">
      <w:pPr>
        <w:spacing w:line="480" w:lineRule="auto"/>
        <w:rPr>
          <w:rFonts w:ascii="Times New Roman" w:hAnsi="Times New Roman" w:cs="Times New Roman"/>
          <w:b/>
        </w:rPr>
      </w:pPr>
      <w:r w:rsidRPr="00FF7DC4">
        <w:rPr>
          <w:rStyle w:val="Strong"/>
          <w:rFonts w:ascii="Times New Roman" w:hAnsi="Times New Roman" w:cs="Times New Roman"/>
          <w:color w:val="0E101A"/>
        </w:rPr>
        <w:t>Literature Review </w:t>
      </w:r>
    </w:p>
    <w:p w14:paraId="161460AF" w14:textId="11E4D71C" w:rsidR="00E47354" w:rsidRDefault="0001062C" w:rsidP="0001062C">
      <w:pPr>
        <w:pStyle w:val="NormalWeb"/>
        <w:spacing w:before="0" w:beforeAutospacing="0" w:after="0" w:afterAutospacing="0" w:line="480" w:lineRule="auto"/>
        <w:rPr>
          <w:color w:val="0E101A"/>
        </w:rPr>
      </w:pPr>
      <w:r w:rsidRPr="00FF7DC4">
        <w:rPr>
          <w:rStyle w:val="Strong"/>
          <w:color w:val="0E101A"/>
        </w:rPr>
        <w:t>           </w:t>
      </w:r>
      <w:r w:rsidR="00E40AD2">
        <w:rPr>
          <w:color w:val="0E101A"/>
        </w:rPr>
        <w:t>The s</w:t>
      </w:r>
      <w:r w:rsidRPr="00FF7DC4">
        <w:rPr>
          <w:color w:val="0E101A"/>
        </w:rPr>
        <w:t xml:space="preserve">earch strategies employed related to the project purpose included solution-focused interventions to confront the issue of non-formulary </w:t>
      </w:r>
      <w:r w:rsidR="00E40AD2">
        <w:rPr>
          <w:color w:val="0E101A"/>
        </w:rPr>
        <w:t xml:space="preserve">and high-cost </w:t>
      </w:r>
      <w:r w:rsidRPr="00FF7DC4">
        <w:rPr>
          <w:color w:val="0E101A"/>
        </w:rPr>
        <w:t>medications ordered under the new En</w:t>
      </w:r>
      <w:r w:rsidR="00840CB8">
        <w:rPr>
          <w:color w:val="0E101A"/>
        </w:rPr>
        <w:t>c</w:t>
      </w:r>
      <w:r w:rsidRPr="00FF7DC4">
        <w:rPr>
          <w:color w:val="0E101A"/>
        </w:rPr>
        <w:t xml:space="preserve">lara drug formulary. The databases explored were Cumulative Index </w:t>
      </w:r>
      <w:r w:rsidR="00BA762A" w:rsidRPr="00FF7DC4">
        <w:rPr>
          <w:color w:val="0E101A"/>
        </w:rPr>
        <w:t>of</w:t>
      </w:r>
      <w:r w:rsidRPr="00FF7DC4">
        <w:rPr>
          <w:color w:val="0E101A"/>
        </w:rPr>
        <w:t xml:space="preserve"> Nursing and Allied Health Literature (CINAHL), Google Scholar, and East Carolina One Search via </w:t>
      </w:r>
      <w:proofErr w:type="spellStart"/>
      <w:r w:rsidRPr="00FF7DC4">
        <w:rPr>
          <w:color w:val="0E101A"/>
        </w:rPr>
        <w:t>Laupus</w:t>
      </w:r>
      <w:proofErr w:type="spellEnd"/>
      <w:r w:rsidRPr="00FF7DC4">
        <w:rPr>
          <w:color w:val="0E101A"/>
        </w:rPr>
        <w:t xml:space="preserve"> Library. The</w:t>
      </w:r>
      <w:r w:rsidR="002E0363" w:rsidRPr="00FF7DC4">
        <w:rPr>
          <w:color w:val="0E101A"/>
        </w:rPr>
        <w:t xml:space="preserve"> </w:t>
      </w:r>
      <w:r w:rsidRPr="00FF7DC4">
        <w:rPr>
          <w:color w:val="0E101A"/>
        </w:rPr>
        <w:t xml:space="preserve">search terms used were clinical decision support, drug formulary, compliance, and medication cost, </w:t>
      </w:r>
      <w:r w:rsidR="00544C6E">
        <w:rPr>
          <w:color w:val="0E101A"/>
        </w:rPr>
        <w:t>with Boolean operator ‘and’</w:t>
      </w:r>
      <w:r w:rsidR="002E0363" w:rsidRPr="00FF7DC4">
        <w:rPr>
          <w:color w:val="0E101A"/>
        </w:rPr>
        <w:t xml:space="preserve">, </w:t>
      </w:r>
      <w:r w:rsidRPr="00FF7DC4">
        <w:rPr>
          <w:color w:val="0E101A"/>
        </w:rPr>
        <w:t>which generated 3,237 results</w:t>
      </w:r>
      <w:r w:rsidR="002E0363" w:rsidRPr="00FF7DC4">
        <w:rPr>
          <w:color w:val="0E101A"/>
        </w:rPr>
        <w:t xml:space="preserve"> initially</w:t>
      </w:r>
      <w:r w:rsidRPr="00FF7DC4">
        <w:rPr>
          <w:color w:val="0E101A"/>
        </w:rPr>
        <w:t xml:space="preserve">. Stratification of results </w:t>
      </w:r>
      <w:r w:rsidR="002E0363" w:rsidRPr="00FF7DC4">
        <w:rPr>
          <w:color w:val="0E101A"/>
        </w:rPr>
        <w:t>ensued</w:t>
      </w:r>
      <w:r w:rsidRPr="00FF7DC4">
        <w:rPr>
          <w:color w:val="0E101A"/>
        </w:rPr>
        <w:t xml:space="preserve"> with the</w:t>
      </w:r>
      <w:r w:rsidR="002E0363" w:rsidRPr="00FF7DC4">
        <w:rPr>
          <w:color w:val="0E101A"/>
        </w:rPr>
        <w:t xml:space="preserve"> following </w:t>
      </w:r>
      <w:r w:rsidRPr="00FF7DC4">
        <w:rPr>
          <w:color w:val="0E101A"/>
        </w:rPr>
        <w:t xml:space="preserve">filters: published within the last five years, English language, scholarly articles, and peer-reviewed, which yielded 2,808 articles for review. The search was further narrowed </w:t>
      </w:r>
      <w:r w:rsidR="002E0363" w:rsidRPr="00FF7DC4">
        <w:rPr>
          <w:color w:val="0E101A"/>
        </w:rPr>
        <w:t>to include</w:t>
      </w:r>
      <w:r w:rsidRPr="00FF7DC4">
        <w:rPr>
          <w:color w:val="0E101A"/>
        </w:rPr>
        <w:t xml:space="preserve"> specific disciplines</w:t>
      </w:r>
      <w:r w:rsidR="002E0363" w:rsidRPr="00FF7DC4">
        <w:rPr>
          <w:color w:val="0E101A"/>
        </w:rPr>
        <w:t xml:space="preserve"> </w:t>
      </w:r>
      <w:r w:rsidR="00C64CFC" w:rsidRPr="00FF7DC4">
        <w:rPr>
          <w:color w:val="0E101A"/>
        </w:rPr>
        <w:t xml:space="preserve">of </w:t>
      </w:r>
      <w:r w:rsidRPr="00FF7DC4">
        <w:rPr>
          <w:color w:val="0E101A"/>
        </w:rPr>
        <w:t xml:space="preserve">medicine, nursing, public health, pharmacy, therapeutics, and pharmacology. Articles excluded were conducted in specific hospital units, included pharmacy formulary decision-making, or addressed non-medication formulary concerns. After applying these exclusion criteria, </w:t>
      </w:r>
      <w:r w:rsidR="00B15ECE">
        <w:rPr>
          <w:color w:val="0E101A"/>
        </w:rPr>
        <w:t>eight</w:t>
      </w:r>
      <w:r w:rsidRPr="00FF7DC4">
        <w:rPr>
          <w:color w:val="0E101A"/>
        </w:rPr>
        <w:t xml:space="preserve"> articles were kept, read in their entirety, and included in the literature review. All levels of evidence were accepted in this review, given the shortage of solution-based evidence to support this project</w:t>
      </w:r>
      <w:r w:rsidR="00A4143D" w:rsidRPr="00FF7DC4">
        <w:rPr>
          <w:color w:val="0E101A"/>
        </w:rPr>
        <w:t>, including</w:t>
      </w:r>
      <w:r w:rsidR="00840CB8">
        <w:rPr>
          <w:color w:val="0E101A"/>
        </w:rPr>
        <w:t xml:space="preserve"> o</w:t>
      </w:r>
      <w:r w:rsidR="00A4143D" w:rsidRPr="00FF7DC4">
        <w:rPr>
          <w:color w:val="0E101A"/>
        </w:rPr>
        <w:t>ne level I systematic review, one level II prospective comparative study, t</w:t>
      </w:r>
      <w:r w:rsidR="00B15ECE">
        <w:rPr>
          <w:color w:val="0E101A"/>
        </w:rPr>
        <w:t>wo</w:t>
      </w:r>
      <w:r w:rsidR="00A4143D" w:rsidRPr="00FF7DC4">
        <w:rPr>
          <w:color w:val="0E101A"/>
        </w:rPr>
        <w:t xml:space="preserve"> level III retrospective analyses, one level III quasi-experimental longitudinal study, one level IV cohort study, one level V qualitative analysis, and one level V expert opinion. </w:t>
      </w:r>
    </w:p>
    <w:p w14:paraId="5E04668C" w14:textId="31C47C4D" w:rsidR="0001062C" w:rsidRPr="00FF7DC4" w:rsidRDefault="00E47354" w:rsidP="0001062C">
      <w:pPr>
        <w:pStyle w:val="NormalWeb"/>
        <w:spacing w:before="0" w:beforeAutospacing="0" w:after="0" w:afterAutospacing="0" w:line="480" w:lineRule="auto"/>
        <w:rPr>
          <w:color w:val="0E101A"/>
        </w:rPr>
      </w:pPr>
      <w:r>
        <w:rPr>
          <w:color w:val="0E101A"/>
        </w:rPr>
        <w:tab/>
        <w:t xml:space="preserve">A subsequent </w:t>
      </w:r>
      <w:r w:rsidR="001B0A77">
        <w:rPr>
          <w:color w:val="0E101A"/>
        </w:rPr>
        <w:t xml:space="preserve">literature search </w:t>
      </w:r>
      <w:r w:rsidR="00E40AD2">
        <w:rPr>
          <w:color w:val="0E101A"/>
        </w:rPr>
        <w:t xml:space="preserve">was conducted to include </w:t>
      </w:r>
      <w:r w:rsidR="001B0A77">
        <w:rPr>
          <w:color w:val="0E101A"/>
        </w:rPr>
        <w:t>the use of educational interventions</w:t>
      </w:r>
      <w:r w:rsidR="00E40AD2">
        <w:rPr>
          <w:color w:val="0E101A"/>
        </w:rPr>
        <w:t xml:space="preserve"> specifically</w:t>
      </w:r>
      <w:r w:rsidR="001B0A77">
        <w:rPr>
          <w:color w:val="0E101A"/>
        </w:rPr>
        <w:t xml:space="preserve"> to reduce medication cost</w:t>
      </w:r>
      <w:r w:rsidR="00E40AD2">
        <w:rPr>
          <w:color w:val="0E101A"/>
        </w:rPr>
        <w:t>s</w:t>
      </w:r>
      <w:r w:rsidR="001B0A77">
        <w:rPr>
          <w:color w:val="0E101A"/>
        </w:rPr>
        <w:t xml:space="preserve">. The same search strategies </w:t>
      </w:r>
      <w:r w:rsidR="00E40AD2">
        <w:rPr>
          <w:color w:val="0E101A"/>
        </w:rPr>
        <w:t>applied in</w:t>
      </w:r>
      <w:r w:rsidR="00BC2B71">
        <w:rPr>
          <w:color w:val="0E101A"/>
        </w:rPr>
        <w:t xml:space="preserve"> the</w:t>
      </w:r>
      <w:r w:rsidR="001B0A77">
        <w:rPr>
          <w:color w:val="0E101A"/>
        </w:rPr>
        <w:t xml:space="preserve"> original search </w:t>
      </w:r>
      <w:r w:rsidR="00FB60D9">
        <w:rPr>
          <w:color w:val="0E101A"/>
        </w:rPr>
        <w:t>were</w:t>
      </w:r>
      <w:r w:rsidR="001B0A77">
        <w:rPr>
          <w:color w:val="0E101A"/>
        </w:rPr>
        <w:t xml:space="preserve"> employed and the database explored was the East Carolina One Search via </w:t>
      </w:r>
      <w:proofErr w:type="spellStart"/>
      <w:r w:rsidR="001B0A77">
        <w:rPr>
          <w:color w:val="0E101A"/>
        </w:rPr>
        <w:t>Laupus</w:t>
      </w:r>
      <w:proofErr w:type="spellEnd"/>
      <w:r w:rsidR="001B0A77">
        <w:rPr>
          <w:color w:val="0E101A"/>
        </w:rPr>
        <w:t xml:space="preserve"> Library. </w:t>
      </w:r>
      <w:r w:rsidR="001B0A77" w:rsidRPr="00FF7DC4">
        <w:rPr>
          <w:color w:val="0E101A"/>
        </w:rPr>
        <w:t xml:space="preserve">The search terms used were </w:t>
      </w:r>
      <w:r w:rsidR="001B0A77">
        <w:rPr>
          <w:color w:val="0E101A"/>
        </w:rPr>
        <w:t>educational intervention</w:t>
      </w:r>
      <w:r w:rsidR="00BC2B71">
        <w:rPr>
          <w:color w:val="0E101A"/>
        </w:rPr>
        <w:t xml:space="preserve">, </w:t>
      </w:r>
      <w:r w:rsidR="001B0A77" w:rsidRPr="00FF7DC4">
        <w:rPr>
          <w:color w:val="0E101A"/>
        </w:rPr>
        <w:t>drug formulary</w:t>
      </w:r>
      <w:r w:rsidR="00BC2B71">
        <w:rPr>
          <w:color w:val="0E101A"/>
        </w:rPr>
        <w:t xml:space="preserve">, </w:t>
      </w:r>
      <w:r w:rsidR="00BC2B71">
        <w:rPr>
          <w:color w:val="0E101A"/>
        </w:rPr>
        <w:lastRenderedPageBreak/>
        <w:t>prescribing practices, outpatient, and cost reduction</w:t>
      </w:r>
      <w:r w:rsidR="001B0A77">
        <w:rPr>
          <w:color w:val="0E101A"/>
        </w:rPr>
        <w:t xml:space="preserve"> with Boolean operator ‘and’</w:t>
      </w:r>
      <w:r w:rsidR="00BC2B71">
        <w:rPr>
          <w:color w:val="0E101A"/>
        </w:rPr>
        <w:t>, which yielded 1,774 articles for review.</w:t>
      </w:r>
      <w:r w:rsidR="001B0A77">
        <w:rPr>
          <w:color w:val="0E101A"/>
        </w:rPr>
        <w:t xml:space="preserve"> Inclusion criteria included</w:t>
      </w:r>
      <w:r w:rsidR="001B0A77" w:rsidRPr="00FF7DC4">
        <w:rPr>
          <w:color w:val="0E101A"/>
        </w:rPr>
        <w:t xml:space="preserve">: published within the last five years, English language, scholarly articles, and peer-reviewed, </w:t>
      </w:r>
      <w:r w:rsidR="001B0A77">
        <w:rPr>
          <w:color w:val="0E101A"/>
        </w:rPr>
        <w:t xml:space="preserve">within the disciplines of </w:t>
      </w:r>
      <w:r w:rsidR="001B0A77">
        <w:t>economics, medicine, nursing, pharmacy, therapeutics, and pharmacology, public health</w:t>
      </w:r>
      <w:r w:rsidR="00E40AD2">
        <w:t>,</w:t>
      </w:r>
      <w:r w:rsidR="001B0A77">
        <w:t xml:space="preserve"> </w:t>
      </w:r>
      <w:r w:rsidR="001B0A77" w:rsidRPr="00FF7DC4">
        <w:rPr>
          <w:color w:val="0E101A"/>
        </w:rPr>
        <w:t xml:space="preserve">which </w:t>
      </w:r>
      <w:r w:rsidR="00BC2B71" w:rsidRPr="00FF7DC4">
        <w:rPr>
          <w:color w:val="0E101A"/>
        </w:rPr>
        <w:t>generated</w:t>
      </w:r>
      <w:r w:rsidR="001B0A77" w:rsidRPr="00FF7DC4">
        <w:rPr>
          <w:color w:val="0E101A"/>
        </w:rPr>
        <w:t xml:space="preserve"> </w:t>
      </w:r>
      <w:r w:rsidR="00BC2B71">
        <w:rPr>
          <w:color w:val="0E101A"/>
        </w:rPr>
        <w:t>287</w:t>
      </w:r>
      <w:r w:rsidR="001B0A77">
        <w:rPr>
          <w:color w:val="0E101A"/>
        </w:rPr>
        <w:t xml:space="preserve"> </w:t>
      </w:r>
      <w:r w:rsidR="001B0A77" w:rsidRPr="00FF7DC4">
        <w:rPr>
          <w:color w:val="0E101A"/>
        </w:rPr>
        <w:t>articles for review</w:t>
      </w:r>
      <w:r w:rsidR="001B0A77">
        <w:rPr>
          <w:color w:val="0E101A"/>
        </w:rPr>
        <w:t xml:space="preserve">. The same exclusion criteria </w:t>
      </w:r>
      <w:r w:rsidR="00BC2B71">
        <w:rPr>
          <w:color w:val="0E101A"/>
        </w:rPr>
        <w:t>were</w:t>
      </w:r>
      <w:r w:rsidR="001B0A77">
        <w:rPr>
          <w:color w:val="0E101A"/>
        </w:rPr>
        <w:t xml:space="preserve"> </w:t>
      </w:r>
      <w:r w:rsidR="00BC2B71">
        <w:rPr>
          <w:color w:val="0E101A"/>
        </w:rPr>
        <w:t>applied,</w:t>
      </w:r>
      <w:r w:rsidR="001B0A77">
        <w:rPr>
          <w:color w:val="0E101A"/>
        </w:rPr>
        <w:t xml:space="preserve"> </w:t>
      </w:r>
      <w:r w:rsidR="00BC2B71">
        <w:rPr>
          <w:color w:val="0E101A"/>
        </w:rPr>
        <w:t xml:space="preserve">and article titles and abstracts were skimmed for those directly related to educational interventions. Of these articles, an additional three were kept for literature review and read in their entirety. Included in these articles was one level I systematic review, one level </w:t>
      </w:r>
      <w:r w:rsidR="00840CB8">
        <w:rPr>
          <w:color w:val="0E101A"/>
        </w:rPr>
        <w:t>V</w:t>
      </w:r>
      <w:r w:rsidR="00BC2B71">
        <w:rPr>
          <w:color w:val="0E101A"/>
        </w:rPr>
        <w:t xml:space="preserve"> quality improvement project, and one level III qualitative analysis. </w:t>
      </w:r>
      <w:r w:rsidR="00840CB8">
        <w:rPr>
          <w:color w:val="0E101A"/>
        </w:rPr>
        <w:t xml:space="preserve">A literature matrix was utilized for literature resource management (see Appendix A). </w:t>
      </w:r>
      <w:r w:rsidR="0001062C" w:rsidRPr="00FF7DC4">
        <w:rPr>
          <w:color w:val="0E101A"/>
        </w:rPr>
        <w:t>Ongoing, iterative research efforts continue</w:t>
      </w:r>
      <w:r w:rsidR="00E40AD2">
        <w:rPr>
          <w:color w:val="0E101A"/>
        </w:rPr>
        <w:t>d</w:t>
      </w:r>
      <w:r w:rsidR="0001062C" w:rsidRPr="00FF7DC4">
        <w:rPr>
          <w:color w:val="0E101A"/>
        </w:rPr>
        <w:t xml:space="preserve"> and include</w:t>
      </w:r>
      <w:r w:rsidR="00E40AD2">
        <w:rPr>
          <w:color w:val="0E101A"/>
        </w:rPr>
        <w:t>d</w:t>
      </w:r>
      <w:r w:rsidR="0001062C" w:rsidRPr="00FF7DC4">
        <w:rPr>
          <w:color w:val="0E101A"/>
        </w:rPr>
        <w:t xml:space="preserve"> frequent literature searches and exploration of the databases</w:t>
      </w:r>
      <w:r w:rsidR="00BC2B71">
        <w:rPr>
          <w:color w:val="0E101A"/>
        </w:rPr>
        <w:t xml:space="preserve"> to remain up to date with latest evidence and </w:t>
      </w:r>
      <w:r w:rsidR="00E40AD2">
        <w:rPr>
          <w:color w:val="0E101A"/>
        </w:rPr>
        <w:t>throughout</w:t>
      </w:r>
      <w:r w:rsidR="00BC2B71">
        <w:rPr>
          <w:color w:val="0E101A"/>
        </w:rPr>
        <w:t xml:space="preserve"> project development.</w:t>
      </w:r>
      <w:r w:rsidR="00FE31D3">
        <w:rPr>
          <w:color w:val="0E101A"/>
        </w:rPr>
        <w:t xml:space="preserve"> </w:t>
      </w:r>
      <w:r w:rsidR="00BC2B71">
        <w:rPr>
          <w:color w:val="0E101A"/>
        </w:rPr>
        <w:t xml:space="preserve"> </w:t>
      </w:r>
      <w:r w:rsidR="0001062C" w:rsidRPr="00FF7DC4">
        <w:rPr>
          <w:color w:val="0E101A"/>
        </w:rPr>
        <w:t> </w:t>
      </w:r>
      <w:r w:rsidR="0001062C" w:rsidRPr="00FF7DC4">
        <w:rPr>
          <w:rStyle w:val="Emphasis"/>
          <w:color w:val="0E101A"/>
        </w:rPr>
        <w:t>       </w:t>
      </w:r>
    </w:p>
    <w:p w14:paraId="69DEE8C4" w14:textId="77777777" w:rsidR="0001062C" w:rsidRPr="00FF7DC4" w:rsidRDefault="0001062C" w:rsidP="0001062C">
      <w:pPr>
        <w:pStyle w:val="NormalWeb"/>
        <w:spacing w:before="0" w:beforeAutospacing="0" w:after="0" w:afterAutospacing="0" w:line="480" w:lineRule="auto"/>
        <w:rPr>
          <w:color w:val="0E101A"/>
        </w:rPr>
      </w:pPr>
      <w:r w:rsidRPr="00FF7DC4">
        <w:rPr>
          <w:rStyle w:val="Emphasis"/>
          <w:b/>
          <w:bCs/>
          <w:color w:val="0E101A"/>
        </w:rPr>
        <w:t>Current State of Knowledge </w:t>
      </w:r>
    </w:p>
    <w:p w14:paraId="2794943A" w14:textId="3C1D2516" w:rsidR="0001062C" w:rsidRPr="00FF7DC4" w:rsidRDefault="0001062C" w:rsidP="0001062C">
      <w:pPr>
        <w:pStyle w:val="NormalWeb"/>
        <w:spacing w:before="0" w:beforeAutospacing="0" w:after="0" w:afterAutospacing="0" w:line="480" w:lineRule="auto"/>
        <w:ind w:firstLine="720"/>
        <w:rPr>
          <w:color w:val="0E101A"/>
        </w:rPr>
      </w:pPr>
      <w:r w:rsidRPr="00FF7DC4">
        <w:rPr>
          <w:color w:val="0E101A"/>
        </w:rPr>
        <w:t>Little literature exists regarding</w:t>
      </w:r>
      <w:r w:rsidR="00544C6E">
        <w:rPr>
          <w:color w:val="0E101A"/>
        </w:rPr>
        <w:t xml:space="preserve"> solution-based</w:t>
      </w:r>
      <w:r w:rsidRPr="00FF7DC4">
        <w:rPr>
          <w:color w:val="0E101A"/>
        </w:rPr>
        <w:t xml:space="preserve"> best practice guidelines promoting drug formulary compliance to reduce medication costs, especially </w:t>
      </w:r>
      <w:r w:rsidR="00840CB8">
        <w:rPr>
          <w:color w:val="0E101A"/>
        </w:rPr>
        <w:t>in</w:t>
      </w:r>
      <w:r w:rsidRPr="00FF7DC4">
        <w:rPr>
          <w:color w:val="0E101A"/>
        </w:rPr>
        <w:t xml:space="preserve"> hospice and palliative care populations. However, of the current</w:t>
      </w:r>
      <w:r w:rsidR="00840CB8">
        <w:rPr>
          <w:color w:val="0E101A"/>
        </w:rPr>
        <w:t xml:space="preserve"> existing</w:t>
      </w:r>
      <w:r w:rsidRPr="00FF7DC4">
        <w:rPr>
          <w:color w:val="0E101A"/>
        </w:rPr>
        <w:t xml:space="preserve"> literature, three main avenues of cost savings through formulary compliance were revealed: </w:t>
      </w:r>
      <w:r w:rsidR="00EE0325" w:rsidRPr="00FF7DC4">
        <w:rPr>
          <w:color w:val="0E101A"/>
        </w:rPr>
        <w:t>e</w:t>
      </w:r>
      <w:r w:rsidRPr="00FF7DC4">
        <w:rPr>
          <w:color w:val="0E101A"/>
        </w:rPr>
        <w:t>lectronic alert systems, therapeutic drug substitutions, and educational interventions. </w:t>
      </w:r>
    </w:p>
    <w:p w14:paraId="0A073390" w14:textId="643BF2E7" w:rsidR="0001062C" w:rsidRPr="00FF7DC4" w:rsidRDefault="0001062C" w:rsidP="00C42D05">
      <w:pPr>
        <w:pStyle w:val="NormalWeb"/>
        <w:spacing w:before="0" w:beforeAutospacing="0" w:after="0" w:afterAutospacing="0" w:line="480" w:lineRule="auto"/>
        <w:ind w:firstLine="720"/>
        <w:rPr>
          <w:color w:val="0E101A"/>
        </w:rPr>
      </w:pPr>
      <w:r w:rsidRPr="00FF7DC4">
        <w:rPr>
          <w:color w:val="0E101A"/>
        </w:rPr>
        <w:t xml:space="preserve">Clinical decision-making support via electronic alerts has been shown to improve prescriber efficiency, reduce errors, and manage formulary compliance, according to Melton (2017). Innovative clinical decision support systems have been shown to decrease medication ordering errors, increase patient safety, and produce financial savings for patients and organizations (Lord-Adem &amp; Brandt, 2017). </w:t>
      </w:r>
      <w:r w:rsidR="00E40AD2" w:rsidRPr="00FF7DC4">
        <w:rPr>
          <w:color w:val="0E101A"/>
        </w:rPr>
        <w:t xml:space="preserve">Furthermore, active clinical decision support via </w:t>
      </w:r>
      <w:r w:rsidR="00E40AD2" w:rsidRPr="00FF7DC4">
        <w:rPr>
          <w:color w:val="0E101A"/>
        </w:rPr>
        <w:lastRenderedPageBreak/>
        <w:t>best-practice alerts can aid in formulary adherence and cost reduction by alerting the prescriber of formulary alternatives while inputting medication orders (Johnson et al., 2021).</w:t>
      </w:r>
      <w:r w:rsidR="00E40AD2">
        <w:rPr>
          <w:color w:val="0E101A"/>
        </w:rPr>
        <w:t xml:space="preserve"> </w:t>
      </w:r>
      <w:r w:rsidRPr="00FF7DC4">
        <w:rPr>
          <w:color w:val="0E101A"/>
        </w:rPr>
        <w:t>However, limitations such as</w:t>
      </w:r>
      <w:r w:rsidR="00BA762A" w:rsidRPr="00FF7DC4">
        <w:rPr>
          <w:color w:val="0E101A"/>
        </w:rPr>
        <w:t xml:space="preserve"> the</w:t>
      </w:r>
      <w:r w:rsidRPr="00FF7DC4">
        <w:rPr>
          <w:color w:val="0E101A"/>
        </w:rPr>
        <w:t xml:space="preserve"> initial cost of implementation, provider buy-in, and potential alert fatigue may limit their use (Lord-</w:t>
      </w:r>
      <w:proofErr w:type="spellStart"/>
      <w:r w:rsidRPr="00FF7DC4">
        <w:rPr>
          <w:color w:val="0E101A"/>
        </w:rPr>
        <w:t>Adem</w:t>
      </w:r>
      <w:proofErr w:type="spellEnd"/>
      <w:r w:rsidRPr="00FF7DC4">
        <w:rPr>
          <w:color w:val="0E101A"/>
        </w:rPr>
        <w:t xml:space="preserve"> &amp; Brandt, 2017).</w:t>
      </w:r>
    </w:p>
    <w:p w14:paraId="5151E185" w14:textId="7928CD79" w:rsidR="0001062C" w:rsidRPr="00FF7DC4" w:rsidRDefault="0001062C" w:rsidP="00C42D05">
      <w:pPr>
        <w:pStyle w:val="NormalWeb"/>
        <w:spacing w:before="0" w:beforeAutospacing="0" w:after="0" w:afterAutospacing="0" w:line="480" w:lineRule="auto"/>
        <w:ind w:firstLine="720"/>
        <w:rPr>
          <w:color w:val="0E101A"/>
        </w:rPr>
      </w:pPr>
      <w:r w:rsidRPr="00FF7DC4">
        <w:rPr>
          <w:color w:val="0E101A"/>
        </w:rPr>
        <w:t>Therapeutic substitutions present another avenue that has shown promise in reducing the cost of medications to both patients and organizations. One study by Stenner et al. demonstrated annual savings in drug costs of approximately $800,000 by implementing an in-class therapeutic replacement of four medication classes at the point of prescribing (2016). Another study exhibited an annual cost</w:t>
      </w:r>
      <w:r w:rsidR="00E963C5">
        <w:rPr>
          <w:color w:val="0E101A"/>
        </w:rPr>
        <w:t xml:space="preserve"> </w:t>
      </w:r>
      <w:r w:rsidRPr="00FF7DC4">
        <w:rPr>
          <w:color w:val="0E101A"/>
        </w:rPr>
        <w:t>savings of $397,436 upon implementing the automatic substitution of ipratropium-albuterol nebulization solution for metered-dose inhalers (</w:t>
      </w:r>
      <w:proofErr w:type="spellStart"/>
      <w:r w:rsidRPr="00FF7DC4">
        <w:rPr>
          <w:color w:val="0E101A"/>
        </w:rPr>
        <w:t>Loborec</w:t>
      </w:r>
      <w:proofErr w:type="spellEnd"/>
      <w:r w:rsidRPr="00FF7DC4">
        <w:rPr>
          <w:color w:val="0E101A"/>
        </w:rPr>
        <w:t xml:space="preserve"> et al., 2017). This automatic formulary substitution resulted in 100% formulary compliance and reduced non-formulary orders for metered-dose inhalers. Additionally, another study investigated the effectiveness of pharmacist-driven formulary exchange amongst the employees and employee family members insured by an extensive healthcare system. It produced a prospective annual cost savings of $85,654 to the health system and $48,664 to employees (</w:t>
      </w:r>
      <w:proofErr w:type="spellStart"/>
      <w:r w:rsidRPr="00FF7DC4">
        <w:rPr>
          <w:color w:val="0E101A"/>
        </w:rPr>
        <w:t>Keedy</w:t>
      </w:r>
      <w:proofErr w:type="spellEnd"/>
      <w:r w:rsidRPr="00FF7DC4">
        <w:rPr>
          <w:color w:val="0E101A"/>
        </w:rPr>
        <w:t xml:space="preserve"> et al., 2018).</w:t>
      </w:r>
    </w:p>
    <w:p w14:paraId="4D458CB9" w14:textId="6F404A83" w:rsidR="0001062C" w:rsidRPr="00FF7DC4" w:rsidRDefault="0001062C" w:rsidP="00C42D05">
      <w:pPr>
        <w:pStyle w:val="NormalWeb"/>
        <w:spacing w:before="0" w:beforeAutospacing="0" w:after="0" w:afterAutospacing="0" w:line="480" w:lineRule="auto"/>
        <w:ind w:firstLine="720"/>
        <w:rPr>
          <w:color w:val="0E101A"/>
        </w:rPr>
      </w:pPr>
      <w:r w:rsidRPr="00FF7DC4">
        <w:rPr>
          <w:color w:val="0E101A"/>
        </w:rPr>
        <w:t xml:space="preserve">Educational interventions may also support formulary compliance by persuading prescribers based on medication safety, efficacy, and actual cost. Brock et al. (2017) implemented an education intervention targeting transdermal scopolamine to treat terminal secretions in the hospice setting. Prescribers were educated regarding each available treatment's efficacy, safety, and actual cost for terminal secretions. Post-intervention data demonstrated a 28.5% monthly cost reduction in treating terminal secretions (Brock et al., 2017). Additionally, a longitudinal non-randomized study further </w:t>
      </w:r>
      <w:r w:rsidR="00840CB8">
        <w:rPr>
          <w:color w:val="0E101A"/>
        </w:rPr>
        <w:t>suggested</w:t>
      </w:r>
      <w:r w:rsidRPr="00FF7DC4">
        <w:rPr>
          <w:color w:val="0E101A"/>
        </w:rPr>
        <w:t xml:space="preserve"> that increasing the prescriber's awareness </w:t>
      </w:r>
      <w:r w:rsidRPr="00FF7DC4">
        <w:rPr>
          <w:color w:val="0E101A"/>
        </w:rPr>
        <w:lastRenderedPageBreak/>
        <w:t>of drug formularies and medication costs could potentially result in overall medication cost savings (Tseng et al., 2016).</w:t>
      </w:r>
    </w:p>
    <w:p w14:paraId="00347425" w14:textId="4E972963" w:rsidR="0001062C" w:rsidRPr="00FF7DC4" w:rsidRDefault="0001062C" w:rsidP="0001062C">
      <w:pPr>
        <w:pStyle w:val="NormalWeb"/>
        <w:spacing w:before="0" w:beforeAutospacing="0" w:after="0" w:afterAutospacing="0" w:line="480" w:lineRule="auto"/>
        <w:rPr>
          <w:color w:val="0E101A"/>
        </w:rPr>
      </w:pPr>
      <w:r w:rsidRPr="00FF7DC4">
        <w:rPr>
          <w:rStyle w:val="Emphasis"/>
          <w:b/>
          <w:bCs/>
          <w:color w:val="0E101A"/>
        </w:rPr>
        <w:t>Current Approaches to Solving Population Problem</w:t>
      </w:r>
    </w:p>
    <w:p w14:paraId="7758683C" w14:textId="2AE29A67" w:rsidR="0001062C" w:rsidRPr="00FF7DC4" w:rsidRDefault="0001062C" w:rsidP="00C42D05">
      <w:pPr>
        <w:pStyle w:val="NormalWeb"/>
        <w:spacing w:before="0" w:beforeAutospacing="0" w:after="0" w:afterAutospacing="0" w:line="480" w:lineRule="auto"/>
        <w:ind w:firstLine="720"/>
        <w:rPr>
          <w:color w:val="0E101A"/>
        </w:rPr>
      </w:pPr>
      <w:r w:rsidRPr="00FF7DC4">
        <w:rPr>
          <w:color w:val="0E101A"/>
        </w:rPr>
        <w:t>The current approaches presented in the literature addressing formulary adherence and medication cost reduction include educational interventions, therapeutic interchange o</w:t>
      </w:r>
      <w:r w:rsidR="00C64CFC" w:rsidRPr="00FF7DC4">
        <w:rPr>
          <w:color w:val="0E101A"/>
        </w:rPr>
        <w:t>f</w:t>
      </w:r>
      <w:r w:rsidRPr="00FF7DC4">
        <w:rPr>
          <w:color w:val="0E101A"/>
        </w:rPr>
        <w:t xml:space="preserve"> medications, and clinical decision support </w:t>
      </w:r>
      <w:r w:rsidR="00612FF5">
        <w:rPr>
          <w:color w:val="0E101A"/>
        </w:rPr>
        <w:t xml:space="preserve">via electronic alerts </w:t>
      </w:r>
      <w:r w:rsidRPr="00FF7DC4">
        <w:rPr>
          <w:color w:val="0E101A"/>
        </w:rPr>
        <w:t>within the online medication ordering platform. Of the three approaches mentioned above, the implementation of clinical decision support at the point of medication ordering appears to be the most efficient, effective intervention with the most substantial supporting evidence. </w:t>
      </w:r>
    </w:p>
    <w:p w14:paraId="7EFFE934" w14:textId="58164A07" w:rsidR="00E85CD3" w:rsidRDefault="0001062C" w:rsidP="00E40AD2">
      <w:pPr>
        <w:pStyle w:val="NormalWeb"/>
        <w:spacing w:before="0" w:beforeAutospacing="0" w:after="0" w:afterAutospacing="0" w:line="480" w:lineRule="auto"/>
        <w:ind w:firstLine="720"/>
        <w:rPr>
          <w:color w:val="0E101A"/>
        </w:rPr>
      </w:pPr>
      <w:r w:rsidRPr="00FF7DC4">
        <w:rPr>
          <w:color w:val="0E101A"/>
        </w:rPr>
        <w:t xml:space="preserve">The clinical decision-making support approach was </w:t>
      </w:r>
      <w:r w:rsidR="00612FF5">
        <w:rPr>
          <w:color w:val="0E101A"/>
        </w:rPr>
        <w:t xml:space="preserve">initially </w:t>
      </w:r>
      <w:r w:rsidRPr="00FF7DC4">
        <w:rPr>
          <w:color w:val="0E101A"/>
        </w:rPr>
        <w:t xml:space="preserve">selected as the intervention for this project following careful consideration and approval from the project site partners. </w:t>
      </w:r>
      <w:r w:rsidR="00612FF5">
        <w:rPr>
          <w:color w:val="0E101A"/>
        </w:rPr>
        <w:t xml:space="preserve">However, failure to connect with a representative from the organization’s online ordering platform presented an insurmountable </w:t>
      </w:r>
      <w:r w:rsidR="00E85CD3">
        <w:rPr>
          <w:color w:val="0E101A"/>
        </w:rPr>
        <w:t>barrier</w:t>
      </w:r>
      <w:r w:rsidR="00612FF5">
        <w:rPr>
          <w:color w:val="0E101A"/>
        </w:rPr>
        <w:t xml:space="preserve"> </w:t>
      </w:r>
      <w:r w:rsidR="00E85CD3">
        <w:rPr>
          <w:color w:val="0E101A"/>
        </w:rPr>
        <w:t>to the progression of this intervention for</w:t>
      </w:r>
      <w:r w:rsidR="00612FF5">
        <w:rPr>
          <w:color w:val="0E101A"/>
        </w:rPr>
        <w:t xml:space="preserve"> implementation. Additionally, the organization</w:t>
      </w:r>
      <w:r w:rsidR="00377D11">
        <w:rPr>
          <w:color w:val="0E101A"/>
        </w:rPr>
        <w:t xml:space="preserve"> was amid</w:t>
      </w:r>
      <w:r w:rsidR="00612FF5">
        <w:rPr>
          <w:color w:val="0E101A"/>
        </w:rPr>
        <w:t xml:space="preserve"> </w:t>
      </w:r>
      <w:r w:rsidR="00E85CD3">
        <w:rPr>
          <w:color w:val="0E101A"/>
        </w:rPr>
        <w:t>merg</w:t>
      </w:r>
      <w:r w:rsidR="00377D11">
        <w:rPr>
          <w:color w:val="0E101A"/>
        </w:rPr>
        <w:t>ing</w:t>
      </w:r>
      <w:r w:rsidR="00612FF5">
        <w:rPr>
          <w:color w:val="0E101A"/>
        </w:rPr>
        <w:t xml:space="preserve"> with a </w:t>
      </w:r>
      <w:r w:rsidR="00E85CD3">
        <w:rPr>
          <w:color w:val="0E101A"/>
        </w:rPr>
        <w:t>larger neighboring</w:t>
      </w:r>
      <w:r w:rsidR="00612FF5">
        <w:rPr>
          <w:color w:val="0E101A"/>
        </w:rPr>
        <w:t xml:space="preserve"> hospice</w:t>
      </w:r>
      <w:r w:rsidR="00377D11">
        <w:rPr>
          <w:color w:val="0E101A"/>
        </w:rPr>
        <w:t xml:space="preserve"> </w:t>
      </w:r>
      <w:r w:rsidR="00612FF5">
        <w:rPr>
          <w:color w:val="0E101A"/>
        </w:rPr>
        <w:t xml:space="preserve">organization and </w:t>
      </w:r>
      <w:r w:rsidR="00377D11">
        <w:rPr>
          <w:color w:val="0E101A"/>
        </w:rPr>
        <w:t>transitioning to a new</w:t>
      </w:r>
      <w:r w:rsidR="00612FF5">
        <w:rPr>
          <w:color w:val="0E101A"/>
        </w:rPr>
        <w:t xml:space="preserve"> online ordering and charting system. This transitional period for the organization present</w:t>
      </w:r>
      <w:r w:rsidR="00377D11">
        <w:rPr>
          <w:color w:val="0E101A"/>
        </w:rPr>
        <w:t>ed</w:t>
      </w:r>
      <w:r w:rsidR="00E85CD3">
        <w:rPr>
          <w:color w:val="0E101A"/>
        </w:rPr>
        <w:t xml:space="preserve"> an </w:t>
      </w:r>
      <w:r w:rsidR="00377D11">
        <w:rPr>
          <w:color w:val="0E101A"/>
        </w:rPr>
        <w:t>added</w:t>
      </w:r>
      <w:r w:rsidR="00E85CD3">
        <w:rPr>
          <w:color w:val="0E101A"/>
        </w:rPr>
        <w:t xml:space="preserve"> barrier to the implementation of a clinical decision-making support approach to </w:t>
      </w:r>
      <w:r w:rsidR="00840CB8">
        <w:rPr>
          <w:color w:val="0E101A"/>
        </w:rPr>
        <w:t>reducing</w:t>
      </w:r>
      <w:r w:rsidR="00C52CAB">
        <w:rPr>
          <w:color w:val="0E101A"/>
        </w:rPr>
        <w:t xml:space="preserve"> nonformulary</w:t>
      </w:r>
      <w:r w:rsidR="00E85CD3">
        <w:rPr>
          <w:color w:val="0E101A"/>
        </w:rPr>
        <w:t xml:space="preserve"> medication orders and overall drug costs. Therefore, u</w:t>
      </w:r>
      <w:r w:rsidRPr="00FF7DC4">
        <w:rPr>
          <w:color w:val="0E101A"/>
        </w:rPr>
        <w:t>pon</w:t>
      </w:r>
      <w:r w:rsidR="00E85CD3">
        <w:rPr>
          <w:color w:val="0E101A"/>
        </w:rPr>
        <w:t xml:space="preserve"> consideration of </w:t>
      </w:r>
      <w:r w:rsidR="00C52CAB">
        <w:rPr>
          <w:color w:val="0E101A"/>
        </w:rPr>
        <w:t xml:space="preserve">the </w:t>
      </w:r>
      <w:r w:rsidR="00E85CD3">
        <w:rPr>
          <w:color w:val="0E101A"/>
        </w:rPr>
        <w:t>identified barriers,</w:t>
      </w:r>
      <w:r w:rsidRPr="00FF7DC4">
        <w:rPr>
          <w:color w:val="0E101A"/>
        </w:rPr>
        <w:t xml:space="preserve"> </w:t>
      </w:r>
      <w:r w:rsidR="00E85CD3">
        <w:rPr>
          <w:color w:val="0E101A"/>
        </w:rPr>
        <w:t>discussion of</w:t>
      </w:r>
      <w:r w:rsidRPr="00FF7DC4">
        <w:rPr>
          <w:color w:val="0E101A"/>
        </w:rPr>
        <w:t xml:space="preserve"> the current state of evidence</w:t>
      </w:r>
      <w:r w:rsidR="00E85CD3">
        <w:rPr>
          <w:color w:val="0E101A"/>
        </w:rPr>
        <w:t>,</w:t>
      </w:r>
      <w:r w:rsidRPr="00FF7DC4">
        <w:rPr>
          <w:color w:val="0E101A"/>
        </w:rPr>
        <w:t xml:space="preserve"> and </w:t>
      </w:r>
      <w:r w:rsidR="00E85CD3">
        <w:rPr>
          <w:color w:val="0E101A"/>
        </w:rPr>
        <w:t xml:space="preserve">further </w:t>
      </w:r>
      <w:r w:rsidRPr="00FF7DC4">
        <w:rPr>
          <w:color w:val="0E101A"/>
        </w:rPr>
        <w:t>deliberation</w:t>
      </w:r>
      <w:r w:rsidR="00E85CD3">
        <w:rPr>
          <w:color w:val="0E101A"/>
        </w:rPr>
        <w:t xml:space="preserve"> with all project site partners,</w:t>
      </w:r>
      <w:r w:rsidRPr="00FF7DC4">
        <w:rPr>
          <w:color w:val="0E101A"/>
        </w:rPr>
        <w:t xml:space="preserve"> all agree</w:t>
      </w:r>
      <w:r w:rsidR="00377D11">
        <w:rPr>
          <w:color w:val="0E101A"/>
        </w:rPr>
        <w:t>d</w:t>
      </w:r>
      <w:r w:rsidRPr="00FF7DC4">
        <w:rPr>
          <w:color w:val="0E101A"/>
        </w:rPr>
        <w:t xml:space="preserve"> that implementing an </w:t>
      </w:r>
      <w:r w:rsidR="00E85CD3">
        <w:rPr>
          <w:color w:val="0E101A"/>
        </w:rPr>
        <w:t>educational intervention would prove to be the most feasible and beneficial to staff, patients, and the organization</w:t>
      </w:r>
      <w:r w:rsidR="00C52CAB">
        <w:rPr>
          <w:color w:val="0E101A"/>
        </w:rPr>
        <w:t xml:space="preserve"> to reduce medication cost.</w:t>
      </w:r>
    </w:p>
    <w:p w14:paraId="5653C7E8" w14:textId="77777777" w:rsidR="00E40AD2" w:rsidRDefault="00E40AD2">
      <w:pPr>
        <w:rPr>
          <w:rStyle w:val="Strong"/>
          <w:rFonts w:ascii="Times New Roman" w:eastAsia="Times New Roman" w:hAnsi="Times New Roman" w:cs="Times New Roman"/>
          <w:i/>
          <w:iCs/>
          <w:color w:val="0E101A"/>
        </w:rPr>
      </w:pPr>
      <w:r>
        <w:rPr>
          <w:rStyle w:val="Strong"/>
          <w:i/>
          <w:iCs/>
          <w:color w:val="0E101A"/>
        </w:rPr>
        <w:br w:type="page"/>
      </w:r>
    </w:p>
    <w:p w14:paraId="451E2315" w14:textId="6A22DBB6" w:rsidR="0001062C" w:rsidRPr="00FF7DC4" w:rsidRDefault="0001062C" w:rsidP="0001062C">
      <w:pPr>
        <w:pStyle w:val="NormalWeb"/>
        <w:spacing w:before="0" w:beforeAutospacing="0" w:after="0" w:afterAutospacing="0" w:line="480" w:lineRule="auto"/>
        <w:rPr>
          <w:i/>
          <w:iCs/>
          <w:color w:val="0E101A"/>
        </w:rPr>
      </w:pPr>
      <w:r w:rsidRPr="00FF7DC4">
        <w:rPr>
          <w:rStyle w:val="Strong"/>
          <w:i/>
          <w:iCs/>
          <w:color w:val="0E101A"/>
        </w:rPr>
        <w:lastRenderedPageBreak/>
        <w:t>Evidence to Support the Intervention</w:t>
      </w:r>
    </w:p>
    <w:p w14:paraId="7B5BCBD6" w14:textId="7080FDBF" w:rsidR="00C52CAB" w:rsidRDefault="0001062C" w:rsidP="00C42D05">
      <w:pPr>
        <w:pStyle w:val="NormalWeb"/>
        <w:spacing w:before="0" w:beforeAutospacing="0" w:after="0" w:afterAutospacing="0" w:line="480" w:lineRule="auto"/>
        <w:ind w:firstLine="720"/>
        <w:rPr>
          <w:color w:val="0E101A"/>
        </w:rPr>
      </w:pPr>
      <w:r w:rsidRPr="00FF7DC4">
        <w:rPr>
          <w:color w:val="0E101A"/>
        </w:rPr>
        <w:t xml:space="preserve">Although the alternative methods of </w:t>
      </w:r>
      <w:r w:rsidR="00FC6037">
        <w:rPr>
          <w:color w:val="0E101A"/>
        </w:rPr>
        <w:t xml:space="preserve">electronic </w:t>
      </w:r>
      <w:r w:rsidR="00C52CAB">
        <w:rPr>
          <w:color w:val="0E101A"/>
        </w:rPr>
        <w:t>clinical decision-making support</w:t>
      </w:r>
      <w:r w:rsidRPr="00FF7DC4">
        <w:rPr>
          <w:color w:val="0E101A"/>
        </w:rPr>
        <w:t xml:space="preserve"> and therapeutic substitution to promote formulary compliance were compelling, </w:t>
      </w:r>
      <w:r w:rsidR="00C64CFC" w:rsidRPr="00FF7DC4">
        <w:rPr>
          <w:color w:val="0E101A"/>
        </w:rPr>
        <w:t>the project team</w:t>
      </w:r>
      <w:r w:rsidRPr="00FF7DC4">
        <w:rPr>
          <w:color w:val="0E101A"/>
        </w:rPr>
        <w:t xml:space="preserve"> believe</w:t>
      </w:r>
      <w:r w:rsidR="00377D11">
        <w:rPr>
          <w:color w:val="0E101A"/>
        </w:rPr>
        <w:t>d</w:t>
      </w:r>
      <w:r w:rsidRPr="00FF7DC4">
        <w:rPr>
          <w:color w:val="0E101A"/>
        </w:rPr>
        <w:t xml:space="preserve"> that </w:t>
      </w:r>
      <w:r w:rsidR="00C52CAB">
        <w:rPr>
          <w:color w:val="0E101A"/>
        </w:rPr>
        <w:t>a</w:t>
      </w:r>
      <w:r w:rsidR="002E3EA2">
        <w:rPr>
          <w:color w:val="0E101A"/>
        </w:rPr>
        <w:t xml:space="preserve"> multifaceted </w:t>
      </w:r>
      <w:r w:rsidR="00C52CAB">
        <w:rPr>
          <w:color w:val="0E101A"/>
        </w:rPr>
        <w:t>educational intervention</w:t>
      </w:r>
      <w:r w:rsidRPr="00FF7DC4">
        <w:rPr>
          <w:color w:val="0E101A"/>
        </w:rPr>
        <w:t xml:space="preserve"> would prove </w:t>
      </w:r>
      <w:r w:rsidR="00FC6037">
        <w:rPr>
          <w:color w:val="0E101A"/>
        </w:rPr>
        <w:t xml:space="preserve">to be </w:t>
      </w:r>
      <w:r w:rsidRPr="00FF7DC4">
        <w:rPr>
          <w:color w:val="0E101A"/>
        </w:rPr>
        <w:t xml:space="preserve">more beneficial and well-received amongst the target population. </w:t>
      </w:r>
      <w:r w:rsidR="00840CB8">
        <w:rPr>
          <w:color w:val="0E101A"/>
        </w:rPr>
        <w:t xml:space="preserve">Utilizing a quick-reference guide will help to reduce the burden of decision-making when choosing medications according to formulary and simplify the ordering process. </w:t>
      </w:r>
      <w:r w:rsidRPr="00FF7DC4">
        <w:rPr>
          <w:color w:val="0E101A"/>
        </w:rPr>
        <w:t xml:space="preserve">Verbal or telephone </w:t>
      </w:r>
      <w:r w:rsidR="00C52CAB">
        <w:rPr>
          <w:color w:val="0E101A"/>
        </w:rPr>
        <w:t xml:space="preserve">medication </w:t>
      </w:r>
      <w:r w:rsidRPr="00FF7DC4">
        <w:rPr>
          <w:color w:val="0E101A"/>
        </w:rPr>
        <w:t xml:space="preserve">orders are </w:t>
      </w:r>
      <w:r w:rsidR="00C52CAB">
        <w:rPr>
          <w:color w:val="0E101A"/>
        </w:rPr>
        <w:t>frequently</w:t>
      </w:r>
      <w:r w:rsidRPr="00FF7DC4">
        <w:rPr>
          <w:color w:val="0E101A"/>
        </w:rPr>
        <w:t xml:space="preserve"> given to nurses, who are then responsible for inputting those orders and selecting the correct drug formulation within the ordering system. </w:t>
      </w:r>
      <w:r w:rsidR="00840CB8">
        <w:rPr>
          <w:color w:val="0E101A"/>
        </w:rPr>
        <w:t>N</w:t>
      </w:r>
      <w:r w:rsidR="00C52CAB">
        <w:rPr>
          <w:color w:val="0E101A"/>
        </w:rPr>
        <w:t xml:space="preserve">urses and providers have voiced </w:t>
      </w:r>
      <w:r w:rsidR="002E3EA2">
        <w:rPr>
          <w:color w:val="0E101A"/>
        </w:rPr>
        <w:t>increased</w:t>
      </w:r>
      <w:r w:rsidR="00C52CAB">
        <w:rPr>
          <w:color w:val="0E101A"/>
        </w:rPr>
        <w:t xml:space="preserve"> </w:t>
      </w:r>
      <w:r w:rsidR="00FC6037">
        <w:rPr>
          <w:color w:val="0E101A"/>
        </w:rPr>
        <w:t xml:space="preserve">difficulty </w:t>
      </w:r>
      <w:r w:rsidR="002E3EA2">
        <w:rPr>
          <w:color w:val="0E101A"/>
        </w:rPr>
        <w:t xml:space="preserve">in </w:t>
      </w:r>
      <w:r w:rsidR="00C52CAB">
        <w:rPr>
          <w:color w:val="0E101A"/>
        </w:rPr>
        <w:t>differentiating between formulary versus nonformulary medications under the new pharmacy model</w:t>
      </w:r>
      <w:r w:rsidR="00FC6037">
        <w:rPr>
          <w:color w:val="0E101A"/>
        </w:rPr>
        <w:t>. By implementing a</w:t>
      </w:r>
      <w:r w:rsidR="00377D11">
        <w:rPr>
          <w:color w:val="0E101A"/>
        </w:rPr>
        <w:t xml:space="preserve"> multimodal</w:t>
      </w:r>
      <w:r w:rsidR="00FC6037">
        <w:rPr>
          <w:color w:val="0E101A"/>
        </w:rPr>
        <w:t xml:space="preserve"> educational intervention and creating a quick-reference guide for nurses and providers, they will be able to quickly discern which medication</w:t>
      </w:r>
      <w:r w:rsidR="00123624">
        <w:rPr>
          <w:color w:val="0E101A"/>
        </w:rPr>
        <w:t xml:space="preserve">s are </w:t>
      </w:r>
      <w:r w:rsidR="00FC6037">
        <w:rPr>
          <w:color w:val="0E101A"/>
        </w:rPr>
        <w:t xml:space="preserve">most appropriate for the patient based on cost and efficacy. </w:t>
      </w:r>
      <w:r w:rsidR="00E47354">
        <w:rPr>
          <w:color w:val="0E101A"/>
        </w:rPr>
        <w:t>By including cost comparisons on the quick-reference guide, nurses and providers can remain cognizant of the cost of the medications they are ordering.</w:t>
      </w:r>
      <w:r w:rsidR="00123624">
        <w:rPr>
          <w:color w:val="0E101A"/>
        </w:rPr>
        <w:t xml:space="preserve"> </w:t>
      </w:r>
    </w:p>
    <w:p w14:paraId="3E7537C4" w14:textId="57895DA6" w:rsidR="00C52CAB" w:rsidRDefault="00707F17" w:rsidP="00C42D05">
      <w:pPr>
        <w:pStyle w:val="NormalWeb"/>
        <w:spacing w:before="0" w:beforeAutospacing="0" w:after="0" w:afterAutospacing="0" w:line="480" w:lineRule="auto"/>
        <w:ind w:firstLine="720"/>
        <w:rPr>
          <w:color w:val="0E101A"/>
        </w:rPr>
      </w:pPr>
      <w:r>
        <w:rPr>
          <w:color w:val="0E101A"/>
        </w:rPr>
        <w:t xml:space="preserve">A Qualtrics survey was distributed to all nursing staff to gauge their perspectives and assess their most problematic medications to enter </w:t>
      </w:r>
      <w:r w:rsidR="00840CB8">
        <w:rPr>
          <w:color w:val="0E101A"/>
        </w:rPr>
        <w:t xml:space="preserve">and give </w:t>
      </w:r>
      <w:r>
        <w:rPr>
          <w:color w:val="0E101A"/>
        </w:rPr>
        <w:t xml:space="preserve">them </w:t>
      </w:r>
      <w:r w:rsidR="00840CB8">
        <w:rPr>
          <w:color w:val="0E101A"/>
        </w:rPr>
        <w:t xml:space="preserve">the </w:t>
      </w:r>
      <w:r>
        <w:rPr>
          <w:color w:val="0E101A"/>
        </w:rPr>
        <w:t xml:space="preserve">opportunity to voice any other concerns with inputting medication orders according to the new drug formulary. The survey was sent via email to all </w:t>
      </w:r>
      <w:r w:rsidR="00377D11">
        <w:rPr>
          <w:color w:val="0E101A"/>
        </w:rPr>
        <w:t>41</w:t>
      </w:r>
      <w:r>
        <w:rPr>
          <w:color w:val="0E101A"/>
        </w:rPr>
        <w:t xml:space="preserve"> nurses, including hospices house and home care nursing staff, with </w:t>
      </w:r>
      <w:r w:rsidR="00BD6F2B">
        <w:rPr>
          <w:color w:val="0E101A"/>
        </w:rPr>
        <w:t xml:space="preserve">19 completed surveys returned. </w:t>
      </w:r>
    </w:p>
    <w:p w14:paraId="4F8E7ECD" w14:textId="2AB777AF" w:rsidR="00BD6F2B" w:rsidRDefault="00B80D24" w:rsidP="00C42D05">
      <w:pPr>
        <w:pStyle w:val="NormalWeb"/>
        <w:spacing w:before="0" w:beforeAutospacing="0" w:after="0" w:afterAutospacing="0" w:line="480" w:lineRule="auto"/>
        <w:ind w:firstLine="720"/>
        <w:rPr>
          <w:color w:val="0E101A"/>
        </w:rPr>
      </w:pPr>
      <w:r>
        <w:rPr>
          <w:color w:val="0E101A"/>
        </w:rPr>
        <w:t xml:space="preserve">In addition to </w:t>
      </w:r>
      <w:r w:rsidR="00EE1BF2">
        <w:rPr>
          <w:color w:val="0E101A"/>
        </w:rPr>
        <w:t xml:space="preserve">receiving </w:t>
      </w:r>
      <w:r>
        <w:rPr>
          <w:color w:val="0E101A"/>
        </w:rPr>
        <w:t>endorsement from the nursing staff, the literature also supports the u</w:t>
      </w:r>
      <w:r w:rsidR="00840CB8">
        <w:rPr>
          <w:color w:val="0E101A"/>
        </w:rPr>
        <w:t>se</w:t>
      </w:r>
      <w:r>
        <w:rPr>
          <w:color w:val="0E101A"/>
        </w:rPr>
        <w:t xml:space="preserve"> of educational interventions </w:t>
      </w:r>
      <w:r w:rsidR="00EE1BF2">
        <w:rPr>
          <w:color w:val="0E101A"/>
        </w:rPr>
        <w:t xml:space="preserve">to serve as change agents. </w:t>
      </w:r>
      <w:r w:rsidR="00BD6F2B">
        <w:rPr>
          <w:color w:val="0E101A"/>
        </w:rPr>
        <w:t xml:space="preserve">One systematic review regarding the effectiveness of educational interventions supports a multifaceted approach that directly </w:t>
      </w:r>
      <w:r w:rsidR="00BD6F2B">
        <w:rPr>
          <w:color w:val="0E101A"/>
        </w:rPr>
        <w:lastRenderedPageBreak/>
        <w:t>engages healthcare professionals as this was shown to be the most effective with thirteen of</w:t>
      </w:r>
      <w:r w:rsidR="00EE1BF2">
        <w:rPr>
          <w:color w:val="0E101A"/>
        </w:rPr>
        <w:t xml:space="preserve"> the</w:t>
      </w:r>
      <w:r w:rsidR="00BD6F2B">
        <w:rPr>
          <w:color w:val="0E101A"/>
        </w:rPr>
        <w:t xml:space="preserve"> sixteen studies </w:t>
      </w:r>
      <w:r w:rsidR="00EE1BF2">
        <w:rPr>
          <w:color w:val="0E101A"/>
        </w:rPr>
        <w:t xml:space="preserve">included in the review </w:t>
      </w:r>
      <w:r w:rsidR="00BD6F2B">
        <w:rPr>
          <w:color w:val="0E101A"/>
        </w:rPr>
        <w:t>reporting positive results (</w:t>
      </w:r>
      <w:proofErr w:type="spellStart"/>
      <w:r w:rsidR="00BD6F2B">
        <w:rPr>
          <w:color w:val="0E101A"/>
        </w:rPr>
        <w:t>Bourcier</w:t>
      </w:r>
      <w:proofErr w:type="spellEnd"/>
      <w:r w:rsidR="00BD6F2B">
        <w:rPr>
          <w:color w:val="0E101A"/>
        </w:rPr>
        <w:t xml:space="preserve"> et al., 2018)</w:t>
      </w:r>
      <w:r>
        <w:rPr>
          <w:color w:val="0E101A"/>
        </w:rPr>
        <w:t>. Platt et al. (2020) revealed an 80% reduction in the rate of benzodiazepine prescri</w:t>
      </w:r>
      <w:r w:rsidR="00EE1BF2">
        <w:rPr>
          <w:color w:val="0E101A"/>
        </w:rPr>
        <w:t>ptions</w:t>
      </w:r>
      <w:r>
        <w:rPr>
          <w:color w:val="0E101A"/>
        </w:rPr>
        <w:t xml:space="preserve"> in an urban outpatient clinic following the implementation of a multifaceted educational intervention</w:t>
      </w:r>
      <w:r w:rsidR="00EE1BF2">
        <w:rPr>
          <w:color w:val="0E101A"/>
        </w:rPr>
        <w:t xml:space="preserve"> that included in-person education and posters displayed in the provider work areas</w:t>
      </w:r>
      <w:r>
        <w:rPr>
          <w:color w:val="0E101A"/>
        </w:rPr>
        <w:t xml:space="preserve">. </w:t>
      </w:r>
      <w:r w:rsidR="00EE1BF2">
        <w:rPr>
          <w:color w:val="0E101A"/>
        </w:rPr>
        <w:t xml:space="preserve">Another study showed an increase in value-conscious prescribing and a decrease in the prescription of </w:t>
      </w:r>
      <w:r w:rsidR="001341A1">
        <w:rPr>
          <w:color w:val="0E101A"/>
        </w:rPr>
        <w:t>proton pump inhibitors</w:t>
      </w:r>
      <w:r w:rsidR="00EE1BF2">
        <w:rPr>
          <w:color w:val="0E101A"/>
        </w:rPr>
        <w:t xml:space="preserve"> with the employment of an in-person education intervention combined with the use of a decision aid tool</w:t>
      </w:r>
      <w:r w:rsidR="00840CB8">
        <w:rPr>
          <w:color w:val="0E101A"/>
        </w:rPr>
        <w:t>,</w:t>
      </w:r>
      <w:r w:rsidR="001341A1">
        <w:rPr>
          <w:color w:val="0E101A"/>
        </w:rPr>
        <w:t xml:space="preserve"> producing an annual savings of $13,067</w:t>
      </w:r>
      <w:r w:rsidR="00EE1BF2">
        <w:rPr>
          <w:color w:val="0E101A"/>
        </w:rPr>
        <w:t xml:space="preserve"> (</w:t>
      </w:r>
      <w:proofErr w:type="spellStart"/>
      <w:r w:rsidR="00EE1BF2">
        <w:rPr>
          <w:color w:val="0E101A"/>
        </w:rPr>
        <w:t>Arao</w:t>
      </w:r>
      <w:proofErr w:type="spellEnd"/>
      <w:r w:rsidR="00EE1BF2">
        <w:rPr>
          <w:color w:val="0E101A"/>
        </w:rPr>
        <w:t xml:space="preserve"> et al., 2017). </w:t>
      </w:r>
    </w:p>
    <w:p w14:paraId="73DB2DA6" w14:textId="495CF3CB" w:rsidR="0001062C" w:rsidRPr="00FF7DC4" w:rsidRDefault="0001062C" w:rsidP="001341A1">
      <w:pPr>
        <w:pStyle w:val="NormalWeb"/>
        <w:spacing w:before="0" w:beforeAutospacing="0" w:after="0" w:afterAutospacing="0" w:line="480" w:lineRule="auto"/>
        <w:ind w:firstLine="720"/>
        <w:rPr>
          <w:color w:val="0E101A"/>
        </w:rPr>
      </w:pPr>
      <w:r w:rsidRPr="00FF7DC4">
        <w:rPr>
          <w:color w:val="0E101A"/>
        </w:rPr>
        <w:t xml:space="preserve">Additionally, the utilization of </w:t>
      </w:r>
      <w:r w:rsidR="001341A1">
        <w:rPr>
          <w:color w:val="0E101A"/>
        </w:rPr>
        <w:t>an educational intervention such as a quick-reference guide</w:t>
      </w:r>
      <w:r w:rsidR="00840CB8">
        <w:rPr>
          <w:color w:val="0E101A"/>
        </w:rPr>
        <w:t xml:space="preserve"> </w:t>
      </w:r>
      <w:r w:rsidRPr="00FF7DC4">
        <w:rPr>
          <w:color w:val="0E101A"/>
        </w:rPr>
        <w:t xml:space="preserve">can be further personalized by the institution to further their cost savings, creating the potential to expand upon the current project in the future. </w:t>
      </w:r>
      <w:r w:rsidRPr="001341A1">
        <w:rPr>
          <w:color w:val="0E101A"/>
        </w:rPr>
        <w:t>For example, the organization may</w:t>
      </w:r>
      <w:r w:rsidR="001341A1" w:rsidRPr="001341A1">
        <w:rPr>
          <w:color w:val="0E101A"/>
        </w:rPr>
        <w:t xml:space="preserve"> identify additional, costly medications that need to be added to the quick-reference guide to further reduce medication cost. The customizability of the guide enables the tool to be able to grow and change with the organization.</w:t>
      </w:r>
      <w:r w:rsidRPr="00FF7DC4">
        <w:rPr>
          <w:color w:val="0E101A"/>
        </w:rPr>
        <w:t xml:space="preserve"> This presents an opportunity for future projects and further advancements in patient safety, outcomes, and overall cost reduction</w:t>
      </w:r>
      <w:r w:rsidR="00E963C5">
        <w:rPr>
          <w:color w:val="0E101A"/>
        </w:rPr>
        <w:t>.</w:t>
      </w:r>
    </w:p>
    <w:p w14:paraId="3D625FFD" w14:textId="77777777" w:rsidR="00E963C5" w:rsidRDefault="0001062C" w:rsidP="00E963C5">
      <w:pPr>
        <w:pStyle w:val="NormalWeb"/>
        <w:spacing w:before="0" w:beforeAutospacing="0" w:after="0" w:afterAutospacing="0" w:line="480" w:lineRule="auto"/>
        <w:rPr>
          <w:color w:val="0E101A"/>
        </w:rPr>
      </w:pPr>
      <w:r w:rsidRPr="00FF7DC4">
        <w:rPr>
          <w:rStyle w:val="Strong"/>
          <w:color w:val="0E101A"/>
        </w:rPr>
        <w:t>Evidence-Based Practice Framework</w:t>
      </w:r>
    </w:p>
    <w:p w14:paraId="0B8230F3" w14:textId="5BC55BDF" w:rsidR="00E963C5" w:rsidRPr="00E963C5" w:rsidRDefault="00E963C5" w:rsidP="00E963C5">
      <w:pPr>
        <w:pStyle w:val="NormalWeb"/>
        <w:spacing w:before="0" w:beforeAutospacing="0" w:after="0" w:afterAutospacing="0" w:line="480" w:lineRule="auto"/>
        <w:ind w:firstLine="720"/>
        <w:rPr>
          <w:color w:val="0E101A"/>
        </w:rPr>
      </w:pPr>
      <w:r w:rsidRPr="00E963C5">
        <w:rPr>
          <w:color w:val="0E101A"/>
        </w:rPr>
        <w:t xml:space="preserve">This project was executed utilizing the Plan-Do-Study-Act (PDSA) operational framework for rapid cycle change (see Appendix B). The PDSA model was coined by Dr. Edward Deming, who suggested this systematic approach to conflict resolution with ongoing cyclical reevaluations and improvements (1991). This framework for change has been catalytic in the evolution of quality improvement (QI) and the application of evidence-based practice (Crowfoot &amp; Prasad, 2017). The PDSA model has resulted in the empowerment of healthcare providers in advocating for and implementing real change to improve the outcomes of their </w:t>
      </w:r>
      <w:r w:rsidRPr="00E963C5">
        <w:rPr>
          <w:color w:val="0E101A"/>
        </w:rPr>
        <w:lastRenderedPageBreak/>
        <w:t>patients. The iterative nature of the PDSA model allows for continual appraisal and improvements upon new or current practices and is widely accepted in the arena of healthcare (Crowfoot &amp; Prasad, 2017).</w:t>
      </w:r>
    </w:p>
    <w:p w14:paraId="1C9CA0CA" w14:textId="77777777" w:rsidR="00E963C5" w:rsidRPr="00E963C5" w:rsidRDefault="00E963C5" w:rsidP="00684C31">
      <w:pPr>
        <w:pStyle w:val="NormalWeb"/>
        <w:spacing w:line="480" w:lineRule="auto"/>
        <w:ind w:firstLine="720"/>
        <w:contextualSpacing/>
        <w:rPr>
          <w:color w:val="0E101A"/>
        </w:rPr>
      </w:pPr>
      <w:r w:rsidRPr="00E963C5">
        <w:rPr>
          <w:color w:val="0E101A"/>
        </w:rPr>
        <w:t>The first step in the PDSA framework for rapid-cycle change is the planning phase in which the need for change is identified, data is collected, and goals are formed. The 'do' stage is where the plan is set into motion and implementation occurs. The study phase is where the intervention outcomes are considered, and the change is then further adapted and improved upon. The cyclical reevaluation of implementation actions, lessons learned, and barriers identified may be applied during the 'act' phase to further perfect the plan to produce the desired change (Crowfoot &amp; Prasad, 2017). One of the significant benefits of this rapid cycle change framework is that it allows for minor changes to be promptly applied simultaneously, reducing the amount of resistance from staff members (Crowfoot &amp; Prasad, 2017).</w:t>
      </w:r>
    </w:p>
    <w:p w14:paraId="0D78ACA9" w14:textId="3662DD98" w:rsidR="00740E83" w:rsidRDefault="00E963C5" w:rsidP="00684C31">
      <w:pPr>
        <w:pStyle w:val="NormalWeb"/>
        <w:spacing w:before="0" w:beforeAutospacing="0" w:after="0" w:afterAutospacing="0" w:line="480" w:lineRule="auto"/>
        <w:ind w:firstLine="720"/>
        <w:rPr>
          <w:color w:val="0E101A"/>
        </w:rPr>
      </w:pPr>
      <w:r w:rsidRPr="00E963C5">
        <w:rPr>
          <w:color w:val="0E101A"/>
        </w:rPr>
        <w:t>For this project, the planning phase consisted of identifying the issue of increased medication costs and non-formulary medication orders as related by the organization</w:t>
      </w:r>
      <w:r w:rsidR="00E40AD2">
        <w:rPr>
          <w:color w:val="0E101A"/>
        </w:rPr>
        <w:t xml:space="preserve">. </w:t>
      </w:r>
      <w:r w:rsidRPr="00E963C5">
        <w:rPr>
          <w:color w:val="0E101A"/>
        </w:rPr>
        <w:t xml:space="preserve">After identifying the problem, a rigorous literature review was conducted to explore the current body of knowledge and evidence to support possible solutions. Collaboration with the project site </w:t>
      </w:r>
      <w:proofErr w:type="gramStart"/>
      <w:r w:rsidRPr="00E963C5">
        <w:rPr>
          <w:color w:val="0E101A"/>
        </w:rPr>
        <w:t>partners,</w:t>
      </w:r>
      <w:proofErr w:type="gramEnd"/>
      <w:r w:rsidRPr="00E963C5">
        <w:rPr>
          <w:color w:val="0E101A"/>
        </w:rPr>
        <w:t xml:space="preserve"> pharmacists, providers, and nursing staff revealed possible solutions to remedy the issue. The intervention of visually differentiating formulary drug options from the non-formulary alternatives was initially agreed upon as an acceptable intervention, and implementation was attempted with the collaboration of the pharmacy and information technology teams. However, given the inability to coordinate with the information technology team with the new online ordering system, the decision to switch to an educational intervention was agreed upon by all project partners. Thereafter, the study phase ensued and consisted of the recurrent, biweekly </w:t>
      </w:r>
      <w:r w:rsidRPr="00E963C5">
        <w:rPr>
          <w:color w:val="0E101A"/>
        </w:rPr>
        <w:lastRenderedPageBreak/>
        <w:t>reevaluation of the effects of the intervention on decreasing the number of non-formulary medications ordered and overall medication cost. The act phase considered the outcomes of the intervention and lessons learned during implementation.</w:t>
      </w:r>
    </w:p>
    <w:p w14:paraId="41C09D7B" w14:textId="319A8546" w:rsidR="0001062C" w:rsidRPr="00FF7DC4" w:rsidRDefault="00E963C5" w:rsidP="00740E83">
      <w:pPr>
        <w:pStyle w:val="NormalWeb"/>
        <w:spacing w:before="0" w:beforeAutospacing="0" w:after="0" w:afterAutospacing="0" w:line="480" w:lineRule="auto"/>
        <w:ind w:firstLine="720"/>
        <w:rPr>
          <w:color w:val="0E101A"/>
        </w:rPr>
      </w:pPr>
      <w:r w:rsidRPr="00E963C5">
        <w:rPr>
          <w:color w:val="0E101A"/>
        </w:rPr>
        <w:t xml:space="preserve">Adjustments to the plan and implementation were made on an iterative basis to promote drug formulary compliance and achieve the best outcomes to meet our goal. The benefits of utilizing the PDSA model for rapid-cycle change are that it allows for flexibility and frequent, minor adjustments to fine-tune the intervention to promote adaptation to the change and improve the outcome goal. This project saw two PDSA cycles </w:t>
      </w:r>
      <w:r w:rsidR="00E40AD2">
        <w:rPr>
          <w:color w:val="0E101A"/>
        </w:rPr>
        <w:t>during project</w:t>
      </w:r>
      <w:r w:rsidRPr="00E963C5">
        <w:rPr>
          <w:color w:val="0E101A"/>
        </w:rPr>
        <w:t xml:space="preserve"> implementation with the pivot to an educational intervention from a clinical decision support intervention and with the addition of suggested medications from the nursing, provider, and pharmacy staff to the target medication list. Upon evaluation, this project underwent an additional cycle to address the identified barriers.</w:t>
      </w:r>
    </w:p>
    <w:p w14:paraId="6013C0A1" w14:textId="77777777" w:rsidR="00E963C5" w:rsidRDefault="0001062C" w:rsidP="00E963C5">
      <w:pPr>
        <w:pStyle w:val="NormalWeb"/>
        <w:spacing w:before="0" w:beforeAutospacing="0" w:after="0" w:afterAutospacing="0" w:line="480" w:lineRule="auto"/>
        <w:rPr>
          <w:color w:val="0E101A"/>
        </w:rPr>
      </w:pPr>
      <w:r w:rsidRPr="00FF7DC4">
        <w:rPr>
          <w:rStyle w:val="Strong"/>
          <w:color w:val="0E101A"/>
        </w:rPr>
        <w:t>Ethical Consideration &amp; Protection of Human Subjects </w:t>
      </w:r>
    </w:p>
    <w:p w14:paraId="6FE12AAC" w14:textId="77777777" w:rsidR="00684C31" w:rsidRDefault="00E963C5" w:rsidP="00684C31">
      <w:pPr>
        <w:pStyle w:val="NormalWeb"/>
        <w:spacing w:before="0" w:beforeAutospacing="0" w:after="0" w:afterAutospacing="0" w:line="480" w:lineRule="auto"/>
        <w:ind w:firstLine="720"/>
        <w:rPr>
          <w:rStyle w:val="Strong"/>
          <w:b w:val="0"/>
          <w:bCs w:val="0"/>
          <w:color w:val="0E101A"/>
        </w:rPr>
      </w:pPr>
      <w:r w:rsidRPr="00E963C5">
        <w:rPr>
          <w:rStyle w:val="Strong"/>
          <w:b w:val="0"/>
          <w:bCs w:val="0"/>
          <w:color w:val="0E101A"/>
        </w:rPr>
        <w:t xml:space="preserve">There </w:t>
      </w:r>
      <w:r w:rsidR="00740E83">
        <w:rPr>
          <w:rStyle w:val="Strong"/>
          <w:b w:val="0"/>
          <w:bCs w:val="0"/>
          <w:color w:val="0E101A"/>
        </w:rPr>
        <w:t xml:space="preserve">were </w:t>
      </w:r>
      <w:r w:rsidRPr="00E963C5">
        <w:rPr>
          <w:rStyle w:val="Strong"/>
          <w:b w:val="0"/>
          <w:bCs w:val="0"/>
          <w:color w:val="0E101A"/>
        </w:rPr>
        <w:t xml:space="preserve">no ethical considerations with implementing this project as it did not directly involve any patients. This project aimed to reduce medication costs to the organization by increasing formulary compliance with the application of a quick-reference medication guide. This project does not affect the care or treatment provided to the patients as the existing drug formulary is a well-established, well-studied, carefully selected formulation of designated medications managed by the </w:t>
      </w:r>
      <w:proofErr w:type="spellStart"/>
      <w:r w:rsidRPr="00E963C5">
        <w:rPr>
          <w:rStyle w:val="Strong"/>
          <w:b w:val="0"/>
          <w:bCs w:val="0"/>
          <w:color w:val="0E101A"/>
        </w:rPr>
        <w:t>EnClara</w:t>
      </w:r>
      <w:proofErr w:type="spellEnd"/>
      <w:r w:rsidRPr="00E963C5">
        <w:rPr>
          <w:rStyle w:val="Strong"/>
          <w:b w:val="0"/>
          <w:bCs w:val="0"/>
          <w:color w:val="0E101A"/>
        </w:rPr>
        <w:t xml:space="preserve"> pharmacy department. The target population for this project was the nursing staff responsible for inputting medication orders into the computerized ordering system. This intervention is impartial to everyone in the target population. The quick-reference guide was provided to all nursing staff physically and digitally, making it accessible to anyone who may be inputting medication orders.</w:t>
      </w:r>
    </w:p>
    <w:p w14:paraId="3BA0DA14" w14:textId="13EB704F" w:rsidR="00033414" w:rsidRPr="00684C31" w:rsidRDefault="00684C31" w:rsidP="00684C31">
      <w:pPr>
        <w:pStyle w:val="NormalWeb"/>
        <w:spacing w:before="0" w:beforeAutospacing="0" w:after="0" w:afterAutospacing="0" w:line="480" w:lineRule="auto"/>
        <w:ind w:firstLine="720"/>
        <w:rPr>
          <w:color w:val="0E101A"/>
        </w:rPr>
      </w:pPr>
      <w:r>
        <w:rPr>
          <w:rStyle w:val="Strong"/>
          <w:b w:val="0"/>
          <w:bCs w:val="0"/>
          <w:color w:val="0E101A"/>
        </w:rPr>
        <w:lastRenderedPageBreak/>
        <w:t>P</w:t>
      </w:r>
      <w:r w:rsidR="00E963C5" w:rsidRPr="00E963C5">
        <w:rPr>
          <w:rStyle w:val="Strong"/>
          <w:b w:val="0"/>
          <w:bCs w:val="0"/>
          <w:color w:val="0E101A"/>
        </w:rPr>
        <w:t xml:space="preserve">roject approval </w:t>
      </w:r>
      <w:r>
        <w:rPr>
          <w:rStyle w:val="Strong"/>
          <w:b w:val="0"/>
          <w:bCs w:val="0"/>
          <w:color w:val="0E101A"/>
        </w:rPr>
        <w:t xml:space="preserve">was received </w:t>
      </w:r>
      <w:r w:rsidR="00E963C5" w:rsidRPr="00E963C5">
        <w:rPr>
          <w:rStyle w:val="Strong"/>
          <w:b w:val="0"/>
          <w:bCs w:val="0"/>
          <w:color w:val="0E101A"/>
        </w:rPr>
        <w:t xml:space="preserve">from the Vice President of inpatient services with the Hospice organization during the planning phase of this project. Completion of the Collaborative Institute Training Initiative (CITI) training modules, focusing on social and behavioral research for investigators and key personnel, was integral in preparing for this project. In compliance with East Carolina University's project approval process, the Doctor of Nursing Practice Project Compliance Form, Project Assessment Form, and Quality Self-Certification Tools were completed and submitted for approval before project implementation. This project did not require Institutional Review Board approval, as this project does not involve the participation of patients or human subjects. The organization required no further formal approval processes prior to moving forward with this project's realization. </w:t>
      </w:r>
      <w:r w:rsidR="00033414" w:rsidRPr="00FF7DC4">
        <w:rPr>
          <w:bCs/>
        </w:rPr>
        <w:br w:type="page"/>
      </w:r>
    </w:p>
    <w:p w14:paraId="30B433D4" w14:textId="77856AB3" w:rsidR="00033414" w:rsidRPr="00FF7DC4" w:rsidRDefault="00033414" w:rsidP="00033414">
      <w:pPr>
        <w:spacing w:line="480" w:lineRule="auto"/>
        <w:jc w:val="center"/>
        <w:rPr>
          <w:rFonts w:ascii="Times New Roman" w:hAnsi="Times New Roman" w:cs="Times New Roman"/>
          <w:b/>
          <w:i/>
          <w:color w:val="3B3838" w:themeColor="background2" w:themeShade="40"/>
        </w:rPr>
      </w:pPr>
      <w:r w:rsidRPr="00FF7DC4">
        <w:rPr>
          <w:rFonts w:ascii="Times New Roman" w:hAnsi="Times New Roman" w:cs="Times New Roman"/>
          <w:b/>
        </w:rPr>
        <w:lastRenderedPageBreak/>
        <w:t xml:space="preserve">Section III. Project Design </w:t>
      </w:r>
    </w:p>
    <w:p w14:paraId="0C35251C" w14:textId="545B5707" w:rsidR="00033414" w:rsidRPr="00FF7DC4" w:rsidRDefault="00033414" w:rsidP="00033414">
      <w:pPr>
        <w:spacing w:line="480" w:lineRule="auto"/>
        <w:rPr>
          <w:rFonts w:ascii="Times New Roman" w:hAnsi="Times New Roman" w:cs="Times New Roman"/>
        </w:rPr>
      </w:pPr>
      <w:r w:rsidRPr="00FF7DC4">
        <w:rPr>
          <w:rFonts w:ascii="Times New Roman" w:hAnsi="Times New Roman" w:cs="Times New Roman"/>
          <w:b/>
        </w:rPr>
        <w:t>Project Site and Population</w:t>
      </w:r>
      <w:r w:rsidRPr="00FF7DC4">
        <w:rPr>
          <w:rFonts w:ascii="Times New Roman" w:hAnsi="Times New Roman" w:cs="Times New Roman"/>
        </w:rPr>
        <w:t xml:space="preserve"> </w:t>
      </w:r>
    </w:p>
    <w:p w14:paraId="405A79EA" w14:textId="1D85FC34" w:rsidR="007D61C1" w:rsidRDefault="007D61C1" w:rsidP="007D61C1">
      <w:pPr>
        <w:spacing w:line="480" w:lineRule="auto"/>
        <w:ind w:firstLine="720"/>
        <w:rPr>
          <w:rFonts w:ascii="Times New Roman" w:hAnsi="Times New Roman" w:cs="Times New Roman"/>
        </w:rPr>
      </w:pPr>
      <w:r w:rsidRPr="007D61C1">
        <w:rPr>
          <w:rFonts w:ascii="Times New Roman" w:hAnsi="Times New Roman" w:cs="Times New Roman"/>
        </w:rPr>
        <w:t>A local Hospice and Palliative Care organization served as the site for this project's implementation. This organization consists of two inpatient Hospice House units and a Home Care sector. Two nurse practitioners manage these three sectors with one collaborating physician and 41 nursing staff, including registered nurses and licensed practical nurses. The nursing staff is responsible for inputting medication orders into the online ordering platform; therefore, the 41 registered nurses and licensed practical nurses served as this project's target population. Potential barriers to targeting this population included the availability of staff to attend educational sessions and heavy patient loads. Potential facilitators to this population were the Vice President of Inpatient Unit Services and the Nursing Supervisors, who helped facilitate and coordinate staff education for project implementation and the nurses' willingness to participate.</w:t>
      </w:r>
    </w:p>
    <w:p w14:paraId="5F26D1EA" w14:textId="470C5D0C" w:rsidR="00033414" w:rsidRPr="00FF7DC4" w:rsidRDefault="00033414" w:rsidP="007D61C1">
      <w:pPr>
        <w:spacing w:line="480" w:lineRule="auto"/>
        <w:rPr>
          <w:rFonts w:ascii="Times New Roman" w:hAnsi="Times New Roman" w:cs="Times New Roman"/>
          <w:b/>
          <w:i/>
          <w:iCs/>
        </w:rPr>
      </w:pPr>
      <w:r w:rsidRPr="00FF7DC4">
        <w:rPr>
          <w:rFonts w:ascii="Times New Roman" w:hAnsi="Times New Roman" w:cs="Times New Roman"/>
          <w:b/>
          <w:i/>
          <w:iCs/>
        </w:rPr>
        <w:t>Description of the Setting</w:t>
      </w:r>
    </w:p>
    <w:p w14:paraId="265D1897" w14:textId="77777777" w:rsidR="007D61C1" w:rsidRPr="00FF7DC4" w:rsidRDefault="007D61C1" w:rsidP="007D61C1">
      <w:pPr>
        <w:spacing w:line="480" w:lineRule="auto"/>
        <w:rPr>
          <w:rFonts w:ascii="Times New Roman" w:hAnsi="Times New Roman" w:cs="Times New Roman"/>
        </w:rPr>
      </w:pPr>
      <w:r w:rsidRPr="00FF7DC4">
        <w:rPr>
          <w:rFonts w:ascii="Times New Roman" w:hAnsi="Times New Roman" w:cs="Times New Roman"/>
          <w:b/>
          <w:bCs/>
          <w:i/>
          <w:iCs/>
        </w:rPr>
        <w:t>           </w:t>
      </w:r>
      <w:r w:rsidRPr="00FF7DC4">
        <w:rPr>
          <w:rFonts w:ascii="Times New Roman" w:hAnsi="Times New Roman" w:cs="Times New Roman"/>
        </w:rPr>
        <w:t>The participating Hospice organization is a predominantly Medicare-funded, not-for-profit organization specializing in hospice and palliative care services. These specialty services are available for those living with life-limiting illnesses or approaching the end of life within the community and surrounding areas.</w:t>
      </w:r>
      <w:r>
        <w:rPr>
          <w:rFonts w:ascii="Times New Roman" w:hAnsi="Times New Roman" w:cs="Times New Roman"/>
        </w:rPr>
        <w:t xml:space="preserve"> On average, the participating Hospice organization serves approximately 140 to 150 patients at any given time. </w:t>
      </w:r>
    </w:p>
    <w:p w14:paraId="688DC9AB" w14:textId="77777777" w:rsidR="00033414" w:rsidRPr="00FF7DC4" w:rsidRDefault="00033414" w:rsidP="00033414">
      <w:pPr>
        <w:spacing w:line="480" w:lineRule="auto"/>
        <w:rPr>
          <w:rFonts w:ascii="Times New Roman" w:hAnsi="Times New Roman" w:cs="Times New Roman"/>
          <w:b/>
          <w:i/>
          <w:iCs/>
        </w:rPr>
      </w:pPr>
      <w:r w:rsidRPr="00FF7DC4">
        <w:rPr>
          <w:rFonts w:ascii="Times New Roman" w:hAnsi="Times New Roman" w:cs="Times New Roman"/>
          <w:b/>
          <w:i/>
          <w:iCs/>
        </w:rPr>
        <w:t>Description of the Population</w:t>
      </w:r>
    </w:p>
    <w:p w14:paraId="74789033" w14:textId="771A9F74" w:rsidR="007D61C1" w:rsidRDefault="00033414" w:rsidP="00033414">
      <w:pPr>
        <w:spacing w:line="480" w:lineRule="auto"/>
        <w:rPr>
          <w:rFonts w:ascii="Times New Roman" w:hAnsi="Times New Roman" w:cs="Times New Roman"/>
        </w:rPr>
      </w:pPr>
      <w:r w:rsidRPr="00FF7DC4">
        <w:rPr>
          <w:rFonts w:ascii="Times New Roman" w:hAnsi="Times New Roman" w:cs="Times New Roman"/>
          <w:b/>
          <w:i/>
          <w:iCs/>
        </w:rPr>
        <w:tab/>
      </w:r>
      <w:r w:rsidR="007D61C1" w:rsidRPr="007D61C1">
        <w:rPr>
          <w:rFonts w:ascii="Times New Roman" w:hAnsi="Times New Roman" w:cs="Times New Roman"/>
        </w:rPr>
        <w:t xml:space="preserve">This project's population will consist of 41 registered nurses and licensed practical nurses responsible for entering the medication orders received from Hospice providers. The 41 nurses include admissions nurses, after-hours nurses, home care nurses, and hospice house nurses. The Hospice organization's nurse practitioners and nurses work closely together to provide care to </w:t>
      </w:r>
      <w:r w:rsidR="007D61C1" w:rsidRPr="007D61C1">
        <w:rPr>
          <w:rFonts w:ascii="Times New Roman" w:hAnsi="Times New Roman" w:cs="Times New Roman"/>
        </w:rPr>
        <w:lastRenderedPageBreak/>
        <w:t>patients within the community. However, the nurses are mainly responsible for inputting orders received from providers and thus</w:t>
      </w:r>
      <w:r w:rsidR="00684C31">
        <w:rPr>
          <w:rFonts w:ascii="Times New Roman" w:hAnsi="Times New Roman" w:cs="Times New Roman"/>
        </w:rPr>
        <w:t xml:space="preserve"> </w:t>
      </w:r>
      <w:r w:rsidR="007D61C1" w:rsidRPr="007D61C1">
        <w:rPr>
          <w:rFonts w:ascii="Times New Roman" w:hAnsi="Times New Roman" w:cs="Times New Roman"/>
        </w:rPr>
        <w:t>serve</w:t>
      </w:r>
      <w:r w:rsidR="00684C31">
        <w:rPr>
          <w:rFonts w:ascii="Times New Roman" w:hAnsi="Times New Roman" w:cs="Times New Roman"/>
        </w:rPr>
        <w:t>d</w:t>
      </w:r>
      <w:r w:rsidR="007D61C1" w:rsidRPr="007D61C1">
        <w:rPr>
          <w:rFonts w:ascii="Times New Roman" w:hAnsi="Times New Roman" w:cs="Times New Roman"/>
        </w:rPr>
        <w:t xml:space="preserve"> as this project's population.</w:t>
      </w:r>
    </w:p>
    <w:p w14:paraId="6F0F3907" w14:textId="1F9D66AC" w:rsidR="00033414" w:rsidRPr="00FF7DC4" w:rsidRDefault="00033414" w:rsidP="00033414">
      <w:pPr>
        <w:spacing w:line="480" w:lineRule="auto"/>
        <w:rPr>
          <w:rFonts w:ascii="Times New Roman" w:hAnsi="Times New Roman" w:cs="Times New Roman"/>
          <w:b/>
        </w:rPr>
      </w:pPr>
      <w:r w:rsidRPr="00FF7DC4">
        <w:rPr>
          <w:rFonts w:ascii="Times New Roman" w:hAnsi="Times New Roman" w:cs="Times New Roman"/>
          <w:b/>
        </w:rPr>
        <w:t>Project Team</w:t>
      </w:r>
    </w:p>
    <w:p w14:paraId="204A2460" w14:textId="54678377" w:rsidR="00A21D41" w:rsidRPr="00FF7DC4" w:rsidRDefault="00A21D41" w:rsidP="00033414">
      <w:pPr>
        <w:spacing w:line="480" w:lineRule="auto"/>
        <w:rPr>
          <w:rFonts w:ascii="Times New Roman" w:hAnsi="Times New Roman" w:cs="Times New Roman"/>
        </w:rPr>
      </w:pPr>
      <w:r w:rsidRPr="00FF7DC4">
        <w:rPr>
          <w:rFonts w:ascii="Times New Roman" w:hAnsi="Times New Roman" w:cs="Times New Roman"/>
          <w:b/>
          <w:bCs/>
        </w:rPr>
        <w:t>           </w:t>
      </w:r>
      <w:r w:rsidR="007D61C1" w:rsidRPr="007D61C1">
        <w:rPr>
          <w:rFonts w:ascii="Times New Roman" w:hAnsi="Times New Roman" w:cs="Times New Roman"/>
          <w:b/>
          <w:bCs/>
        </w:rPr>
        <w:t>      </w:t>
      </w:r>
      <w:r w:rsidR="007D61C1" w:rsidRPr="007D61C1">
        <w:rPr>
          <w:rFonts w:ascii="Times New Roman" w:hAnsi="Times New Roman" w:cs="Times New Roman"/>
        </w:rPr>
        <w:t>The Hospice home care nurse practitioner and Vice President of Inpatient Unit Services served as the site champions for this project. Additional collaborating project partners included the Director of Pharmacy and Clinical Manager for Enclara Pharmacia.</w:t>
      </w:r>
    </w:p>
    <w:p w14:paraId="7CE9448F" w14:textId="1B22C772" w:rsidR="00033414" w:rsidRPr="00FF7DC4" w:rsidRDefault="00033414" w:rsidP="00033414">
      <w:pPr>
        <w:spacing w:line="480" w:lineRule="auto"/>
        <w:rPr>
          <w:rFonts w:ascii="Times New Roman" w:hAnsi="Times New Roman" w:cs="Times New Roman"/>
          <w:i/>
          <w:color w:val="404040" w:themeColor="text1" w:themeTint="BF"/>
        </w:rPr>
      </w:pPr>
      <w:r w:rsidRPr="00FF7DC4">
        <w:rPr>
          <w:rFonts w:ascii="Times New Roman" w:hAnsi="Times New Roman" w:cs="Times New Roman"/>
          <w:b/>
        </w:rPr>
        <w:t>Project Goals and Outcome Measures</w:t>
      </w:r>
      <w:r w:rsidRPr="00FF7DC4">
        <w:rPr>
          <w:rFonts w:ascii="Times New Roman" w:hAnsi="Times New Roman" w:cs="Times New Roman"/>
        </w:rPr>
        <w:t xml:space="preserve"> </w:t>
      </w:r>
    </w:p>
    <w:p w14:paraId="3BDEACC8" w14:textId="406A3BC9" w:rsidR="00A21D41" w:rsidRPr="00FF7DC4" w:rsidRDefault="00A21D41" w:rsidP="00A21D41">
      <w:pPr>
        <w:spacing w:line="480" w:lineRule="auto"/>
        <w:rPr>
          <w:rFonts w:ascii="Times New Roman" w:hAnsi="Times New Roman" w:cs="Times New Roman"/>
        </w:rPr>
      </w:pPr>
      <w:r w:rsidRPr="00FF7DC4">
        <w:rPr>
          <w:rFonts w:ascii="Times New Roman" w:hAnsi="Times New Roman" w:cs="Times New Roman"/>
          <w:i/>
          <w:iCs/>
        </w:rPr>
        <w:t>           </w:t>
      </w:r>
      <w:r w:rsidRPr="00FF7DC4">
        <w:rPr>
          <w:rFonts w:ascii="Times New Roman" w:hAnsi="Times New Roman" w:cs="Times New Roman"/>
        </w:rPr>
        <w:t xml:space="preserve"> The primary goal of this project </w:t>
      </w:r>
      <w:r w:rsidR="00377D11">
        <w:rPr>
          <w:rFonts w:ascii="Times New Roman" w:hAnsi="Times New Roman" w:cs="Times New Roman"/>
        </w:rPr>
        <w:t>was</w:t>
      </w:r>
      <w:r w:rsidRPr="00FF7DC4">
        <w:rPr>
          <w:rFonts w:ascii="Times New Roman" w:hAnsi="Times New Roman" w:cs="Times New Roman"/>
        </w:rPr>
        <w:t xml:space="preserve"> to </w:t>
      </w:r>
      <w:r w:rsidR="00377D11">
        <w:rPr>
          <w:rFonts w:ascii="Times New Roman" w:hAnsi="Times New Roman" w:cs="Times New Roman"/>
        </w:rPr>
        <w:t xml:space="preserve">reduce overall medication costs, </w:t>
      </w:r>
      <w:r w:rsidRPr="00FF7DC4">
        <w:rPr>
          <w:rFonts w:ascii="Times New Roman" w:hAnsi="Times New Roman" w:cs="Times New Roman"/>
        </w:rPr>
        <w:t>as identified by pharmacy statistical data</w:t>
      </w:r>
      <w:r w:rsidR="008E709F">
        <w:rPr>
          <w:rFonts w:ascii="Times New Roman" w:hAnsi="Times New Roman" w:cs="Times New Roman"/>
        </w:rPr>
        <w:t xml:space="preserve">, by </w:t>
      </w:r>
      <w:r w:rsidR="005A2820">
        <w:rPr>
          <w:rFonts w:ascii="Times New Roman" w:hAnsi="Times New Roman" w:cs="Times New Roman"/>
        </w:rPr>
        <w:t>10%</w:t>
      </w:r>
      <w:r w:rsidR="00840CB8">
        <w:rPr>
          <w:rFonts w:ascii="Times New Roman" w:hAnsi="Times New Roman" w:cs="Times New Roman"/>
        </w:rPr>
        <w:t xml:space="preserve"> (see driver diagram in Appendix C)</w:t>
      </w:r>
      <w:r w:rsidR="008E709F">
        <w:rPr>
          <w:rFonts w:ascii="Times New Roman" w:hAnsi="Times New Roman" w:cs="Times New Roman"/>
        </w:rPr>
        <w:t xml:space="preserve">. </w:t>
      </w:r>
      <w:r w:rsidRPr="00FF7DC4">
        <w:rPr>
          <w:rFonts w:ascii="Times New Roman" w:hAnsi="Times New Roman" w:cs="Times New Roman"/>
        </w:rPr>
        <w:t xml:space="preserve">Baseline pre-intervention data </w:t>
      </w:r>
      <w:r w:rsidR="00576504">
        <w:rPr>
          <w:rFonts w:ascii="Times New Roman" w:hAnsi="Times New Roman" w:cs="Times New Roman"/>
        </w:rPr>
        <w:t>was</w:t>
      </w:r>
      <w:r w:rsidRPr="00FF7DC4">
        <w:rPr>
          <w:rFonts w:ascii="Times New Roman" w:hAnsi="Times New Roman" w:cs="Times New Roman"/>
        </w:rPr>
        <w:t xml:space="preserve"> collected utilizing pharmacy databases from Enclara Pharmacia's online dashboard to include the </w:t>
      </w:r>
      <w:r w:rsidR="00576504">
        <w:rPr>
          <w:rFonts w:ascii="Times New Roman" w:hAnsi="Times New Roman" w:cs="Times New Roman"/>
        </w:rPr>
        <w:t xml:space="preserve">average </w:t>
      </w:r>
      <w:r w:rsidR="00377D11">
        <w:rPr>
          <w:rFonts w:ascii="Times New Roman" w:hAnsi="Times New Roman" w:cs="Times New Roman"/>
        </w:rPr>
        <w:t>overall medication cost per patient per day (PPD) and average</w:t>
      </w:r>
      <w:r w:rsidRPr="00FF7DC4">
        <w:rPr>
          <w:rFonts w:ascii="Times New Roman" w:hAnsi="Times New Roman" w:cs="Times New Roman"/>
        </w:rPr>
        <w:t xml:space="preserve"> </w:t>
      </w:r>
      <w:r w:rsidR="00576504">
        <w:rPr>
          <w:rFonts w:ascii="Times New Roman" w:hAnsi="Times New Roman" w:cs="Times New Roman"/>
        </w:rPr>
        <w:t>non</w:t>
      </w:r>
      <w:r w:rsidR="00377D11">
        <w:rPr>
          <w:rFonts w:ascii="Times New Roman" w:hAnsi="Times New Roman" w:cs="Times New Roman"/>
        </w:rPr>
        <w:t>-</w:t>
      </w:r>
      <w:r w:rsidR="00576504">
        <w:rPr>
          <w:rFonts w:ascii="Times New Roman" w:hAnsi="Times New Roman" w:cs="Times New Roman"/>
        </w:rPr>
        <w:t>formulary</w:t>
      </w:r>
      <w:r w:rsidRPr="00FF7DC4">
        <w:rPr>
          <w:rFonts w:ascii="Times New Roman" w:hAnsi="Times New Roman" w:cs="Times New Roman"/>
        </w:rPr>
        <w:t xml:space="preserve"> medication</w:t>
      </w:r>
      <w:r w:rsidR="00377D11">
        <w:rPr>
          <w:rFonts w:ascii="Times New Roman" w:hAnsi="Times New Roman" w:cs="Times New Roman"/>
        </w:rPr>
        <w:t xml:space="preserve"> costs PPD</w:t>
      </w:r>
      <w:r w:rsidRPr="00FF7DC4">
        <w:rPr>
          <w:rFonts w:ascii="Times New Roman" w:hAnsi="Times New Roman" w:cs="Times New Roman"/>
        </w:rPr>
        <w:t xml:space="preserve"> in the three months </w:t>
      </w:r>
      <w:r w:rsidR="00576504">
        <w:rPr>
          <w:rFonts w:ascii="Times New Roman" w:hAnsi="Times New Roman" w:cs="Times New Roman"/>
        </w:rPr>
        <w:t>preceding</w:t>
      </w:r>
      <w:r w:rsidRPr="00FF7DC4">
        <w:rPr>
          <w:rFonts w:ascii="Times New Roman" w:hAnsi="Times New Roman" w:cs="Times New Roman"/>
        </w:rPr>
        <w:t xml:space="preserve"> project implementation</w:t>
      </w:r>
      <w:r w:rsidR="00684C31">
        <w:rPr>
          <w:rFonts w:ascii="Times New Roman" w:hAnsi="Times New Roman" w:cs="Times New Roman"/>
        </w:rPr>
        <w:t>;</w:t>
      </w:r>
      <w:r w:rsidR="00576504">
        <w:rPr>
          <w:rFonts w:ascii="Times New Roman" w:hAnsi="Times New Roman" w:cs="Times New Roman"/>
        </w:rPr>
        <w:t xml:space="preserve"> May, June, and July 2021</w:t>
      </w:r>
      <w:r w:rsidRPr="00FF7DC4">
        <w:rPr>
          <w:rFonts w:ascii="Times New Roman" w:hAnsi="Times New Roman" w:cs="Times New Roman"/>
        </w:rPr>
        <w:t xml:space="preserve">. Following </w:t>
      </w:r>
      <w:r w:rsidR="00377D11">
        <w:rPr>
          <w:rFonts w:ascii="Times New Roman" w:hAnsi="Times New Roman" w:cs="Times New Roman"/>
        </w:rPr>
        <w:t xml:space="preserve">the </w:t>
      </w:r>
      <w:r w:rsidRPr="00FF7DC4">
        <w:rPr>
          <w:rFonts w:ascii="Times New Roman" w:hAnsi="Times New Roman" w:cs="Times New Roman"/>
        </w:rPr>
        <w:t xml:space="preserve">successful implementation of this project, post-intervention data </w:t>
      </w:r>
      <w:r w:rsidR="00840CB8">
        <w:rPr>
          <w:rFonts w:ascii="Times New Roman" w:hAnsi="Times New Roman" w:cs="Times New Roman"/>
        </w:rPr>
        <w:t>was collected,</w:t>
      </w:r>
      <w:r w:rsidRPr="00FF7DC4">
        <w:rPr>
          <w:rFonts w:ascii="Times New Roman" w:hAnsi="Times New Roman" w:cs="Times New Roman"/>
        </w:rPr>
        <w:t xml:space="preserve"> utilizing the same methods</w:t>
      </w:r>
      <w:r w:rsidR="00840CB8">
        <w:rPr>
          <w:rFonts w:ascii="Times New Roman" w:hAnsi="Times New Roman" w:cs="Times New Roman"/>
        </w:rPr>
        <w:t xml:space="preserve">, for the months of October, November, and </w:t>
      </w:r>
      <w:r w:rsidR="00377D11">
        <w:rPr>
          <w:rFonts w:ascii="Times New Roman" w:hAnsi="Times New Roman" w:cs="Times New Roman"/>
        </w:rPr>
        <w:t>December</w:t>
      </w:r>
      <w:r w:rsidR="00840CB8">
        <w:rPr>
          <w:rFonts w:ascii="Times New Roman" w:hAnsi="Times New Roman" w:cs="Times New Roman"/>
        </w:rPr>
        <w:t xml:space="preserve"> 2021</w:t>
      </w:r>
      <w:r w:rsidRPr="00FF7DC4">
        <w:rPr>
          <w:rFonts w:ascii="Times New Roman" w:hAnsi="Times New Roman" w:cs="Times New Roman"/>
        </w:rPr>
        <w:t>. </w:t>
      </w:r>
    </w:p>
    <w:p w14:paraId="1A87D53B" w14:textId="77777777" w:rsidR="00033414" w:rsidRPr="00FF7DC4" w:rsidRDefault="00033414" w:rsidP="00033414">
      <w:pPr>
        <w:spacing w:line="480" w:lineRule="auto"/>
        <w:rPr>
          <w:rFonts w:ascii="Times New Roman" w:hAnsi="Times New Roman" w:cs="Times New Roman"/>
          <w:b/>
          <w:i/>
          <w:iCs/>
        </w:rPr>
      </w:pPr>
      <w:r w:rsidRPr="00FF7DC4">
        <w:rPr>
          <w:rFonts w:ascii="Times New Roman" w:hAnsi="Times New Roman" w:cs="Times New Roman"/>
          <w:b/>
          <w:i/>
          <w:iCs/>
        </w:rPr>
        <w:t>Description of the Methods and Measurement</w:t>
      </w:r>
    </w:p>
    <w:p w14:paraId="73C6640C" w14:textId="26E46CD9" w:rsidR="007D61C1" w:rsidRPr="007D61C1" w:rsidRDefault="007D61C1" w:rsidP="007D61C1">
      <w:pPr>
        <w:spacing w:line="480" w:lineRule="auto"/>
        <w:ind w:firstLine="720"/>
        <w:rPr>
          <w:rFonts w:ascii="Times New Roman" w:hAnsi="Times New Roman" w:cs="Times New Roman"/>
        </w:rPr>
      </w:pPr>
      <w:r w:rsidRPr="007D61C1">
        <w:rPr>
          <w:rFonts w:ascii="Times New Roman" w:hAnsi="Times New Roman" w:cs="Times New Roman"/>
        </w:rPr>
        <w:t xml:space="preserve">Before implementation, a thorough investigation of the key medications driving high medication costs was conducted in collaboration with Hospice's Enclara Pharmacia team. The organization's top medications by utilization were cross-referenced with their top medications by cost for May, June, and July 2021. Additionally, the medications identified explicitly by nursing staff </w:t>
      </w:r>
      <w:r w:rsidR="00684C31">
        <w:rPr>
          <w:rFonts w:ascii="Times New Roman" w:hAnsi="Times New Roman" w:cs="Times New Roman"/>
        </w:rPr>
        <w:t>via</w:t>
      </w:r>
      <w:r w:rsidRPr="007D61C1">
        <w:rPr>
          <w:rFonts w:ascii="Times New Roman" w:hAnsi="Times New Roman" w:cs="Times New Roman"/>
        </w:rPr>
        <w:t xml:space="preserve"> Qualtrics survey as challenging to order and frequently prescribed were combined with the cross-reference list to create a target medication list. Furthermore, the providers and pharmacy team suggested the inclusion of additional high-cost, problematic medications. </w:t>
      </w:r>
      <w:r w:rsidR="00684C31">
        <w:rPr>
          <w:rFonts w:ascii="Times New Roman" w:hAnsi="Times New Roman" w:cs="Times New Roman"/>
        </w:rPr>
        <w:t xml:space="preserve">Finally, </w:t>
      </w:r>
      <w:r w:rsidR="00684C31">
        <w:rPr>
          <w:rFonts w:ascii="Times New Roman" w:hAnsi="Times New Roman" w:cs="Times New Roman"/>
        </w:rPr>
        <w:lastRenderedPageBreak/>
        <w:t>a</w:t>
      </w:r>
      <w:r w:rsidRPr="007D61C1">
        <w:rPr>
          <w:rFonts w:ascii="Times New Roman" w:hAnsi="Times New Roman" w:cs="Times New Roman"/>
        </w:rPr>
        <w:t xml:space="preserve"> target medication list comprised of 18 </w:t>
      </w:r>
      <w:r w:rsidR="00684C31">
        <w:rPr>
          <w:rFonts w:ascii="Times New Roman" w:hAnsi="Times New Roman" w:cs="Times New Roman"/>
        </w:rPr>
        <w:t xml:space="preserve">total </w:t>
      </w:r>
      <w:r w:rsidRPr="007D61C1">
        <w:rPr>
          <w:rFonts w:ascii="Times New Roman" w:hAnsi="Times New Roman" w:cs="Times New Roman"/>
        </w:rPr>
        <w:t xml:space="preserve">medications was cultivated and approved by the pharmacy team.  </w:t>
      </w:r>
    </w:p>
    <w:p w14:paraId="1CF91E18" w14:textId="7C48C2E6" w:rsidR="007D61C1" w:rsidRPr="007D61C1" w:rsidRDefault="007D61C1" w:rsidP="007D61C1">
      <w:pPr>
        <w:spacing w:line="480" w:lineRule="auto"/>
        <w:ind w:firstLine="720"/>
        <w:rPr>
          <w:rFonts w:ascii="Times New Roman" w:hAnsi="Times New Roman" w:cs="Times New Roman"/>
        </w:rPr>
      </w:pPr>
      <w:r w:rsidRPr="007D61C1">
        <w:rPr>
          <w:rFonts w:ascii="Times New Roman" w:hAnsi="Times New Roman" w:cs="Times New Roman"/>
        </w:rPr>
        <w:t>Each target medication was listed, along with formulary or lower-cost alternatives, complete with a cost comparison for each medication by utilizing Enclara Pharmacia's online cost estimator tool. This information was organized in a table and formatted to fit a 4x6 card</w:t>
      </w:r>
      <w:r w:rsidR="00684C31">
        <w:rPr>
          <w:rFonts w:ascii="Times New Roman" w:hAnsi="Times New Roman" w:cs="Times New Roman"/>
        </w:rPr>
        <w:t xml:space="preserve"> </w:t>
      </w:r>
      <w:r w:rsidRPr="007D61C1">
        <w:rPr>
          <w:rFonts w:ascii="Times New Roman" w:hAnsi="Times New Roman" w:cs="Times New Roman"/>
        </w:rPr>
        <w:t>for convenience (see Appendix D). Non-formulary, high-cost medications were color-coded in red with the lower-cost</w:t>
      </w:r>
      <w:r w:rsidR="00684C31">
        <w:rPr>
          <w:rFonts w:ascii="Times New Roman" w:hAnsi="Times New Roman" w:cs="Times New Roman"/>
        </w:rPr>
        <w:t>ing, formulary</w:t>
      </w:r>
      <w:r w:rsidRPr="007D61C1">
        <w:rPr>
          <w:rFonts w:ascii="Times New Roman" w:hAnsi="Times New Roman" w:cs="Times New Roman"/>
        </w:rPr>
        <w:t xml:space="preserve"> alternatives color-coded in green to emphasize the comparison visually. The table was then printed on 4x6 card stock</w:t>
      </w:r>
      <w:r w:rsidR="00684C31">
        <w:rPr>
          <w:rFonts w:ascii="Times New Roman" w:hAnsi="Times New Roman" w:cs="Times New Roman"/>
        </w:rPr>
        <w:t xml:space="preserve">, </w:t>
      </w:r>
      <w:r w:rsidR="00684C31">
        <w:rPr>
          <w:rFonts w:ascii="Times New Roman" w:hAnsi="Times New Roman" w:cs="Times New Roman"/>
        </w:rPr>
        <w:t>front and back,</w:t>
      </w:r>
      <w:r w:rsidRPr="007D61C1">
        <w:rPr>
          <w:rFonts w:ascii="Times New Roman" w:hAnsi="Times New Roman" w:cs="Times New Roman"/>
        </w:rPr>
        <w:t xml:space="preserve"> and placed in a resealable plastic cardholder, complete with a colorful carabiner. The plastic card holder enables the nurse to sanitize in between patients, and the resealable feature allow</w:t>
      </w:r>
      <w:r w:rsidR="00684C31">
        <w:rPr>
          <w:rFonts w:ascii="Times New Roman" w:hAnsi="Times New Roman" w:cs="Times New Roman"/>
        </w:rPr>
        <w:t>s</w:t>
      </w:r>
      <w:r w:rsidRPr="007D61C1">
        <w:rPr>
          <w:rFonts w:ascii="Times New Roman" w:hAnsi="Times New Roman" w:cs="Times New Roman"/>
        </w:rPr>
        <w:t xml:space="preserve"> for future customization of the tool as needs arise. The colorful carabiner is esthetically pleasing and promotes user buy-in and ease of use by being able to clip the tool wherever it will most likely be needed. Additionally, a </w:t>
      </w:r>
      <w:r w:rsidR="00684C31">
        <w:rPr>
          <w:rFonts w:ascii="Times New Roman" w:hAnsi="Times New Roman" w:cs="Times New Roman"/>
        </w:rPr>
        <w:t>digital</w:t>
      </w:r>
      <w:r w:rsidRPr="007D61C1">
        <w:rPr>
          <w:rFonts w:ascii="Times New Roman" w:hAnsi="Times New Roman" w:cs="Times New Roman"/>
        </w:rPr>
        <w:t xml:space="preserve"> version of the instrument was emailed to all nurses and providers as a digital reference. </w:t>
      </w:r>
    </w:p>
    <w:p w14:paraId="5B62F9AB" w14:textId="1C044155" w:rsidR="00E963C5" w:rsidRDefault="007D61C1" w:rsidP="007D61C1">
      <w:pPr>
        <w:spacing w:line="480" w:lineRule="auto"/>
        <w:ind w:firstLine="720"/>
        <w:rPr>
          <w:rFonts w:ascii="Times New Roman" w:hAnsi="Times New Roman" w:cs="Times New Roman"/>
          <w:b/>
          <w:i/>
          <w:iCs/>
        </w:rPr>
      </w:pPr>
      <w:r w:rsidRPr="007D61C1">
        <w:rPr>
          <w:rFonts w:ascii="Times New Roman" w:hAnsi="Times New Roman" w:cs="Times New Roman"/>
        </w:rPr>
        <w:t>Implementation of this project included an in-person education session with the home care nursing staff where the quick-reference tool was distributed, presented, and explained in detail. Open discussion regarding the tool's potential uses and goal of the project occurred, and all questions were answered. A recorded presentation of the quick-reference tool was created via Microsoft Teams and assigned as mandatory education for the hospice house nursing staff. The tools were then supplied to the hospice house leadership team for subsequent distribution.</w:t>
      </w:r>
    </w:p>
    <w:p w14:paraId="2B88C547" w14:textId="2AE62D42" w:rsidR="00033414" w:rsidRPr="00FF7DC4" w:rsidRDefault="00033414" w:rsidP="00033414">
      <w:pPr>
        <w:spacing w:line="480" w:lineRule="auto"/>
        <w:rPr>
          <w:rFonts w:ascii="Times New Roman" w:hAnsi="Times New Roman" w:cs="Times New Roman"/>
          <w:b/>
          <w:i/>
          <w:iCs/>
        </w:rPr>
      </w:pPr>
      <w:r w:rsidRPr="00FF7DC4">
        <w:rPr>
          <w:rFonts w:ascii="Times New Roman" w:hAnsi="Times New Roman" w:cs="Times New Roman"/>
          <w:b/>
          <w:i/>
          <w:iCs/>
        </w:rPr>
        <w:t>Discussion of the Data Collection Process</w:t>
      </w:r>
    </w:p>
    <w:p w14:paraId="1F3CACDD" w14:textId="22076353" w:rsidR="007D61C1" w:rsidRDefault="007D61C1" w:rsidP="007D61C1">
      <w:pPr>
        <w:spacing w:line="480" w:lineRule="auto"/>
        <w:ind w:firstLine="720"/>
        <w:rPr>
          <w:rFonts w:ascii="Times New Roman" w:hAnsi="Times New Roman" w:cs="Times New Roman"/>
        </w:rPr>
      </w:pPr>
      <w:r w:rsidRPr="007D61C1">
        <w:rPr>
          <w:rFonts w:ascii="Times New Roman" w:hAnsi="Times New Roman" w:cs="Times New Roman"/>
        </w:rPr>
        <w:t xml:space="preserve">Enclara Pharmacia offers its customers numerous ways to access information via their online databases on their website's dashboard. The databases were searched for pre-intervention data collection from May 2021 through July 2021. Databases were further sorted to include the </w:t>
      </w:r>
      <w:r w:rsidRPr="007D61C1">
        <w:rPr>
          <w:rFonts w:ascii="Times New Roman" w:hAnsi="Times New Roman" w:cs="Times New Roman"/>
        </w:rPr>
        <w:lastRenderedPageBreak/>
        <w:t xml:space="preserve">average cost of non-formulary medication orders and the average </w:t>
      </w:r>
      <w:r w:rsidR="00684C31">
        <w:rPr>
          <w:rFonts w:ascii="Times New Roman" w:hAnsi="Times New Roman" w:cs="Times New Roman"/>
        </w:rPr>
        <w:t xml:space="preserve">overall </w:t>
      </w:r>
      <w:r w:rsidRPr="007D61C1">
        <w:rPr>
          <w:rFonts w:ascii="Times New Roman" w:hAnsi="Times New Roman" w:cs="Times New Roman"/>
        </w:rPr>
        <w:t>medication cost per patient per day. Post-intervention data was collected from October through December 2021 and evaluated for effectiveness following project implementation.</w:t>
      </w:r>
    </w:p>
    <w:p w14:paraId="0DCDBF8B" w14:textId="1EFB06B2" w:rsidR="00033414" w:rsidRPr="00FF7DC4" w:rsidRDefault="00033414" w:rsidP="007D61C1">
      <w:pPr>
        <w:spacing w:line="480" w:lineRule="auto"/>
        <w:rPr>
          <w:rFonts w:ascii="Times New Roman" w:hAnsi="Times New Roman" w:cs="Times New Roman"/>
          <w:b/>
        </w:rPr>
      </w:pPr>
      <w:r w:rsidRPr="00FF7DC4">
        <w:rPr>
          <w:rFonts w:ascii="Times New Roman" w:hAnsi="Times New Roman" w:cs="Times New Roman"/>
          <w:b/>
        </w:rPr>
        <w:t>Implementation Plan</w:t>
      </w:r>
    </w:p>
    <w:p w14:paraId="6209534A" w14:textId="77777777" w:rsidR="007D61C1" w:rsidRPr="007D61C1" w:rsidRDefault="00A21D41" w:rsidP="007D61C1">
      <w:pPr>
        <w:spacing w:line="480" w:lineRule="auto"/>
        <w:rPr>
          <w:rFonts w:ascii="Times New Roman" w:hAnsi="Times New Roman" w:cs="Times New Roman"/>
        </w:rPr>
      </w:pPr>
      <w:r w:rsidRPr="00FF7DC4">
        <w:rPr>
          <w:rFonts w:ascii="Times New Roman" w:hAnsi="Times New Roman" w:cs="Times New Roman"/>
          <w:b/>
          <w:bCs/>
        </w:rPr>
        <w:t>           </w:t>
      </w:r>
      <w:r w:rsidR="007D61C1" w:rsidRPr="007D61C1">
        <w:rPr>
          <w:rFonts w:ascii="Times New Roman" w:hAnsi="Times New Roman" w:cs="Times New Roman"/>
          <w:b/>
          <w:bCs/>
        </w:rPr>
        <w:t>      </w:t>
      </w:r>
      <w:r w:rsidR="007D61C1" w:rsidRPr="007D61C1">
        <w:rPr>
          <w:rFonts w:ascii="Times New Roman" w:hAnsi="Times New Roman" w:cs="Times New Roman"/>
        </w:rPr>
        <w:t>The implementation of this project was highly dependent on interprofessional and interdisciplinary collaboration. Pre- and post-intervention data collection was extrapolated utilizing the Enclara Pharmacia databases via an online dashboard. Educational sessions were conducted both in-person and online via Microsoft teams to inform all nursing staff of the new quick-reference guide to aid in medication order decision-making and cost reduction.</w:t>
      </w:r>
    </w:p>
    <w:p w14:paraId="292FC82B" w14:textId="1ACD3505" w:rsidR="00A21D41" w:rsidRPr="00FF7DC4" w:rsidRDefault="00033414" w:rsidP="00A21D41">
      <w:pPr>
        <w:spacing w:line="480" w:lineRule="auto"/>
        <w:rPr>
          <w:rFonts w:ascii="Times New Roman" w:hAnsi="Times New Roman" w:cs="Times New Roman"/>
          <w:b/>
        </w:rPr>
      </w:pPr>
      <w:r w:rsidRPr="00FF7DC4">
        <w:rPr>
          <w:rFonts w:ascii="Times New Roman" w:hAnsi="Times New Roman" w:cs="Times New Roman"/>
          <w:b/>
        </w:rPr>
        <w:t>Timeline</w:t>
      </w:r>
    </w:p>
    <w:p w14:paraId="4869DC81" w14:textId="75ACBB1E" w:rsidR="00E963C5" w:rsidRDefault="007D61C1" w:rsidP="007D61C1">
      <w:pPr>
        <w:spacing w:line="480" w:lineRule="auto"/>
        <w:ind w:firstLine="720"/>
        <w:rPr>
          <w:rFonts w:ascii="Times New Roman" w:hAnsi="Times New Roman" w:cs="Times New Roman"/>
          <w:b/>
        </w:rPr>
      </w:pPr>
      <w:r w:rsidRPr="007D61C1">
        <w:rPr>
          <w:rFonts w:ascii="Times New Roman" w:hAnsi="Times New Roman" w:cs="Times New Roman"/>
          <w:bCs/>
        </w:rPr>
        <w:t xml:space="preserve">Pre-intervention data was collected for May, June, and July 2021, as delineated in this project's timeline (see Appendix E). A target medications list consisting of 18 medications was cultivated in partnership with this project's site champions and pharmacy team by August 1, 2021. Development and assembly of this project's quick-reference guide with cost comparisons took place from August to September 2021 in collaboration with </w:t>
      </w:r>
      <w:proofErr w:type="spellStart"/>
      <w:r w:rsidRPr="007D61C1">
        <w:rPr>
          <w:rFonts w:ascii="Times New Roman" w:hAnsi="Times New Roman" w:cs="Times New Roman"/>
          <w:bCs/>
        </w:rPr>
        <w:t>Enclara's</w:t>
      </w:r>
      <w:proofErr w:type="spellEnd"/>
      <w:r w:rsidRPr="007D61C1">
        <w:rPr>
          <w:rFonts w:ascii="Times New Roman" w:hAnsi="Times New Roman" w:cs="Times New Roman"/>
          <w:bCs/>
        </w:rPr>
        <w:t xml:space="preserve"> pharmacy team. Educational sessions with home care nursing staff to launch this project's quick-reference tool took place on September 17, 2021. A mandatory online educational in-service was assigned to all hospice house nursing staff with quick-reference tools provided to hospice house leadership for distribution on September 17, 2021. Post-intervention data was collected for October, November, and December of 2021. After analyzing the data, the project findings were disseminated to both the Hospice organization and the East Carolina University College of Nursing in the spring of 2022.</w:t>
      </w:r>
      <w:r w:rsidR="00E963C5">
        <w:rPr>
          <w:rFonts w:ascii="Times New Roman" w:hAnsi="Times New Roman" w:cs="Times New Roman"/>
          <w:b/>
        </w:rPr>
        <w:br w:type="page"/>
      </w:r>
    </w:p>
    <w:p w14:paraId="2269C582" w14:textId="7F10F3E7" w:rsidR="00BA7C1A" w:rsidRPr="004752C5" w:rsidRDefault="00BA7C1A" w:rsidP="00BA7C1A">
      <w:pPr>
        <w:spacing w:line="480" w:lineRule="auto"/>
        <w:jc w:val="center"/>
        <w:rPr>
          <w:rFonts w:ascii="Times New Roman" w:hAnsi="Times New Roman" w:cs="Times New Roman"/>
          <w:b/>
        </w:rPr>
      </w:pPr>
      <w:r w:rsidRPr="004752C5">
        <w:rPr>
          <w:rFonts w:ascii="Times New Roman" w:hAnsi="Times New Roman" w:cs="Times New Roman"/>
          <w:b/>
        </w:rPr>
        <w:lastRenderedPageBreak/>
        <w:t>Section IV</w:t>
      </w:r>
      <w:r>
        <w:rPr>
          <w:rFonts w:ascii="Times New Roman" w:hAnsi="Times New Roman" w:cs="Times New Roman"/>
          <w:b/>
        </w:rPr>
        <w:t>.</w:t>
      </w:r>
      <w:r w:rsidRPr="004752C5">
        <w:rPr>
          <w:rFonts w:ascii="Times New Roman" w:hAnsi="Times New Roman" w:cs="Times New Roman"/>
          <w:b/>
        </w:rPr>
        <w:t xml:space="preserve"> Results</w:t>
      </w:r>
      <w:r>
        <w:rPr>
          <w:rFonts w:ascii="Times New Roman" w:hAnsi="Times New Roman" w:cs="Times New Roman"/>
          <w:b/>
        </w:rPr>
        <w:t xml:space="preserve"> and </w:t>
      </w:r>
      <w:r w:rsidRPr="004752C5">
        <w:rPr>
          <w:rFonts w:ascii="Times New Roman" w:hAnsi="Times New Roman" w:cs="Times New Roman"/>
          <w:b/>
        </w:rPr>
        <w:t>Findings</w:t>
      </w:r>
    </w:p>
    <w:p w14:paraId="4ECACDB7" w14:textId="77777777" w:rsidR="00BA7C1A" w:rsidRDefault="00BA7C1A" w:rsidP="00BA7C1A">
      <w:pPr>
        <w:spacing w:line="480" w:lineRule="auto"/>
        <w:rPr>
          <w:rFonts w:ascii="Times New Roman" w:hAnsi="Times New Roman" w:cs="Times New Roman"/>
          <w:b/>
        </w:rPr>
      </w:pPr>
      <w:r>
        <w:rPr>
          <w:rFonts w:ascii="Times New Roman" w:hAnsi="Times New Roman" w:cs="Times New Roman"/>
          <w:b/>
        </w:rPr>
        <w:t>Results</w:t>
      </w:r>
    </w:p>
    <w:p w14:paraId="7A52BA7A" w14:textId="6DB88AB7" w:rsidR="007D61C1" w:rsidRPr="007D61C1" w:rsidRDefault="00BA7C1A" w:rsidP="007D61C1">
      <w:pPr>
        <w:spacing w:line="480" w:lineRule="auto"/>
        <w:rPr>
          <w:rFonts w:ascii="Times New Roman" w:hAnsi="Times New Roman" w:cs="Times New Roman"/>
          <w:bCs/>
        </w:rPr>
      </w:pPr>
      <w:r w:rsidRPr="007D61C1">
        <w:rPr>
          <w:rFonts w:ascii="Times New Roman" w:hAnsi="Times New Roman" w:cs="Times New Roman"/>
          <w:b/>
        </w:rPr>
        <w:tab/>
      </w:r>
      <w:r w:rsidR="007D61C1" w:rsidRPr="007D61C1">
        <w:rPr>
          <w:rFonts w:ascii="Times New Roman" w:hAnsi="Times New Roman" w:cs="Times New Roman"/>
          <w:bCs/>
        </w:rPr>
        <w:t>Three data points were chosen to demonstrate a trend both before and after this project was implemented. Pre-intervention data included an average medication cost PPD of $9.41 for May, $11.46 for June, and $9.32 for July, and an average non-formulary medication cost PPD of $2.24 for May, $2.36 for June, and $2.12 for July 2021. Post-intervention data included an average medication cost PPD of $6.33 for October, $7.77 for November, and $7.33 for December, and an average non-formulary medication cost PPD of $1.50 for October, $2.14 for November, and $2.03 for December 2021 (see Appendix F). Post-implementation data demonstrate an average of $2.92 cost reduction in overall medication cost and $0.35 cost reduction in nonformulary medication cost per patient per day. This data represents a 29% reduction of the overall average medication cost PPD and a 16% reduction of average non-formulary medication cost PPD, exceeding our goal of a 10% reduction. These findings compute to a projected estimated annual savings of $149,212 to $159,870 for overall medication costs and $17,885 to $19,162 for non-formulary medication costs, based on an average census of 140 to 150 patients.</w:t>
      </w:r>
      <w:r w:rsidR="00684C31">
        <w:rPr>
          <w:rFonts w:ascii="Times New Roman" w:hAnsi="Times New Roman" w:cs="Times New Roman"/>
          <w:bCs/>
        </w:rPr>
        <w:t xml:space="preserve"> Furthermore, a y</w:t>
      </w:r>
      <w:r w:rsidR="00684C31" w:rsidRPr="00684C31">
        <w:rPr>
          <w:rFonts w:ascii="Times New Roman" w:hAnsi="Times New Roman" w:cs="Times New Roman"/>
          <w:bCs/>
        </w:rPr>
        <w:t>ear-to-year comparison demonstrated an average reduction of 34% for all medication cost</w:t>
      </w:r>
      <w:r w:rsidR="00684C31">
        <w:rPr>
          <w:rFonts w:ascii="Times New Roman" w:hAnsi="Times New Roman" w:cs="Times New Roman"/>
          <w:bCs/>
        </w:rPr>
        <w:t>s</w:t>
      </w:r>
      <w:r w:rsidR="00684C31" w:rsidRPr="00684C31">
        <w:rPr>
          <w:rFonts w:ascii="Times New Roman" w:hAnsi="Times New Roman" w:cs="Times New Roman"/>
          <w:bCs/>
        </w:rPr>
        <w:t xml:space="preserve"> and 41.3% for non-formulary medication cost</w:t>
      </w:r>
      <w:r w:rsidR="00684C31">
        <w:rPr>
          <w:rFonts w:ascii="Times New Roman" w:hAnsi="Times New Roman" w:cs="Times New Roman"/>
          <w:bCs/>
        </w:rPr>
        <w:t>s</w:t>
      </w:r>
      <w:r w:rsidR="00684C31" w:rsidRPr="00684C31">
        <w:rPr>
          <w:rFonts w:ascii="Times New Roman" w:hAnsi="Times New Roman" w:cs="Times New Roman"/>
          <w:bCs/>
        </w:rPr>
        <w:t xml:space="preserve"> </w:t>
      </w:r>
      <w:r w:rsidR="00684C31">
        <w:rPr>
          <w:rFonts w:ascii="Times New Roman" w:hAnsi="Times New Roman" w:cs="Times New Roman"/>
          <w:bCs/>
        </w:rPr>
        <w:t>when comparing the post-implementation months of October, November, and December 2020 to 2021 (see Appendix G).</w:t>
      </w:r>
    </w:p>
    <w:p w14:paraId="52C8D6DA" w14:textId="77777777" w:rsidR="007D61C1" w:rsidRPr="007D61C1" w:rsidRDefault="007D61C1" w:rsidP="007D61C1">
      <w:pPr>
        <w:spacing w:line="480" w:lineRule="auto"/>
        <w:ind w:firstLine="720"/>
        <w:rPr>
          <w:rFonts w:ascii="Times New Roman" w:hAnsi="Times New Roman" w:cs="Times New Roman"/>
          <w:bCs/>
        </w:rPr>
      </w:pPr>
      <w:r w:rsidRPr="007D61C1">
        <w:rPr>
          <w:rFonts w:ascii="Times New Roman" w:hAnsi="Times New Roman" w:cs="Times New Roman"/>
          <w:bCs/>
        </w:rPr>
        <w:t>Additionally, of the 19 responses received from the pre-implementation nurse survey (see Appendix H), 38.89% selected </w:t>
      </w:r>
      <w:r w:rsidRPr="007D61C1">
        <w:rPr>
          <w:rFonts w:ascii="Times New Roman" w:hAnsi="Times New Roman" w:cs="Times New Roman"/>
          <w:bCs/>
          <w:i/>
          <w:iCs/>
        </w:rPr>
        <w:t>strongly agree</w:t>
      </w:r>
      <w:r w:rsidRPr="007D61C1">
        <w:rPr>
          <w:rFonts w:ascii="Times New Roman" w:hAnsi="Times New Roman" w:cs="Times New Roman"/>
          <w:bCs/>
        </w:rPr>
        <w:t> and 27.78% chose </w:t>
      </w:r>
      <w:r w:rsidRPr="007D61C1">
        <w:rPr>
          <w:rFonts w:ascii="Times New Roman" w:hAnsi="Times New Roman" w:cs="Times New Roman"/>
          <w:bCs/>
          <w:i/>
          <w:iCs/>
        </w:rPr>
        <w:t xml:space="preserve">somewhat </w:t>
      </w:r>
      <w:proofErr w:type="gramStart"/>
      <w:r w:rsidRPr="007D61C1">
        <w:rPr>
          <w:rFonts w:ascii="Times New Roman" w:hAnsi="Times New Roman" w:cs="Times New Roman"/>
          <w:bCs/>
          <w:i/>
          <w:iCs/>
        </w:rPr>
        <w:t>agree</w:t>
      </w:r>
      <w:proofErr w:type="gramEnd"/>
      <w:r w:rsidRPr="007D61C1">
        <w:rPr>
          <w:rFonts w:ascii="Times New Roman" w:hAnsi="Times New Roman" w:cs="Times New Roman"/>
          <w:bCs/>
        </w:rPr>
        <w:t xml:space="preserve"> when asked, “to what extent would you agree that you spend too much time trying to locate the correct medication to order, according to the new formulary?”. When asked, “to what extent would you agree that you sometimes feel overwhelmed by the number of available options for a specific </w:t>
      </w:r>
      <w:r w:rsidRPr="007D61C1">
        <w:rPr>
          <w:rFonts w:ascii="Times New Roman" w:hAnsi="Times New Roman" w:cs="Times New Roman"/>
          <w:bCs/>
        </w:rPr>
        <w:lastRenderedPageBreak/>
        <w:t>medication when inputting medication orders?” 33.33% selected </w:t>
      </w:r>
      <w:r w:rsidRPr="007D61C1">
        <w:rPr>
          <w:rFonts w:ascii="Times New Roman" w:hAnsi="Times New Roman" w:cs="Times New Roman"/>
          <w:bCs/>
          <w:i/>
          <w:iCs/>
        </w:rPr>
        <w:t>strongly agree</w:t>
      </w:r>
      <w:r w:rsidRPr="007D61C1">
        <w:rPr>
          <w:rFonts w:ascii="Times New Roman" w:hAnsi="Times New Roman" w:cs="Times New Roman"/>
          <w:bCs/>
        </w:rPr>
        <w:t> and 38.89% selected </w:t>
      </w:r>
      <w:r w:rsidRPr="007D61C1">
        <w:rPr>
          <w:rFonts w:ascii="Times New Roman" w:hAnsi="Times New Roman" w:cs="Times New Roman"/>
          <w:bCs/>
          <w:i/>
          <w:iCs/>
        </w:rPr>
        <w:t>somewhat agree</w:t>
      </w:r>
      <w:r w:rsidRPr="007D61C1">
        <w:rPr>
          <w:rFonts w:ascii="Times New Roman" w:hAnsi="Times New Roman" w:cs="Times New Roman"/>
          <w:bCs/>
        </w:rPr>
        <w:t>. When questioned, “how well do you feel that having a quick-reference guide for the most commonly prescribed medications would help you make the right formulary choice when inputting medication orders?” 72.22% selected </w:t>
      </w:r>
      <w:r w:rsidRPr="007D61C1">
        <w:rPr>
          <w:rFonts w:ascii="Times New Roman" w:hAnsi="Times New Roman" w:cs="Times New Roman"/>
          <w:bCs/>
          <w:i/>
          <w:iCs/>
        </w:rPr>
        <w:t>extremely well</w:t>
      </w:r>
      <w:r w:rsidRPr="007D61C1">
        <w:rPr>
          <w:rFonts w:ascii="Times New Roman" w:hAnsi="Times New Roman" w:cs="Times New Roman"/>
          <w:bCs/>
        </w:rPr>
        <w:t>, 16.67% selected </w:t>
      </w:r>
      <w:r w:rsidRPr="007D61C1">
        <w:rPr>
          <w:rFonts w:ascii="Times New Roman" w:hAnsi="Times New Roman" w:cs="Times New Roman"/>
          <w:bCs/>
          <w:i/>
          <w:iCs/>
        </w:rPr>
        <w:t>very well</w:t>
      </w:r>
      <w:r w:rsidRPr="007D61C1">
        <w:rPr>
          <w:rFonts w:ascii="Times New Roman" w:hAnsi="Times New Roman" w:cs="Times New Roman"/>
          <w:bCs/>
        </w:rPr>
        <w:t>, and 11.11% selected </w:t>
      </w:r>
      <w:r w:rsidRPr="007D61C1">
        <w:rPr>
          <w:rFonts w:ascii="Times New Roman" w:hAnsi="Times New Roman" w:cs="Times New Roman"/>
          <w:bCs/>
          <w:i/>
          <w:iCs/>
        </w:rPr>
        <w:t>moderately well</w:t>
      </w:r>
      <w:r w:rsidRPr="007D61C1">
        <w:rPr>
          <w:rFonts w:ascii="Times New Roman" w:hAnsi="Times New Roman" w:cs="Times New Roman"/>
          <w:bCs/>
        </w:rPr>
        <w:t>. </w:t>
      </w:r>
    </w:p>
    <w:p w14:paraId="7DE73ED6" w14:textId="77777777" w:rsidR="007D61C1" w:rsidRPr="007D61C1" w:rsidRDefault="007D61C1" w:rsidP="007D61C1">
      <w:pPr>
        <w:spacing w:line="480" w:lineRule="auto"/>
        <w:ind w:firstLine="720"/>
        <w:rPr>
          <w:rFonts w:ascii="Times New Roman" w:hAnsi="Times New Roman" w:cs="Times New Roman"/>
          <w:bCs/>
        </w:rPr>
      </w:pPr>
      <w:r w:rsidRPr="007D61C1">
        <w:rPr>
          <w:rFonts w:ascii="Times New Roman" w:hAnsi="Times New Roman" w:cs="Times New Roman"/>
          <w:bCs/>
        </w:rPr>
        <w:t>Of the three post-implementation nurse survey responses (see Appendix I) received, 100% selected n</w:t>
      </w:r>
      <w:r w:rsidRPr="007D61C1">
        <w:rPr>
          <w:rFonts w:ascii="Times New Roman" w:hAnsi="Times New Roman" w:cs="Times New Roman"/>
          <w:bCs/>
          <w:i/>
          <w:iCs/>
        </w:rPr>
        <w:t>ot in the past week but in the past month</w:t>
      </w:r>
      <w:r w:rsidRPr="007D61C1">
        <w:rPr>
          <w:rFonts w:ascii="Times New Roman" w:hAnsi="Times New Roman" w:cs="Times New Roman"/>
          <w:bCs/>
        </w:rPr>
        <w:t> when asked, “when was the last time you used the quick-reference medication tool?”. Additionally, when asked, “how well would you say that the quick-reference tool has assisted you in choosing the correct formulary medication?”, 100% of respondents selected </w:t>
      </w:r>
      <w:r w:rsidRPr="007D61C1">
        <w:rPr>
          <w:rFonts w:ascii="Times New Roman" w:hAnsi="Times New Roman" w:cs="Times New Roman"/>
          <w:bCs/>
          <w:i/>
          <w:iCs/>
        </w:rPr>
        <w:t>very well</w:t>
      </w:r>
      <w:r w:rsidRPr="007D61C1">
        <w:rPr>
          <w:rFonts w:ascii="Times New Roman" w:hAnsi="Times New Roman" w:cs="Times New Roman"/>
          <w:bCs/>
        </w:rPr>
        <w:t>. When asked, “to what extent would you agree that the quick-reference tool enabled you to save time when inputting certain medication orders?” 66.67% responded </w:t>
      </w:r>
      <w:r w:rsidRPr="007D61C1">
        <w:rPr>
          <w:rFonts w:ascii="Times New Roman" w:hAnsi="Times New Roman" w:cs="Times New Roman"/>
          <w:bCs/>
          <w:i/>
          <w:iCs/>
        </w:rPr>
        <w:t>strongly agree</w:t>
      </w:r>
      <w:r w:rsidRPr="007D61C1">
        <w:rPr>
          <w:rFonts w:ascii="Times New Roman" w:hAnsi="Times New Roman" w:cs="Times New Roman"/>
          <w:bCs/>
        </w:rPr>
        <w:t>, and 33.33% responded </w:t>
      </w:r>
      <w:r w:rsidRPr="007D61C1">
        <w:rPr>
          <w:rFonts w:ascii="Times New Roman" w:hAnsi="Times New Roman" w:cs="Times New Roman"/>
          <w:bCs/>
          <w:i/>
          <w:iCs/>
        </w:rPr>
        <w:t>somewhat agree</w:t>
      </w:r>
      <w:r w:rsidRPr="007D61C1">
        <w:rPr>
          <w:rFonts w:ascii="Times New Roman" w:hAnsi="Times New Roman" w:cs="Times New Roman"/>
          <w:bCs/>
        </w:rPr>
        <w:t>. </w:t>
      </w:r>
    </w:p>
    <w:p w14:paraId="0EF98EBB" w14:textId="2B62892F" w:rsidR="00BA7C1A" w:rsidRDefault="00BA7C1A" w:rsidP="007D61C1">
      <w:pPr>
        <w:spacing w:line="480" w:lineRule="auto"/>
        <w:rPr>
          <w:rFonts w:ascii="Times New Roman" w:hAnsi="Times New Roman" w:cs="Times New Roman"/>
          <w:b/>
        </w:rPr>
      </w:pPr>
      <w:r w:rsidRPr="005A4F03">
        <w:rPr>
          <w:rFonts w:ascii="Times New Roman" w:hAnsi="Times New Roman" w:cs="Times New Roman"/>
          <w:b/>
        </w:rPr>
        <w:t xml:space="preserve">Discussion of </w:t>
      </w:r>
      <w:r>
        <w:rPr>
          <w:rFonts w:ascii="Times New Roman" w:hAnsi="Times New Roman" w:cs="Times New Roman"/>
          <w:b/>
        </w:rPr>
        <w:t>M</w:t>
      </w:r>
      <w:r w:rsidRPr="005A4F03">
        <w:rPr>
          <w:rFonts w:ascii="Times New Roman" w:hAnsi="Times New Roman" w:cs="Times New Roman"/>
          <w:b/>
        </w:rPr>
        <w:t xml:space="preserve">ajor </w:t>
      </w:r>
      <w:r>
        <w:rPr>
          <w:rFonts w:ascii="Times New Roman" w:hAnsi="Times New Roman" w:cs="Times New Roman"/>
          <w:b/>
        </w:rPr>
        <w:t>F</w:t>
      </w:r>
      <w:r w:rsidRPr="005A4F03">
        <w:rPr>
          <w:rFonts w:ascii="Times New Roman" w:hAnsi="Times New Roman" w:cs="Times New Roman"/>
          <w:b/>
        </w:rPr>
        <w:t>indings</w:t>
      </w:r>
    </w:p>
    <w:p w14:paraId="63E1F686" w14:textId="237B1FDC" w:rsidR="007D61C1" w:rsidRPr="007D61C1" w:rsidRDefault="00BA7C1A" w:rsidP="007D61C1">
      <w:pPr>
        <w:spacing w:line="480" w:lineRule="auto"/>
        <w:rPr>
          <w:rFonts w:ascii="Times New Roman" w:hAnsi="Times New Roman" w:cs="Times New Roman"/>
        </w:rPr>
      </w:pPr>
      <w:r>
        <w:rPr>
          <w:rFonts w:ascii="Times New Roman" w:hAnsi="Times New Roman" w:cs="Times New Roman"/>
          <w:b/>
        </w:rPr>
        <w:tab/>
      </w:r>
      <w:r w:rsidR="007D61C1" w:rsidRPr="007D61C1">
        <w:rPr>
          <w:rFonts w:ascii="Times New Roman" w:hAnsi="Times New Roman" w:cs="Times New Roman"/>
        </w:rPr>
        <w:t xml:space="preserve">The notable downtrend in the average medication cost PPD for the post-intervention months of October, November, and December compared to the pre-intervention months of May, June, and July demonstrates the effectiveness of the quick-reference tool in reducing medication cost. Although the average cost of non-formulary medications showed modest savings, it is essential to note that the quick-reference tool focused on the most cost-effective alternative medications, which may or may not be formulary. The most substantial cost savings for both overall medication and non-formulary costs occurred in October, immediately following staff education and project implementation, indicating that the utilization of the tool was likely higher while the information was fresh in the </w:t>
      </w:r>
      <w:r w:rsidR="00684C31">
        <w:rPr>
          <w:rFonts w:ascii="Times New Roman" w:hAnsi="Times New Roman" w:cs="Times New Roman"/>
        </w:rPr>
        <w:t>minds of nursing staff</w:t>
      </w:r>
      <w:r w:rsidR="007D61C1" w:rsidRPr="007D61C1">
        <w:rPr>
          <w:rFonts w:ascii="Times New Roman" w:hAnsi="Times New Roman" w:cs="Times New Roman"/>
        </w:rPr>
        <w:t xml:space="preserve">. Although the organization continued to see considerable cost savings for November and December, staff may need </w:t>
      </w:r>
      <w:r w:rsidR="007D61C1" w:rsidRPr="007D61C1">
        <w:rPr>
          <w:rFonts w:ascii="Times New Roman" w:hAnsi="Times New Roman" w:cs="Times New Roman"/>
        </w:rPr>
        <w:lastRenderedPageBreak/>
        <w:t>additional prompting to reference the tool when inputting medication orders. However, when reassessed six months following project implementation, the organization continued to maintain cost savings greater than $1.24 per patient per day for overall medication cost. This demonstrates this project’s endurance and supports utilizing the quick-reference medication guide to reduce medication costs to the organization</w:t>
      </w:r>
      <w:r w:rsidR="00684C31">
        <w:rPr>
          <w:rFonts w:ascii="Times New Roman" w:hAnsi="Times New Roman" w:cs="Times New Roman"/>
        </w:rPr>
        <w:t xml:space="preserve"> on a long-term basis.</w:t>
      </w:r>
      <w:r w:rsidR="007D61C1" w:rsidRPr="007D61C1">
        <w:rPr>
          <w:rFonts w:ascii="Times New Roman" w:hAnsi="Times New Roman" w:cs="Times New Roman"/>
        </w:rPr>
        <w:t xml:space="preserve"> </w:t>
      </w:r>
    </w:p>
    <w:p w14:paraId="6EBB4C5E" w14:textId="77777777" w:rsidR="007D61C1" w:rsidRPr="007D61C1" w:rsidRDefault="007D61C1" w:rsidP="007D61C1">
      <w:pPr>
        <w:spacing w:line="480" w:lineRule="auto"/>
        <w:ind w:firstLine="720"/>
        <w:rPr>
          <w:rFonts w:ascii="Times New Roman" w:hAnsi="Times New Roman" w:cs="Times New Roman"/>
        </w:rPr>
      </w:pPr>
      <w:r w:rsidRPr="007D61C1">
        <w:rPr>
          <w:rFonts w:ascii="Times New Roman" w:hAnsi="Times New Roman" w:cs="Times New Roman"/>
        </w:rPr>
        <w:t xml:space="preserve">The substantial estimated annual cost savings would equate to a sizeable income to hire another provider and additional nursing staff, which would better equip the organization to care for many patients, broadening their reach and increasing access to hospice services within our community. Furthermore, the positive feedback received from the post-intervention nurse survey, though limited, endorses the use of the quick-reference guide as both a convenient and valuable tool that was well-received by the nurses. </w:t>
      </w:r>
    </w:p>
    <w:p w14:paraId="4CC3FC93" w14:textId="27978EB7" w:rsidR="00BA7C1A" w:rsidRPr="008227A7" w:rsidRDefault="007D61C1" w:rsidP="007D61C1">
      <w:pPr>
        <w:spacing w:line="480" w:lineRule="auto"/>
        <w:ind w:firstLine="720"/>
        <w:rPr>
          <w:rFonts w:ascii="Times New Roman" w:hAnsi="Times New Roman" w:cs="Times New Roman"/>
        </w:rPr>
      </w:pPr>
      <w:r w:rsidRPr="007D61C1">
        <w:rPr>
          <w:rFonts w:ascii="Times New Roman" w:hAnsi="Times New Roman" w:cs="Times New Roman"/>
        </w:rPr>
        <w:t>The quick-reference tool was created to guide users to choose the most appropriate and cost-effective medication when inputting frequently prescribed medicines for the hospice patient population. The tool is also meant to aid nurses in differentiating formulary and non</w:t>
      </w:r>
      <w:r w:rsidR="00684C31">
        <w:rPr>
          <w:rFonts w:ascii="Times New Roman" w:hAnsi="Times New Roman" w:cs="Times New Roman"/>
        </w:rPr>
        <w:t>-</w:t>
      </w:r>
      <w:r w:rsidRPr="007D61C1">
        <w:rPr>
          <w:rFonts w:ascii="Times New Roman" w:hAnsi="Times New Roman" w:cs="Times New Roman"/>
        </w:rPr>
        <w:t>formulary medications, saving the nurse</w:t>
      </w:r>
      <w:r w:rsidR="00684C31">
        <w:rPr>
          <w:rFonts w:ascii="Times New Roman" w:hAnsi="Times New Roman" w:cs="Times New Roman"/>
        </w:rPr>
        <w:t>s</w:t>
      </w:r>
      <w:r w:rsidRPr="007D61C1">
        <w:rPr>
          <w:rFonts w:ascii="Times New Roman" w:hAnsi="Times New Roman" w:cs="Times New Roman"/>
        </w:rPr>
        <w:t xml:space="preserve"> </w:t>
      </w:r>
      <w:proofErr w:type="gramStart"/>
      <w:r w:rsidRPr="007D61C1">
        <w:rPr>
          <w:rFonts w:ascii="Times New Roman" w:hAnsi="Times New Roman" w:cs="Times New Roman"/>
        </w:rPr>
        <w:t>time</w:t>
      </w:r>
      <w:proofErr w:type="gramEnd"/>
      <w:r w:rsidRPr="007D61C1">
        <w:rPr>
          <w:rFonts w:ascii="Times New Roman" w:hAnsi="Times New Roman" w:cs="Times New Roman"/>
        </w:rPr>
        <w:t xml:space="preserve"> and lessening the decision burden. The findings of this project support the use of this tool to reduce medication costs for the organization. Additionally, this tool also increases staff awareness of medication costs and promotes value-based prescribing that will continue to aid in the reduction of overall medication costs. Furthermore, this tool enables collaborative conversations between the nursing staff and prescribing providers and encourages a cost-conscious climate where everyone works together to provide cost-effective, excellent, end of life care.</w:t>
      </w:r>
    </w:p>
    <w:p w14:paraId="2562B866" w14:textId="77777777" w:rsidR="00FE31D3" w:rsidRDefault="00FE31D3">
      <w:pPr>
        <w:rPr>
          <w:rFonts w:ascii="Times New Roman" w:hAnsi="Times New Roman" w:cs="Times New Roman"/>
          <w:b/>
        </w:rPr>
      </w:pPr>
      <w:r>
        <w:rPr>
          <w:rFonts w:ascii="Times New Roman" w:hAnsi="Times New Roman" w:cs="Times New Roman"/>
          <w:b/>
        </w:rPr>
        <w:br w:type="page"/>
      </w:r>
    </w:p>
    <w:p w14:paraId="757218F7" w14:textId="11CA9FD7" w:rsidR="00BA7C1A" w:rsidRPr="00A16AA3" w:rsidRDefault="00BA7C1A" w:rsidP="00BA7C1A">
      <w:pPr>
        <w:spacing w:line="480" w:lineRule="auto"/>
        <w:jc w:val="center"/>
        <w:rPr>
          <w:rFonts w:ascii="Times New Roman" w:hAnsi="Times New Roman" w:cs="Times New Roman"/>
          <w:i/>
          <w:color w:val="767171" w:themeColor="background2" w:themeShade="80"/>
        </w:rPr>
      </w:pPr>
      <w:r w:rsidRPr="004752C5">
        <w:rPr>
          <w:rFonts w:ascii="Times New Roman" w:hAnsi="Times New Roman" w:cs="Times New Roman"/>
          <w:b/>
        </w:rPr>
        <w:lastRenderedPageBreak/>
        <w:t>Section V</w:t>
      </w:r>
      <w:r>
        <w:rPr>
          <w:rFonts w:ascii="Times New Roman" w:hAnsi="Times New Roman" w:cs="Times New Roman"/>
          <w:b/>
        </w:rPr>
        <w:t>.</w:t>
      </w:r>
      <w:r w:rsidRPr="004752C5">
        <w:rPr>
          <w:rFonts w:ascii="Times New Roman" w:hAnsi="Times New Roman" w:cs="Times New Roman"/>
          <w:b/>
        </w:rPr>
        <w:t xml:space="preserve"> Interpretation</w:t>
      </w:r>
      <w:r>
        <w:rPr>
          <w:rFonts w:ascii="Times New Roman" w:hAnsi="Times New Roman" w:cs="Times New Roman"/>
          <w:b/>
        </w:rPr>
        <w:t xml:space="preserve"> and Implications</w:t>
      </w:r>
    </w:p>
    <w:p w14:paraId="3534AF92" w14:textId="02AF09F7" w:rsidR="00BA7C1A" w:rsidRPr="00C62821" w:rsidRDefault="00BA7C1A" w:rsidP="00BA7C1A">
      <w:pPr>
        <w:spacing w:line="480" w:lineRule="auto"/>
        <w:rPr>
          <w:rFonts w:ascii="Times New Roman" w:hAnsi="Times New Roman" w:cs="Times New Roman"/>
          <w:i/>
          <w:color w:val="767171" w:themeColor="background2" w:themeShade="80"/>
        </w:rPr>
      </w:pPr>
      <w:r w:rsidRPr="0013496E">
        <w:rPr>
          <w:rFonts w:ascii="Times New Roman" w:hAnsi="Times New Roman" w:cs="Times New Roman"/>
          <w:b/>
        </w:rPr>
        <w:t xml:space="preserve">Cost </w:t>
      </w:r>
      <w:r w:rsidR="00C62821">
        <w:rPr>
          <w:rFonts w:ascii="Times New Roman" w:hAnsi="Times New Roman" w:cs="Times New Roman"/>
          <w:b/>
        </w:rPr>
        <w:t xml:space="preserve">and </w:t>
      </w:r>
      <w:r w:rsidR="00C62821" w:rsidRPr="00B742F3">
        <w:rPr>
          <w:rFonts w:ascii="Times New Roman" w:hAnsi="Times New Roman" w:cs="Times New Roman"/>
          <w:b/>
        </w:rPr>
        <w:t>Resource Management</w:t>
      </w:r>
      <w:r w:rsidR="00C62821">
        <w:rPr>
          <w:rFonts w:ascii="Times New Roman" w:hAnsi="Times New Roman" w:cs="Times New Roman"/>
          <w:b/>
        </w:rPr>
        <w:t xml:space="preserve"> </w:t>
      </w:r>
    </w:p>
    <w:p w14:paraId="60B601AF" w14:textId="77777777" w:rsidR="007D61C1" w:rsidRPr="007D61C1" w:rsidRDefault="007D61C1" w:rsidP="007D61C1">
      <w:pPr>
        <w:spacing w:line="480" w:lineRule="auto"/>
        <w:ind w:firstLine="720"/>
        <w:rPr>
          <w:rFonts w:ascii="Times New Roman" w:eastAsia="Times New Roman" w:hAnsi="Times New Roman" w:cs="Times New Roman"/>
          <w:color w:val="0E101A"/>
        </w:rPr>
      </w:pPr>
      <w:r w:rsidRPr="007D61C1">
        <w:rPr>
          <w:rFonts w:ascii="Times New Roman" w:eastAsia="Times New Roman" w:hAnsi="Times New Roman" w:cs="Times New Roman"/>
          <w:color w:val="0E101A"/>
        </w:rPr>
        <w:t>As noted in Appendix J, the budget for this project totaled $181.06, although monies could be saved by opting for cheaper snacks and refreshments for the educational session. However, considering the surge in COVID-19 cases within the community at the time of implementation, opting for individually packaged cakes enabled contactless distribution. Additionally, the supplies chosen to assemble the quick-reference guide were selected with longevity in mind, resulting in a slightly higher upfront cost but will likely save money over time. Investing in durable supplies initially will hopefully minimize the cost of its continuation, as updates to the tool should only incur the fee of printing a new insert. Instead of simply laminating the instrument, a sturdy, clear, plastic, resealable cover was chosen to enable staff to sanitize in between patients, as well as increase customizability by being able to change out the insert as new medication cost-saving needs are identified. The colorful heart-shaped carabiners help make the tool visually appealing, increasing nurse buy-in with increased versatility and convenience with the capability of clipping the tool wherever needed.</w:t>
      </w:r>
    </w:p>
    <w:p w14:paraId="1584FDED" w14:textId="77777777" w:rsidR="007D61C1" w:rsidRDefault="007D61C1" w:rsidP="007D61C1">
      <w:pPr>
        <w:spacing w:line="480" w:lineRule="auto"/>
        <w:ind w:firstLine="720"/>
        <w:rPr>
          <w:rFonts w:ascii="Times New Roman" w:eastAsia="Times New Roman" w:hAnsi="Times New Roman" w:cs="Times New Roman"/>
          <w:color w:val="0E101A"/>
        </w:rPr>
      </w:pPr>
      <w:r w:rsidRPr="007D61C1">
        <w:rPr>
          <w:rFonts w:ascii="Times New Roman" w:eastAsia="Times New Roman" w:hAnsi="Times New Roman" w:cs="Times New Roman"/>
          <w:color w:val="0E101A"/>
        </w:rPr>
        <w:t xml:space="preserve">Approximately 100 hours were spent working directly on this project during the implementation phase. These hours included time spent reviewing the literature, collaborating with the project </w:t>
      </w:r>
      <w:proofErr w:type="gramStart"/>
      <w:r w:rsidRPr="007D61C1">
        <w:rPr>
          <w:rFonts w:ascii="Times New Roman" w:eastAsia="Times New Roman" w:hAnsi="Times New Roman" w:cs="Times New Roman"/>
          <w:color w:val="0E101A"/>
        </w:rPr>
        <w:t>site</w:t>
      </w:r>
      <w:proofErr w:type="gramEnd"/>
      <w:r w:rsidRPr="007D61C1">
        <w:rPr>
          <w:rFonts w:ascii="Times New Roman" w:eastAsia="Times New Roman" w:hAnsi="Times New Roman" w:cs="Times New Roman"/>
          <w:color w:val="0E101A"/>
        </w:rPr>
        <w:t xml:space="preserve"> and nursing staff, consulting with the pharmacy team, comprising the target medication list, conducting cost comparisons within </w:t>
      </w:r>
      <w:proofErr w:type="spellStart"/>
      <w:r w:rsidRPr="007D61C1">
        <w:rPr>
          <w:rFonts w:ascii="Times New Roman" w:eastAsia="Times New Roman" w:hAnsi="Times New Roman" w:cs="Times New Roman"/>
          <w:color w:val="0E101A"/>
        </w:rPr>
        <w:t>Enclara's</w:t>
      </w:r>
      <w:proofErr w:type="spellEnd"/>
      <w:r w:rsidRPr="007D61C1">
        <w:rPr>
          <w:rFonts w:ascii="Times New Roman" w:eastAsia="Times New Roman" w:hAnsi="Times New Roman" w:cs="Times New Roman"/>
          <w:color w:val="0E101A"/>
        </w:rPr>
        <w:t xml:space="preserve"> dashboard, creating and formatting the quick-reference guide, shopping for and assembling the physical tool for distribution, and educating staff. If implemented on a larger scale, more time would be needed to construct more tools for distribution. Furthermore, more time would likely be necessary to conduct additional educational sessions for a larger group of nurses. Enough supplies were purchased from </w:t>
      </w:r>
      <w:r w:rsidRPr="007D61C1">
        <w:rPr>
          <w:rFonts w:ascii="Times New Roman" w:eastAsia="Times New Roman" w:hAnsi="Times New Roman" w:cs="Times New Roman"/>
          <w:color w:val="0E101A"/>
        </w:rPr>
        <w:lastRenderedPageBreak/>
        <w:t>Amazon.com to build 100 quick-reference tools. Each tool took approximately one minute to assemble after the insert was formatted correctly and ready to print. If implemented on a larger scale, most of the time would be spent printing and filling each quick-reference guide as the insert template has already been created.</w:t>
      </w:r>
    </w:p>
    <w:p w14:paraId="5CF91516" w14:textId="093F5637" w:rsidR="00AC727C" w:rsidRPr="007D61C1" w:rsidRDefault="007D61C1" w:rsidP="007D61C1">
      <w:pPr>
        <w:spacing w:line="480" w:lineRule="auto"/>
        <w:ind w:firstLine="720"/>
        <w:rPr>
          <w:rFonts w:ascii="Times New Roman" w:eastAsia="Times New Roman" w:hAnsi="Times New Roman" w:cs="Times New Roman"/>
          <w:color w:val="0E101A"/>
        </w:rPr>
      </w:pPr>
      <w:proofErr w:type="spellStart"/>
      <w:r w:rsidRPr="007D61C1">
        <w:rPr>
          <w:rFonts w:ascii="Times New Roman" w:eastAsia="Times New Roman" w:hAnsi="Times New Roman" w:cs="Times New Roman"/>
          <w:color w:val="0E101A"/>
        </w:rPr>
        <w:t>Enclara's</w:t>
      </w:r>
      <w:proofErr w:type="spellEnd"/>
      <w:r w:rsidRPr="007D61C1">
        <w:rPr>
          <w:rFonts w:ascii="Times New Roman" w:eastAsia="Times New Roman" w:hAnsi="Times New Roman" w:cs="Times New Roman"/>
          <w:color w:val="0E101A"/>
        </w:rPr>
        <w:t xml:space="preserve"> online dashboard was the primary resource utilized in this project, which the organization's Enclara account manager granted. This dashboard was instrumental in creating the quick-reference tool, conducting cost comparisons, and pre-and post-intervention data collection. Data collected from </w:t>
      </w:r>
      <w:proofErr w:type="spellStart"/>
      <w:r w:rsidRPr="007D61C1">
        <w:rPr>
          <w:rFonts w:ascii="Times New Roman" w:eastAsia="Times New Roman" w:hAnsi="Times New Roman" w:cs="Times New Roman"/>
          <w:color w:val="0E101A"/>
        </w:rPr>
        <w:t>Enclara's</w:t>
      </w:r>
      <w:proofErr w:type="spellEnd"/>
      <w:r w:rsidRPr="007D61C1">
        <w:rPr>
          <w:rFonts w:ascii="Times New Roman" w:eastAsia="Times New Roman" w:hAnsi="Times New Roman" w:cs="Times New Roman"/>
          <w:color w:val="0E101A"/>
        </w:rPr>
        <w:t xml:space="preserve"> dashboard was organized in an excel spreadsheet and presented in graphical format in Appendi</w:t>
      </w:r>
      <w:r w:rsidR="00740E83">
        <w:rPr>
          <w:rFonts w:ascii="Times New Roman" w:eastAsia="Times New Roman" w:hAnsi="Times New Roman" w:cs="Times New Roman"/>
          <w:color w:val="0E101A"/>
        </w:rPr>
        <w:t>ces</w:t>
      </w:r>
      <w:r w:rsidRPr="007D61C1">
        <w:rPr>
          <w:rFonts w:ascii="Times New Roman" w:eastAsia="Times New Roman" w:hAnsi="Times New Roman" w:cs="Times New Roman"/>
          <w:color w:val="0E101A"/>
        </w:rPr>
        <w:t xml:space="preserve"> F and G. Literature resources to support the educational intervention for this project were managed via literature matrix. The literature matrix was initially created as an excel spreadsheet, then translated into a Microsoft Word table for improved readability. Pre- and post-intervention nurse survey responses were designed with online Qualtrics software (see Appendices H and I, respectively). The project site champion emailed an anonymous link to all hospice nursing staff for each survey. All survey response data was managed via the online Qualtrics software.</w:t>
      </w:r>
    </w:p>
    <w:p w14:paraId="664CB657" w14:textId="74523C4D" w:rsidR="00BA7C1A" w:rsidRDefault="00BA7C1A" w:rsidP="00BA7C1A">
      <w:pPr>
        <w:spacing w:line="480" w:lineRule="auto"/>
        <w:rPr>
          <w:rFonts w:ascii="Times New Roman" w:hAnsi="Times New Roman" w:cs="Times New Roman"/>
        </w:rPr>
      </w:pPr>
      <w:r w:rsidRPr="002937DD">
        <w:rPr>
          <w:rFonts w:ascii="Times New Roman" w:hAnsi="Times New Roman" w:cs="Times New Roman"/>
          <w:b/>
        </w:rPr>
        <w:t>Implications of the Findings</w:t>
      </w:r>
      <w:r w:rsidRPr="002937DD">
        <w:rPr>
          <w:rFonts w:ascii="Times New Roman" w:hAnsi="Times New Roman" w:cs="Times New Roman"/>
        </w:rPr>
        <w:t xml:space="preserve"> </w:t>
      </w:r>
    </w:p>
    <w:p w14:paraId="2C20F09B" w14:textId="4CA54766" w:rsidR="00AC727C" w:rsidRDefault="00BA7C1A" w:rsidP="00BA7C1A">
      <w:pPr>
        <w:spacing w:line="480" w:lineRule="auto"/>
        <w:rPr>
          <w:rFonts w:ascii="Times New Roman" w:hAnsi="Times New Roman" w:cs="Times New Roman"/>
        </w:rPr>
      </w:pPr>
      <w:r>
        <w:rPr>
          <w:rFonts w:ascii="Times New Roman" w:hAnsi="Times New Roman" w:cs="Times New Roman"/>
        </w:rPr>
        <w:tab/>
      </w:r>
      <w:r w:rsidR="00AC727C" w:rsidRPr="00AC727C">
        <w:rPr>
          <w:rFonts w:ascii="Times New Roman" w:hAnsi="Times New Roman" w:cs="Times New Roman"/>
        </w:rPr>
        <w:t xml:space="preserve">The favorable findings of this project implicate the effectiveness of a quick-reference guide to reduce the cost of medications by targeting the most prescribed high-dollar and nonformulary medications that are ordered. Additionally, this project suggests that increasing staff awareness of medication cost, with a clear cost comparison at the point of order entry, can result in more value-conscious prescribing and reduce overall medication costs for organizations. However, upon the continuation of this project and subsequent PDSA cycles, staff would need </w:t>
      </w:r>
      <w:r w:rsidR="00AC727C" w:rsidRPr="00AC727C">
        <w:rPr>
          <w:rFonts w:ascii="Times New Roman" w:hAnsi="Times New Roman" w:cs="Times New Roman"/>
        </w:rPr>
        <w:lastRenderedPageBreak/>
        <w:t xml:space="preserve">re-education and reminding to continue </w:t>
      </w:r>
      <w:r w:rsidR="005D637B">
        <w:rPr>
          <w:rFonts w:ascii="Times New Roman" w:hAnsi="Times New Roman" w:cs="Times New Roman"/>
        </w:rPr>
        <w:t>to apply</w:t>
      </w:r>
      <w:r w:rsidR="00AC727C" w:rsidRPr="00AC727C">
        <w:rPr>
          <w:rFonts w:ascii="Times New Roman" w:hAnsi="Times New Roman" w:cs="Times New Roman"/>
        </w:rPr>
        <w:t xml:space="preserve"> the quick-reference tool when inputting medication orders to optimize cost savings to the organization. </w:t>
      </w:r>
    </w:p>
    <w:p w14:paraId="0A433EEB" w14:textId="6DF6B23E" w:rsidR="00BA7C1A" w:rsidRPr="0050368C" w:rsidRDefault="00BA7C1A" w:rsidP="00BA7C1A">
      <w:pPr>
        <w:spacing w:line="480" w:lineRule="auto"/>
        <w:rPr>
          <w:rFonts w:ascii="Times New Roman" w:hAnsi="Times New Roman" w:cs="Times New Roman"/>
          <w:b/>
          <w:i/>
          <w:iCs/>
        </w:rPr>
      </w:pPr>
      <w:r w:rsidRPr="0050368C">
        <w:rPr>
          <w:rFonts w:ascii="Times New Roman" w:hAnsi="Times New Roman" w:cs="Times New Roman"/>
          <w:b/>
          <w:i/>
          <w:iCs/>
        </w:rPr>
        <w:t xml:space="preserve">Implications for </w:t>
      </w:r>
      <w:r>
        <w:rPr>
          <w:rFonts w:ascii="Times New Roman" w:hAnsi="Times New Roman" w:cs="Times New Roman"/>
          <w:b/>
          <w:i/>
          <w:iCs/>
        </w:rPr>
        <w:t>P</w:t>
      </w:r>
      <w:r w:rsidRPr="0050368C">
        <w:rPr>
          <w:rFonts w:ascii="Times New Roman" w:hAnsi="Times New Roman" w:cs="Times New Roman"/>
          <w:b/>
          <w:i/>
          <w:iCs/>
        </w:rPr>
        <w:t>atients</w:t>
      </w:r>
    </w:p>
    <w:p w14:paraId="492B6FBE" w14:textId="77777777" w:rsidR="007D61C1" w:rsidRDefault="007D61C1" w:rsidP="007D61C1">
      <w:pPr>
        <w:spacing w:line="480" w:lineRule="auto"/>
        <w:ind w:firstLine="720"/>
        <w:rPr>
          <w:rFonts w:ascii="Times New Roman" w:hAnsi="Times New Roman" w:cs="Times New Roman"/>
        </w:rPr>
      </w:pPr>
      <w:r w:rsidRPr="007D61C1">
        <w:rPr>
          <w:rFonts w:ascii="Times New Roman" w:hAnsi="Times New Roman" w:cs="Times New Roman"/>
        </w:rPr>
        <w:t xml:space="preserve">This project produced a significant cost reduction in medication costs. Lower medication costs lessen the financial burden during the end of life and improve the overall quality of life by appropriately providing affordable medications that offer symptom relief. Indirectly, patients in the community could potentially be affected by increasing access to quality hospice and palliative care services. Improved access can be established by saving the organization monies on high-dollar medications that could otherwise be spent hiring more staff to further reach those in need of hospice services. When we can manage our patient’s symptoms effectively with low-cost medications, we can then redirect funds to ensure adequate staffing and resources that, in turn, result in improved care and increased access for patients. </w:t>
      </w:r>
    </w:p>
    <w:p w14:paraId="0C1CDAF1" w14:textId="53F3C077" w:rsidR="00BA7C1A" w:rsidRPr="0050368C" w:rsidRDefault="00BA7C1A" w:rsidP="008227A7">
      <w:pPr>
        <w:spacing w:line="480" w:lineRule="auto"/>
        <w:rPr>
          <w:rFonts w:ascii="Times New Roman" w:hAnsi="Times New Roman" w:cs="Times New Roman"/>
          <w:b/>
          <w:i/>
          <w:iCs/>
        </w:rPr>
      </w:pPr>
      <w:r w:rsidRPr="0050368C">
        <w:rPr>
          <w:rFonts w:ascii="Times New Roman" w:hAnsi="Times New Roman" w:cs="Times New Roman"/>
          <w:b/>
          <w:i/>
          <w:iCs/>
        </w:rPr>
        <w:t>Implications for nursing practice.</w:t>
      </w:r>
    </w:p>
    <w:p w14:paraId="622D70BD" w14:textId="0A6CDFBC" w:rsidR="00AC727C" w:rsidRDefault="007D61C1" w:rsidP="00AC727C">
      <w:pPr>
        <w:spacing w:line="480" w:lineRule="auto"/>
        <w:ind w:firstLine="720"/>
        <w:rPr>
          <w:rFonts w:ascii="Times New Roman" w:hAnsi="Times New Roman" w:cs="Times New Roman"/>
        </w:rPr>
      </w:pPr>
      <w:r w:rsidRPr="007D61C1">
        <w:rPr>
          <w:rFonts w:ascii="Times New Roman" w:hAnsi="Times New Roman" w:cs="Times New Roman"/>
        </w:rPr>
        <w:t>One significant implication for nursing practice associated with this project is the potential improvement in overall job satisfaction by providing adequate staffing and resources for nurses to better care for their patients. Also, utilizing the quick-reference guide can save the nurses time, improve their efficiency, and reduce their decision burden when inputting medication orders, further enhancing their overall satisfaction. Furthermore, this project encourages professional collaboration between nurses and providers when deciding upon appropriate treatment plans, creating a climate of trust and partnership. Nurses are empowered to create a dialogue with their providers when utilizing the quick-reference tool, which allows them to advocate for their patients and provide high-quality, cost-effective end-of-life care, further improving job satisfaction.</w:t>
      </w:r>
    </w:p>
    <w:p w14:paraId="302F77CD" w14:textId="0C1D7C12" w:rsidR="00BA7C1A" w:rsidRPr="0050368C" w:rsidRDefault="00BA7C1A" w:rsidP="00AC727C">
      <w:pPr>
        <w:spacing w:line="480" w:lineRule="auto"/>
        <w:rPr>
          <w:rFonts w:ascii="Times New Roman" w:hAnsi="Times New Roman" w:cs="Times New Roman"/>
          <w:b/>
          <w:i/>
          <w:iCs/>
        </w:rPr>
      </w:pPr>
      <w:r w:rsidRPr="0050368C">
        <w:rPr>
          <w:rFonts w:ascii="Times New Roman" w:hAnsi="Times New Roman" w:cs="Times New Roman"/>
          <w:b/>
          <w:i/>
          <w:iCs/>
        </w:rPr>
        <w:lastRenderedPageBreak/>
        <w:t xml:space="preserve">Impact for </w:t>
      </w:r>
      <w:r>
        <w:rPr>
          <w:rFonts w:ascii="Times New Roman" w:hAnsi="Times New Roman" w:cs="Times New Roman"/>
          <w:b/>
          <w:i/>
          <w:iCs/>
        </w:rPr>
        <w:t>H</w:t>
      </w:r>
      <w:r w:rsidRPr="0050368C">
        <w:rPr>
          <w:rFonts w:ascii="Times New Roman" w:hAnsi="Times New Roman" w:cs="Times New Roman"/>
          <w:b/>
          <w:i/>
          <w:iCs/>
        </w:rPr>
        <w:t xml:space="preserve">ealthcare </w:t>
      </w:r>
      <w:r>
        <w:rPr>
          <w:rFonts w:ascii="Times New Roman" w:hAnsi="Times New Roman" w:cs="Times New Roman"/>
          <w:b/>
          <w:i/>
          <w:iCs/>
        </w:rPr>
        <w:t>S</w:t>
      </w:r>
      <w:r w:rsidRPr="0050368C">
        <w:rPr>
          <w:rFonts w:ascii="Times New Roman" w:hAnsi="Times New Roman" w:cs="Times New Roman"/>
          <w:b/>
          <w:i/>
          <w:iCs/>
        </w:rPr>
        <w:t>ystem(s)</w:t>
      </w:r>
    </w:p>
    <w:p w14:paraId="64424DE3" w14:textId="77777777" w:rsidR="007D61C1" w:rsidRDefault="007D61C1" w:rsidP="007D61C1">
      <w:pPr>
        <w:spacing w:line="480" w:lineRule="auto"/>
        <w:ind w:firstLine="720"/>
        <w:rPr>
          <w:rFonts w:ascii="Times New Roman" w:hAnsi="Times New Roman" w:cs="Times New Roman"/>
        </w:rPr>
      </w:pPr>
      <w:r w:rsidRPr="007D61C1">
        <w:rPr>
          <w:rFonts w:ascii="Times New Roman" w:hAnsi="Times New Roman" w:cs="Times New Roman"/>
        </w:rPr>
        <w:t xml:space="preserve">With the cost of healthcare rising and the cost of medications, we must remain vigilant in finding creative solutions to combat this inflation for the sake of the patients and communities we serve. Nurses at the front lines should be empowered to identify areas of improvement, then work to remedy these areas with innovative, evidence-based interventions. This kind of innovation improves the healthcare system and propels the nursing profession forward. This project and the development and application of a quick-reference guide aim to provide a simple solution to cost reduction while empowering the nurses and providers to be a part of the solution. The success of this project paves the way for similar projects to be implemented on a much larger scale and translated to other healthcare settings beyond hospice, which would offer substantial cost savings to other organizations and increase access to healthcare services. </w:t>
      </w:r>
    </w:p>
    <w:p w14:paraId="1B817EAF" w14:textId="72D158A3" w:rsidR="00BA7C1A" w:rsidRDefault="00BA7C1A" w:rsidP="00BA7C1A">
      <w:pPr>
        <w:spacing w:line="480" w:lineRule="auto"/>
        <w:rPr>
          <w:rFonts w:ascii="Times New Roman" w:hAnsi="Times New Roman" w:cs="Times New Roman"/>
          <w:b/>
        </w:rPr>
      </w:pPr>
      <w:r>
        <w:rPr>
          <w:rFonts w:ascii="Times New Roman" w:hAnsi="Times New Roman" w:cs="Times New Roman"/>
          <w:b/>
        </w:rPr>
        <w:t>Sustainability</w:t>
      </w:r>
    </w:p>
    <w:p w14:paraId="2CA5FE70" w14:textId="727F1B2E" w:rsidR="00AC727C" w:rsidRDefault="00BA7C1A" w:rsidP="00BA7C1A">
      <w:pPr>
        <w:spacing w:line="480" w:lineRule="auto"/>
        <w:rPr>
          <w:rFonts w:ascii="Times New Roman" w:hAnsi="Times New Roman" w:cs="Times New Roman"/>
        </w:rPr>
      </w:pPr>
      <w:r>
        <w:rPr>
          <w:rFonts w:ascii="Times New Roman" w:hAnsi="Times New Roman" w:cs="Times New Roman"/>
          <w:b/>
        </w:rPr>
        <w:tab/>
      </w:r>
      <w:r w:rsidR="007D61C1" w:rsidRPr="007D61C1">
        <w:rPr>
          <w:rFonts w:ascii="Times New Roman" w:hAnsi="Times New Roman" w:cs="Times New Roman"/>
        </w:rPr>
        <w:t>Although this project required a small amount of monetary support to create, the supplies utilized were chosen with longevity in mind. This project's quick-reference tool was mindfully assembled to be editable and customizable as the organization's needs change and grow. This project can be easily maintained if someone assumes the responsibility of monitoring medication costs, changes in the formulary, and maintaining the target medication list with cost comparisons. Although this person has not yet been appointed, the hospice organization is amendable to allow future doctoral students to build and expand upon this project, adding to its sustainability. As evidenced by the slow decline in savings with each passing month, nursing staff must be consistently reminded to employ the quick-reference tool to maintain considerable cost reduction.</w:t>
      </w:r>
    </w:p>
    <w:p w14:paraId="3E9B5773" w14:textId="77777777" w:rsidR="00740E83" w:rsidRDefault="00740E83">
      <w:pPr>
        <w:rPr>
          <w:rFonts w:ascii="Times New Roman" w:hAnsi="Times New Roman" w:cs="Times New Roman"/>
          <w:b/>
        </w:rPr>
      </w:pPr>
      <w:r>
        <w:rPr>
          <w:rFonts w:ascii="Times New Roman" w:hAnsi="Times New Roman" w:cs="Times New Roman"/>
          <w:b/>
        </w:rPr>
        <w:br w:type="page"/>
      </w:r>
    </w:p>
    <w:p w14:paraId="76C4AC5A" w14:textId="5DDB3C0B" w:rsidR="00BA7C1A" w:rsidRDefault="00BA7C1A" w:rsidP="00BA7C1A">
      <w:pPr>
        <w:spacing w:line="480" w:lineRule="auto"/>
        <w:rPr>
          <w:rFonts w:ascii="Times New Roman" w:hAnsi="Times New Roman" w:cs="Times New Roman"/>
          <w:b/>
        </w:rPr>
      </w:pPr>
      <w:r w:rsidRPr="0013496E">
        <w:rPr>
          <w:rFonts w:ascii="Times New Roman" w:hAnsi="Times New Roman" w:cs="Times New Roman"/>
          <w:b/>
        </w:rPr>
        <w:lastRenderedPageBreak/>
        <w:t>Dissemination Plan</w:t>
      </w:r>
    </w:p>
    <w:p w14:paraId="3736E15B" w14:textId="2DB5376B" w:rsidR="00BA7C1A" w:rsidRDefault="00BA7C1A" w:rsidP="008227A7">
      <w:pPr>
        <w:spacing w:line="480" w:lineRule="auto"/>
        <w:rPr>
          <w:rFonts w:ascii="Times New Roman" w:hAnsi="Times New Roman" w:cs="Times New Roman"/>
        </w:rPr>
      </w:pPr>
      <w:r>
        <w:rPr>
          <w:rFonts w:ascii="Times New Roman" w:hAnsi="Times New Roman" w:cs="Times New Roman"/>
          <w:b/>
        </w:rPr>
        <w:tab/>
      </w:r>
      <w:r w:rsidR="007D61C1" w:rsidRPr="007D61C1">
        <w:rPr>
          <w:rFonts w:ascii="Times New Roman" w:hAnsi="Times New Roman" w:cs="Times New Roman"/>
        </w:rPr>
        <w:t xml:space="preserve">Findings from this project were presented to the project partners, pharmacy team, nursing staff, providers, and senior leadership on March 28, 2022, via Microsoft Teams meeting in consideration of the recent surge in COVID-19 cases. Further project dissemination took place via professional poster presentation </w:t>
      </w:r>
      <w:r w:rsidR="00684C31">
        <w:rPr>
          <w:rFonts w:ascii="Times New Roman" w:hAnsi="Times New Roman" w:cs="Times New Roman"/>
        </w:rPr>
        <w:t xml:space="preserve">(see Appendix P) </w:t>
      </w:r>
      <w:r w:rsidR="007D61C1" w:rsidRPr="007D61C1">
        <w:rPr>
          <w:rFonts w:ascii="Times New Roman" w:hAnsi="Times New Roman" w:cs="Times New Roman"/>
        </w:rPr>
        <w:t xml:space="preserve">to the East Carolina College of Nursing Faculty and Doctor of Nursing Practice cohorts on April 5, 2022, followed by publishing this project paper to the online East Carolina University </w:t>
      </w:r>
      <w:proofErr w:type="spellStart"/>
      <w:r w:rsidR="007D61C1" w:rsidRPr="007D61C1">
        <w:rPr>
          <w:rFonts w:ascii="Times New Roman" w:hAnsi="Times New Roman" w:cs="Times New Roman"/>
        </w:rPr>
        <w:t>ScholarSHIP</w:t>
      </w:r>
      <w:proofErr w:type="spellEnd"/>
      <w:r w:rsidR="007D61C1" w:rsidRPr="007D61C1">
        <w:rPr>
          <w:rFonts w:ascii="Times New Roman" w:hAnsi="Times New Roman" w:cs="Times New Roman"/>
        </w:rPr>
        <w:t xml:space="preserve"> archives on April 2</w:t>
      </w:r>
      <w:r w:rsidR="00684C31">
        <w:rPr>
          <w:rFonts w:ascii="Times New Roman" w:hAnsi="Times New Roman" w:cs="Times New Roman"/>
        </w:rPr>
        <w:t>5</w:t>
      </w:r>
      <w:r w:rsidR="007D61C1" w:rsidRPr="007D61C1">
        <w:rPr>
          <w:rFonts w:ascii="Times New Roman" w:hAnsi="Times New Roman" w:cs="Times New Roman"/>
        </w:rPr>
        <w:t>, 2022.</w:t>
      </w:r>
      <w:r w:rsidR="00E963C5" w:rsidRPr="00AC727C">
        <w:rPr>
          <w:rFonts w:ascii="Times New Roman" w:hAnsi="Times New Roman" w:cs="Times New Roman"/>
        </w:rPr>
        <w:t xml:space="preserve"> </w:t>
      </w:r>
    </w:p>
    <w:p w14:paraId="144DFF1D" w14:textId="0F40B23C" w:rsidR="00C62821" w:rsidRPr="00C62821" w:rsidRDefault="00C62821" w:rsidP="00C62821">
      <w:pPr>
        <w:rPr>
          <w:rFonts w:ascii="Times New Roman" w:hAnsi="Times New Roman" w:cs="Times New Roman"/>
        </w:rPr>
      </w:pPr>
      <w:r>
        <w:rPr>
          <w:rFonts w:ascii="Times New Roman" w:hAnsi="Times New Roman" w:cs="Times New Roman"/>
        </w:rPr>
        <w:br w:type="page"/>
      </w:r>
    </w:p>
    <w:p w14:paraId="4F702F42" w14:textId="3BE5EDD7" w:rsidR="00BA7C1A" w:rsidRPr="00323669" w:rsidRDefault="00BA7C1A" w:rsidP="00BA7C1A">
      <w:pPr>
        <w:spacing w:line="480" w:lineRule="auto"/>
        <w:jc w:val="center"/>
        <w:rPr>
          <w:rFonts w:ascii="Times New Roman" w:hAnsi="Times New Roman" w:cs="Times New Roman"/>
          <w:i/>
          <w:color w:val="767171" w:themeColor="background2" w:themeShade="80"/>
        </w:rPr>
      </w:pPr>
      <w:r w:rsidRPr="004752C5">
        <w:rPr>
          <w:rFonts w:ascii="Times New Roman" w:hAnsi="Times New Roman" w:cs="Times New Roman"/>
          <w:b/>
        </w:rPr>
        <w:lastRenderedPageBreak/>
        <w:t>Section VI</w:t>
      </w:r>
      <w:r>
        <w:rPr>
          <w:rFonts w:ascii="Times New Roman" w:hAnsi="Times New Roman" w:cs="Times New Roman"/>
          <w:b/>
        </w:rPr>
        <w:t>.</w:t>
      </w:r>
      <w:r w:rsidRPr="004752C5">
        <w:rPr>
          <w:rFonts w:ascii="Times New Roman" w:hAnsi="Times New Roman" w:cs="Times New Roman"/>
          <w:b/>
        </w:rPr>
        <w:t xml:space="preserve"> Conclusion</w:t>
      </w:r>
    </w:p>
    <w:p w14:paraId="1DD1D098" w14:textId="268AF3E5" w:rsidR="00BA7C1A" w:rsidRDefault="00BA7C1A" w:rsidP="00BA7C1A">
      <w:pPr>
        <w:spacing w:line="480" w:lineRule="auto"/>
        <w:rPr>
          <w:rFonts w:ascii="Times New Roman" w:hAnsi="Times New Roman" w:cs="Times New Roman"/>
          <w:b/>
        </w:rPr>
      </w:pPr>
      <w:r>
        <w:rPr>
          <w:rFonts w:ascii="Times New Roman" w:hAnsi="Times New Roman" w:cs="Times New Roman"/>
          <w:b/>
        </w:rPr>
        <w:t>Limitations</w:t>
      </w:r>
      <w:r w:rsidR="00C62821">
        <w:rPr>
          <w:rFonts w:ascii="Times New Roman" w:hAnsi="Times New Roman" w:cs="Times New Roman"/>
          <w:b/>
        </w:rPr>
        <w:t xml:space="preserve"> and Facilitators</w:t>
      </w:r>
    </w:p>
    <w:p w14:paraId="295D3977" w14:textId="77777777" w:rsidR="007D61C1" w:rsidRPr="007D61C1" w:rsidRDefault="00BA7C1A" w:rsidP="007D61C1">
      <w:pPr>
        <w:spacing w:line="480" w:lineRule="auto"/>
        <w:rPr>
          <w:rFonts w:ascii="Times New Roman" w:hAnsi="Times New Roman" w:cs="Times New Roman"/>
        </w:rPr>
      </w:pPr>
      <w:r>
        <w:rPr>
          <w:rFonts w:ascii="Times New Roman" w:hAnsi="Times New Roman" w:cs="Times New Roman"/>
          <w:b/>
        </w:rPr>
        <w:tab/>
      </w:r>
      <w:r w:rsidR="007D61C1" w:rsidRPr="007D61C1">
        <w:rPr>
          <w:rFonts w:ascii="Times New Roman" w:hAnsi="Times New Roman" w:cs="Times New Roman"/>
        </w:rPr>
        <w:t>The primary limitation of this project was the timing of its implementation. Immediately following the project rollout, the organization began transitioning to a new online charting platform as part of its merger with a larger surrounding hospice organization. This transition presented a significant barrier to the project as nursing staff were experiencing information overload and increased stress levels related to the change.</w:t>
      </w:r>
    </w:p>
    <w:p w14:paraId="78726078" w14:textId="77777777" w:rsidR="007D61C1" w:rsidRPr="007D61C1" w:rsidRDefault="007D61C1" w:rsidP="007D61C1">
      <w:pPr>
        <w:spacing w:line="480" w:lineRule="auto"/>
        <w:rPr>
          <w:rFonts w:ascii="Times New Roman" w:hAnsi="Times New Roman" w:cs="Times New Roman"/>
        </w:rPr>
      </w:pPr>
      <w:r w:rsidRPr="007D61C1">
        <w:rPr>
          <w:rFonts w:ascii="Times New Roman" w:hAnsi="Times New Roman" w:cs="Times New Roman"/>
        </w:rPr>
        <w:t xml:space="preserve">           Another limitation of this project was its short duration. Subsequent PDSA cycles would need to be executed and data reassessed over time to assess the true, long-term impact of the quick-reference tool. In addition to this, the success of this project was entirely dependent on the nurse's acceptance and application of the instrument when inputting medication orders. This limitation could have been lessened had this project utilized electronic decision support as its intervention. However, this was not possible given the inability to effectively coordinate with the representative from the online ordering platform. </w:t>
      </w:r>
    </w:p>
    <w:p w14:paraId="1326D069" w14:textId="56EBDE6B" w:rsidR="005A2820" w:rsidRDefault="007D61C1" w:rsidP="007D61C1">
      <w:pPr>
        <w:spacing w:line="480" w:lineRule="auto"/>
        <w:ind w:firstLine="720"/>
        <w:rPr>
          <w:rFonts w:ascii="Times New Roman" w:hAnsi="Times New Roman" w:cs="Times New Roman"/>
          <w:b/>
        </w:rPr>
      </w:pPr>
      <w:r w:rsidRPr="007D61C1">
        <w:rPr>
          <w:rFonts w:ascii="Times New Roman" w:hAnsi="Times New Roman" w:cs="Times New Roman"/>
        </w:rPr>
        <w:t xml:space="preserve">Thankfully, this project had ample nurse buy-in and provider support to facilitate its success. This project's site champion is one of the primary home care hospice providers. They collaborated closely with the nursing staff and advocated for the tool's application when discussing symptom management and inputting medication orders. Having an advocate working on the front lines during this project's implementation was instrumental to promoting its application and, thus, its success. Further facilitators include the incredibly receptive and supportive hospice organization and the insightful Enclara Pharmacia team, who were so helpful and eager to aid in realizing this project. </w:t>
      </w:r>
      <w:r w:rsidR="005A2820">
        <w:rPr>
          <w:rFonts w:ascii="Times New Roman" w:hAnsi="Times New Roman" w:cs="Times New Roman"/>
          <w:b/>
        </w:rPr>
        <w:br w:type="page"/>
      </w:r>
    </w:p>
    <w:p w14:paraId="3CD7904D" w14:textId="064EABF0" w:rsidR="00BA7C1A" w:rsidRDefault="00BA7C1A" w:rsidP="00AC727C">
      <w:pPr>
        <w:spacing w:line="480" w:lineRule="auto"/>
        <w:rPr>
          <w:rFonts w:ascii="Times New Roman" w:hAnsi="Times New Roman" w:cs="Times New Roman"/>
          <w:b/>
        </w:rPr>
      </w:pPr>
      <w:r>
        <w:rPr>
          <w:rFonts w:ascii="Times New Roman" w:hAnsi="Times New Roman" w:cs="Times New Roman"/>
          <w:b/>
        </w:rPr>
        <w:lastRenderedPageBreak/>
        <w:t>Recommendations for Others</w:t>
      </w:r>
    </w:p>
    <w:p w14:paraId="2F49AD9A" w14:textId="64B9E595" w:rsidR="00AC727C" w:rsidRDefault="00BA7C1A" w:rsidP="00BA7C1A">
      <w:pPr>
        <w:spacing w:line="480" w:lineRule="auto"/>
        <w:rPr>
          <w:rFonts w:ascii="Times New Roman" w:hAnsi="Times New Roman" w:cs="Times New Roman"/>
        </w:rPr>
      </w:pPr>
      <w:r>
        <w:rPr>
          <w:rFonts w:ascii="Times New Roman" w:hAnsi="Times New Roman" w:cs="Times New Roman"/>
          <w:b/>
        </w:rPr>
        <w:tab/>
      </w:r>
      <w:r w:rsidR="00AC727C" w:rsidRPr="00AC727C">
        <w:rPr>
          <w:rFonts w:ascii="Times New Roman" w:hAnsi="Times New Roman" w:cs="Times New Roman"/>
        </w:rPr>
        <w:t xml:space="preserve">While this project's methods of utilizing a quick-reference tool produced a moderate decrease in overall medication cost, its continuation would require a diligent project leader to maintain. Nursing staff would also need re-education and consistent queuing to apply the </w:t>
      </w:r>
      <w:proofErr w:type="gramStart"/>
      <w:r w:rsidR="005D637B" w:rsidRPr="00AC727C">
        <w:rPr>
          <w:rFonts w:ascii="Times New Roman" w:hAnsi="Times New Roman" w:cs="Times New Roman"/>
        </w:rPr>
        <w:t>tool</w:t>
      </w:r>
      <w:proofErr w:type="gramEnd"/>
      <w:r w:rsidR="00AC727C" w:rsidRPr="00AC727C">
        <w:rPr>
          <w:rFonts w:ascii="Times New Roman" w:hAnsi="Times New Roman" w:cs="Times New Roman"/>
        </w:rPr>
        <w:t xml:space="preserve"> when necessary</w:t>
      </w:r>
      <w:r w:rsidR="005D637B">
        <w:rPr>
          <w:rFonts w:ascii="Times New Roman" w:hAnsi="Times New Roman" w:cs="Times New Roman"/>
        </w:rPr>
        <w:t xml:space="preserve">, automated email reminders could potentially remedy this. </w:t>
      </w:r>
      <w:r w:rsidR="00AC727C" w:rsidRPr="00AC727C">
        <w:rPr>
          <w:rFonts w:ascii="Times New Roman" w:hAnsi="Times New Roman" w:cs="Times New Roman"/>
        </w:rPr>
        <w:t>It would also be beneficial to include the providers in future educational sessions to ensure adequate tool application to continue with cost savings as part of future PDSA cycles. Also, a quick-reference guide was more feasible to implement given the smaller size and close-knit nursing staff. Implementing a tool of this kind may prove to be more difficult in more extensive, busier hospice organizations and would likely require a team of champions to manage. Additionally, upholding a close, interprofessional alliance with the pharmacy team is essential to maintaining the tool's relevance and keeping medication costs as low as possible while providing adequate symptom management at the end of life.</w:t>
      </w:r>
    </w:p>
    <w:p w14:paraId="6A615A38" w14:textId="1C4C1EE3" w:rsidR="00BA7C1A" w:rsidRDefault="00BA7C1A" w:rsidP="00BA7C1A">
      <w:pPr>
        <w:spacing w:line="480" w:lineRule="auto"/>
        <w:rPr>
          <w:rFonts w:ascii="Times New Roman" w:hAnsi="Times New Roman" w:cs="Times New Roman"/>
          <w:b/>
        </w:rPr>
      </w:pPr>
      <w:r>
        <w:rPr>
          <w:rFonts w:ascii="Times New Roman" w:hAnsi="Times New Roman" w:cs="Times New Roman"/>
          <w:b/>
        </w:rPr>
        <w:t>Recommendations Further Study</w:t>
      </w:r>
    </w:p>
    <w:p w14:paraId="7AD597C7" w14:textId="77777777" w:rsidR="007D61C1" w:rsidRPr="007D61C1" w:rsidRDefault="00523C28" w:rsidP="007D61C1">
      <w:pPr>
        <w:spacing w:line="480" w:lineRule="auto"/>
        <w:rPr>
          <w:rFonts w:ascii="Times New Roman" w:hAnsi="Times New Roman" w:cs="Times New Roman"/>
          <w:bCs/>
        </w:rPr>
      </w:pPr>
      <w:r>
        <w:rPr>
          <w:rFonts w:ascii="Times New Roman" w:hAnsi="Times New Roman" w:cs="Times New Roman"/>
          <w:b/>
        </w:rPr>
        <w:tab/>
      </w:r>
      <w:r w:rsidR="007D61C1" w:rsidRPr="007D61C1">
        <w:rPr>
          <w:rFonts w:ascii="Times New Roman" w:hAnsi="Times New Roman" w:cs="Times New Roman"/>
          <w:b/>
          <w:bCs/>
        </w:rPr>
        <w:t> </w:t>
      </w:r>
      <w:r w:rsidR="007D61C1" w:rsidRPr="007D61C1">
        <w:rPr>
          <w:rFonts w:ascii="Times New Roman" w:hAnsi="Times New Roman" w:cs="Times New Roman"/>
          <w:bCs/>
        </w:rPr>
        <w:t>Further study of educational interventions to reduce overall medication costs would be helpful moving forward. Implementing a quick-reference guide within a larger organization may prove difficult; however, it would be interesting to evaluate the tool's effectiveness on a larger scale and over a prolonged period. Furthermore, comparing a physical tool versus an electronic decision support alert would also prove beneficial when deciding which method is more feasible and applicable to various organizations looking to address the number of high-cost medications being ordered. </w:t>
      </w:r>
    </w:p>
    <w:p w14:paraId="5A6E1D7E" w14:textId="6F2CB62F" w:rsidR="00AC727C" w:rsidRDefault="00AC727C" w:rsidP="00BA7C1A">
      <w:pPr>
        <w:spacing w:line="480" w:lineRule="auto"/>
        <w:rPr>
          <w:rFonts w:ascii="Times New Roman" w:hAnsi="Times New Roman" w:cs="Times New Roman"/>
          <w:bCs/>
        </w:rPr>
      </w:pPr>
    </w:p>
    <w:p w14:paraId="0EC29F83" w14:textId="77777777" w:rsidR="005A2820" w:rsidRDefault="005A2820">
      <w:pPr>
        <w:rPr>
          <w:rFonts w:ascii="Times New Roman" w:hAnsi="Times New Roman" w:cs="Times New Roman"/>
          <w:b/>
        </w:rPr>
      </w:pPr>
      <w:r>
        <w:rPr>
          <w:rFonts w:ascii="Times New Roman" w:hAnsi="Times New Roman" w:cs="Times New Roman"/>
          <w:b/>
        </w:rPr>
        <w:br w:type="page"/>
      </w:r>
    </w:p>
    <w:p w14:paraId="1CD13913" w14:textId="531604CA" w:rsidR="00C62821" w:rsidRDefault="00C62821" w:rsidP="00BA7C1A">
      <w:pPr>
        <w:spacing w:line="480" w:lineRule="auto"/>
        <w:rPr>
          <w:rFonts w:ascii="Times New Roman" w:hAnsi="Times New Roman" w:cs="Times New Roman"/>
          <w:b/>
        </w:rPr>
      </w:pPr>
      <w:r w:rsidRPr="006663B7">
        <w:rPr>
          <w:rFonts w:ascii="Times New Roman" w:hAnsi="Times New Roman" w:cs="Times New Roman"/>
          <w:b/>
        </w:rPr>
        <w:lastRenderedPageBreak/>
        <w:t>Final Thoughts</w:t>
      </w:r>
    </w:p>
    <w:p w14:paraId="7AFBA75D" w14:textId="1F02D4FF" w:rsidR="006663B7" w:rsidRPr="006663B7" w:rsidRDefault="006663B7" w:rsidP="00BA7C1A">
      <w:pPr>
        <w:spacing w:line="480" w:lineRule="auto"/>
        <w:rPr>
          <w:rFonts w:ascii="Times New Roman" w:hAnsi="Times New Roman" w:cs="Times New Roman"/>
          <w:bCs/>
        </w:rPr>
      </w:pPr>
      <w:r>
        <w:rPr>
          <w:rFonts w:ascii="Times New Roman" w:hAnsi="Times New Roman" w:cs="Times New Roman"/>
          <w:b/>
        </w:rPr>
        <w:tab/>
      </w:r>
      <w:r w:rsidR="007D61C1" w:rsidRPr="007D61C1">
        <w:rPr>
          <w:rFonts w:ascii="Times New Roman" w:hAnsi="Times New Roman" w:cs="Times New Roman"/>
          <w:bCs/>
        </w:rPr>
        <w:t>Finding creative solutions to reduce cost is more important now than ever before. This project was designed to address the rising cost of medications by developing and applying a quick-reference medication guide. This project hopes that by saving the organization money on medication costs, a reallocation of funds could eventually increase access to hospice services and resources within our rural community. The quick-reference medication guide enables the home care nurse to quickly identify the most affordable medication to effectively manage a patient's symptoms when discussing treatment plans with the provider and inputting medication orders. The tool was developed with the organization's pharmacy team to address a target list of high-cost, frequently ordered medications. The cost savings achieved with the employment of this tool demonstrates its effectiveness and paves the way to improving patient outcomes at the end of life.</w:t>
      </w:r>
    </w:p>
    <w:p w14:paraId="2650FC32" w14:textId="77777777" w:rsidR="00BA7C1A" w:rsidRDefault="00BA7C1A" w:rsidP="00BA7C1A">
      <w:pPr>
        <w:ind w:firstLine="720"/>
        <w:jc w:val="center"/>
        <w:rPr>
          <w:rFonts w:ascii="Times New Roman" w:hAnsi="Times New Roman" w:cs="Times New Roman"/>
          <w:b/>
        </w:rPr>
      </w:pPr>
    </w:p>
    <w:p w14:paraId="0BE7C6C9" w14:textId="77777777" w:rsidR="00BA7C1A" w:rsidRDefault="00BA7C1A" w:rsidP="00BA7C1A">
      <w:pPr>
        <w:ind w:firstLine="720"/>
        <w:jc w:val="center"/>
        <w:rPr>
          <w:rFonts w:ascii="Times New Roman" w:hAnsi="Times New Roman" w:cs="Times New Roman"/>
          <w:b/>
        </w:rPr>
      </w:pPr>
    </w:p>
    <w:p w14:paraId="55C1BE79" w14:textId="77777777" w:rsidR="00BA7C1A" w:rsidRDefault="00BA7C1A" w:rsidP="00BA7C1A">
      <w:pPr>
        <w:ind w:firstLine="720"/>
        <w:jc w:val="center"/>
        <w:rPr>
          <w:rFonts w:ascii="Times New Roman" w:hAnsi="Times New Roman" w:cs="Times New Roman"/>
          <w:b/>
        </w:rPr>
      </w:pPr>
    </w:p>
    <w:p w14:paraId="04B4FD4E" w14:textId="77777777" w:rsidR="00BA7C1A" w:rsidRDefault="00BA7C1A" w:rsidP="00BA7C1A">
      <w:pPr>
        <w:ind w:firstLine="720"/>
        <w:jc w:val="center"/>
        <w:rPr>
          <w:rFonts w:ascii="Times New Roman" w:hAnsi="Times New Roman" w:cs="Times New Roman"/>
          <w:b/>
        </w:rPr>
      </w:pPr>
    </w:p>
    <w:p w14:paraId="2E66488B" w14:textId="77777777" w:rsidR="00BA7C1A" w:rsidRDefault="00BA7C1A" w:rsidP="00BA7C1A">
      <w:pPr>
        <w:ind w:firstLine="720"/>
        <w:jc w:val="center"/>
        <w:rPr>
          <w:rFonts w:ascii="Times New Roman" w:hAnsi="Times New Roman" w:cs="Times New Roman"/>
          <w:b/>
        </w:rPr>
      </w:pPr>
    </w:p>
    <w:p w14:paraId="24F9C09C" w14:textId="77777777" w:rsidR="00BA7C1A" w:rsidRDefault="00BA7C1A" w:rsidP="00BA7C1A">
      <w:pPr>
        <w:ind w:firstLine="720"/>
        <w:jc w:val="center"/>
        <w:rPr>
          <w:rFonts w:ascii="Times New Roman" w:hAnsi="Times New Roman" w:cs="Times New Roman"/>
          <w:b/>
        </w:rPr>
      </w:pPr>
    </w:p>
    <w:p w14:paraId="1C5ED86C" w14:textId="77777777" w:rsidR="00BA7C1A" w:rsidRDefault="00BA7C1A" w:rsidP="00BA7C1A">
      <w:pPr>
        <w:ind w:firstLine="720"/>
        <w:jc w:val="center"/>
        <w:rPr>
          <w:rFonts w:ascii="Times New Roman" w:hAnsi="Times New Roman" w:cs="Times New Roman"/>
          <w:b/>
        </w:rPr>
      </w:pPr>
    </w:p>
    <w:p w14:paraId="7DA1601A" w14:textId="77777777" w:rsidR="00BA7C1A" w:rsidRDefault="00BA7C1A" w:rsidP="00BA7C1A">
      <w:pPr>
        <w:ind w:firstLine="720"/>
        <w:jc w:val="center"/>
        <w:rPr>
          <w:rFonts w:ascii="Times New Roman" w:hAnsi="Times New Roman" w:cs="Times New Roman"/>
          <w:b/>
        </w:rPr>
      </w:pPr>
    </w:p>
    <w:p w14:paraId="32F0C07B" w14:textId="77777777" w:rsidR="00BA7C1A" w:rsidRDefault="00BA7C1A" w:rsidP="00BA7C1A">
      <w:pPr>
        <w:ind w:firstLine="720"/>
        <w:jc w:val="center"/>
        <w:rPr>
          <w:rFonts w:ascii="Times New Roman" w:hAnsi="Times New Roman" w:cs="Times New Roman"/>
          <w:b/>
        </w:rPr>
      </w:pPr>
    </w:p>
    <w:p w14:paraId="5914EC0C" w14:textId="77777777" w:rsidR="00BA7C1A" w:rsidRDefault="00BA7C1A" w:rsidP="00BA7C1A">
      <w:pPr>
        <w:ind w:firstLine="720"/>
        <w:jc w:val="center"/>
        <w:rPr>
          <w:rFonts w:ascii="Times New Roman" w:hAnsi="Times New Roman" w:cs="Times New Roman"/>
          <w:b/>
        </w:rPr>
      </w:pPr>
    </w:p>
    <w:p w14:paraId="12B07F80" w14:textId="77777777" w:rsidR="00BA7C1A" w:rsidRDefault="00BA7C1A" w:rsidP="00BA7C1A">
      <w:pPr>
        <w:ind w:firstLine="720"/>
        <w:jc w:val="center"/>
        <w:rPr>
          <w:rFonts w:ascii="Times New Roman" w:hAnsi="Times New Roman" w:cs="Times New Roman"/>
          <w:b/>
        </w:rPr>
      </w:pPr>
    </w:p>
    <w:p w14:paraId="1817FDA3" w14:textId="77777777" w:rsidR="00BA7C1A" w:rsidRDefault="00BA7C1A" w:rsidP="00BA7C1A">
      <w:pPr>
        <w:ind w:firstLine="720"/>
        <w:jc w:val="center"/>
        <w:rPr>
          <w:rFonts w:ascii="Times New Roman" w:hAnsi="Times New Roman" w:cs="Times New Roman"/>
          <w:b/>
        </w:rPr>
      </w:pPr>
    </w:p>
    <w:p w14:paraId="6B6A092A" w14:textId="77777777" w:rsidR="00BA7C1A" w:rsidRDefault="00BA7C1A" w:rsidP="00BA7C1A">
      <w:pPr>
        <w:ind w:firstLine="720"/>
        <w:jc w:val="center"/>
        <w:rPr>
          <w:rFonts w:ascii="Times New Roman" w:hAnsi="Times New Roman" w:cs="Times New Roman"/>
          <w:b/>
        </w:rPr>
      </w:pPr>
    </w:p>
    <w:p w14:paraId="5DEE7DE0" w14:textId="77777777" w:rsidR="00BA7C1A" w:rsidRDefault="00BA7C1A" w:rsidP="00BA7C1A">
      <w:pPr>
        <w:ind w:firstLine="720"/>
        <w:jc w:val="center"/>
        <w:rPr>
          <w:rFonts w:ascii="Times New Roman" w:hAnsi="Times New Roman" w:cs="Times New Roman"/>
          <w:b/>
        </w:rPr>
      </w:pPr>
    </w:p>
    <w:p w14:paraId="215FF0B0" w14:textId="77777777" w:rsidR="00BA7C1A" w:rsidRDefault="00BA7C1A" w:rsidP="00BA7C1A">
      <w:pPr>
        <w:ind w:firstLine="720"/>
        <w:jc w:val="center"/>
        <w:rPr>
          <w:rFonts w:ascii="Times New Roman" w:hAnsi="Times New Roman" w:cs="Times New Roman"/>
          <w:b/>
        </w:rPr>
      </w:pPr>
    </w:p>
    <w:p w14:paraId="78A16281" w14:textId="77777777" w:rsidR="00BA7C1A" w:rsidRDefault="00BA7C1A" w:rsidP="00BA7C1A">
      <w:pPr>
        <w:ind w:firstLine="720"/>
        <w:jc w:val="center"/>
        <w:rPr>
          <w:rFonts w:ascii="Times New Roman" w:hAnsi="Times New Roman" w:cs="Times New Roman"/>
          <w:b/>
        </w:rPr>
      </w:pPr>
    </w:p>
    <w:p w14:paraId="624CF582" w14:textId="77777777" w:rsidR="00BA7C1A" w:rsidRDefault="00BA7C1A" w:rsidP="00BA7C1A">
      <w:pPr>
        <w:ind w:firstLine="720"/>
        <w:jc w:val="center"/>
        <w:rPr>
          <w:rFonts w:ascii="Times New Roman" w:hAnsi="Times New Roman" w:cs="Times New Roman"/>
          <w:b/>
        </w:rPr>
      </w:pPr>
    </w:p>
    <w:p w14:paraId="3D7365CD" w14:textId="77777777" w:rsidR="00BA7C1A" w:rsidRDefault="00BA7C1A" w:rsidP="00BA7C1A">
      <w:pPr>
        <w:ind w:firstLine="720"/>
        <w:jc w:val="center"/>
        <w:rPr>
          <w:rFonts w:ascii="Times New Roman" w:hAnsi="Times New Roman" w:cs="Times New Roman"/>
          <w:b/>
        </w:rPr>
      </w:pPr>
    </w:p>
    <w:p w14:paraId="0F1540B1" w14:textId="77777777" w:rsidR="00BA7C1A" w:rsidRDefault="00BA7C1A" w:rsidP="00BA7C1A">
      <w:pPr>
        <w:ind w:firstLine="720"/>
        <w:jc w:val="center"/>
        <w:rPr>
          <w:rFonts w:ascii="Times New Roman" w:hAnsi="Times New Roman" w:cs="Times New Roman"/>
          <w:b/>
        </w:rPr>
      </w:pPr>
    </w:p>
    <w:p w14:paraId="3D5F8A43" w14:textId="77777777" w:rsidR="00BA7C1A" w:rsidRDefault="00BA7C1A" w:rsidP="00BA7C1A">
      <w:pPr>
        <w:ind w:firstLine="720"/>
        <w:jc w:val="center"/>
        <w:rPr>
          <w:rFonts w:ascii="Times New Roman" w:hAnsi="Times New Roman" w:cs="Times New Roman"/>
          <w:b/>
        </w:rPr>
      </w:pPr>
    </w:p>
    <w:p w14:paraId="5B64580A" w14:textId="43809ACE" w:rsidR="003330A3" w:rsidRPr="00FE31D3" w:rsidRDefault="00033414" w:rsidP="00FE31D3">
      <w:pPr>
        <w:spacing w:line="480" w:lineRule="auto"/>
        <w:ind w:firstLine="720"/>
        <w:rPr>
          <w:rFonts w:ascii="Times New Roman" w:hAnsi="Times New Roman" w:cs="Times New Roman"/>
          <w:b/>
        </w:rPr>
      </w:pPr>
      <w:r w:rsidRPr="00FF7DC4">
        <w:rPr>
          <w:rFonts w:ascii="Times New Roman" w:hAnsi="Times New Roman" w:cs="Times New Roman"/>
        </w:rPr>
        <w:br w:type="page"/>
      </w:r>
    </w:p>
    <w:p w14:paraId="5389752A" w14:textId="3703CB75" w:rsidR="003330A3" w:rsidRDefault="003330A3" w:rsidP="003330A3">
      <w:pPr>
        <w:spacing w:line="480" w:lineRule="auto"/>
        <w:ind w:left="720" w:hanging="720"/>
        <w:jc w:val="center"/>
        <w:rPr>
          <w:rFonts w:ascii="Times New Roman" w:hAnsi="Times New Roman" w:cs="Times New Roman"/>
          <w:b/>
          <w:bCs/>
        </w:rPr>
      </w:pPr>
      <w:r w:rsidRPr="00FF7DC4">
        <w:rPr>
          <w:rFonts w:ascii="Times New Roman" w:hAnsi="Times New Roman" w:cs="Times New Roman"/>
          <w:b/>
          <w:bCs/>
        </w:rPr>
        <w:lastRenderedPageBreak/>
        <w:t>References</w:t>
      </w:r>
    </w:p>
    <w:p w14:paraId="5F5A4D2A" w14:textId="6F2E99A2" w:rsidR="00740E83" w:rsidRPr="00740E83" w:rsidRDefault="00740E83" w:rsidP="00740E83">
      <w:pPr>
        <w:spacing w:line="480" w:lineRule="auto"/>
        <w:ind w:left="720" w:hanging="720"/>
        <w:rPr>
          <w:rFonts w:ascii="Times New Roman" w:hAnsi="Times New Roman" w:cs="Times New Roman"/>
          <w:i/>
          <w:iCs/>
        </w:rPr>
      </w:pPr>
      <w:r>
        <w:rPr>
          <w:rFonts w:ascii="Times New Roman" w:hAnsi="Times New Roman" w:cs="Times New Roman"/>
        </w:rPr>
        <w:t xml:space="preserve">American Association of Colleges of Nursing (2006). </w:t>
      </w:r>
      <w:r w:rsidRPr="00740E83">
        <w:rPr>
          <w:rFonts w:ascii="Times New Roman" w:hAnsi="Times New Roman" w:cs="Times New Roman"/>
          <w:i/>
          <w:iCs/>
        </w:rPr>
        <w:t xml:space="preserve">The </w:t>
      </w:r>
      <w:r>
        <w:rPr>
          <w:rFonts w:ascii="Times New Roman" w:hAnsi="Times New Roman" w:cs="Times New Roman"/>
          <w:i/>
          <w:iCs/>
        </w:rPr>
        <w:t>E</w:t>
      </w:r>
      <w:r w:rsidRPr="00740E83">
        <w:rPr>
          <w:rFonts w:ascii="Times New Roman" w:hAnsi="Times New Roman" w:cs="Times New Roman"/>
          <w:i/>
          <w:iCs/>
        </w:rPr>
        <w:t>ssentials of</w:t>
      </w:r>
      <w:r>
        <w:rPr>
          <w:rFonts w:ascii="Times New Roman" w:hAnsi="Times New Roman" w:cs="Times New Roman"/>
          <w:i/>
          <w:iCs/>
        </w:rPr>
        <w:t xml:space="preserve"> D</w:t>
      </w:r>
      <w:r w:rsidRPr="00740E83">
        <w:rPr>
          <w:rFonts w:ascii="Times New Roman" w:hAnsi="Times New Roman" w:cs="Times New Roman"/>
          <w:i/>
          <w:iCs/>
        </w:rPr>
        <w:t xml:space="preserve">octoral </w:t>
      </w:r>
      <w:r>
        <w:rPr>
          <w:rFonts w:ascii="Times New Roman" w:hAnsi="Times New Roman" w:cs="Times New Roman"/>
          <w:i/>
          <w:iCs/>
        </w:rPr>
        <w:t>E</w:t>
      </w:r>
      <w:r w:rsidRPr="00740E83">
        <w:rPr>
          <w:rFonts w:ascii="Times New Roman" w:hAnsi="Times New Roman" w:cs="Times New Roman"/>
          <w:i/>
          <w:iCs/>
        </w:rPr>
        <w:t>ducation for</w:t>
      </w:r>
    </w:p>
    <w:p w14:paraId="27A108B1" w14:textId="6ACF6A0F" w:rsidR="00740E83" w:rsidRPr="00740E83" w:rsidRDefault="00740E83" w:rsidP="00740E83">
      <w:pPr>
        <w:spacing w:line="480" w:lineRule="auto"/>
        <w:ind w:left="720"/>
        <w:rPr>
          <w:rFonts w:ascii="Times New Roman" w:hAnsi="Times New Roman" w:cs="Times New Roman"/>
        </w:rPr>
      </w:pPr>
      <w:r>
        <w:rPr>
          <w:rFonts w:ascii="Times New Roman" w:hAnsi="Times New Roman" w:cs="Times New Roman"/>
          <w:i/>
          <w:iCs/>
        </w:rPr>
        <w:t>A</w:t>
      </w:r>
      <w:r w:rsidRPr="00740E83">
        <w:rPr>
          <w:rFonts w:ascii="Times New Roman" w:hAnsi="Times New Roman" w:cs="Times New Roman"/>
          <w:i/>
          <w:iCs/>
        </w:rPr>
        <w:t xml:space="preserve">dvanced </w:t>
      </w:r>
      <w:r>
        <w:rPr>
          <w:rFonts w:ascii="Times New Roman" w:hAnsi="Times New Roman" w:cs="Times New Roman"/>
          <w:i/>
          <w:iCs/>
        </w:rPr>
        <w:t>N</w:t>
      </w:r>
      <w:r w:rsidRPr="00740E83">
        <w:rPr>
          <w:rFonts w:ascii="Times New Roman" w:hAnsi="Times New Roman" w:cs="Times New Roman"/>
          <w:i/>
          <w:iCs/>
        </w:rPr>
        <w:t xml:space="preserve">ursing </w:t>
      </w:r>
      <w:r>
        <w:rPr>
          <w:rFonts w:ascii="Times New Roman" w:hAnsi="Times New Roman" w:cs="Times New Roman"/>
          <w:i/>
          <w:iCs/>
        </w:rPr>
        <w:t>P</w:t>
      </w:r>
      <w:r w:rsidRPr="00740E83">
        <w:rPr>
          <w:rFonts w:ascii="Times New Roman" w:hAnsi="Times New Roman" w:cs="Times New Roman"/>
          <w:i/>
          <w:iCs/>
        </w:rPr>
        <w:t>ractice.</w:t>
      </w:r>
      <w:r>
        <w:rPr>
          <w:rFonts w:ascii="Times New Roman" w:hAnsi="Times New Roman" w:cs="Times New Roman"/>
          <w:i/>
          <w:iCs/>
        </w:rPr>
        <w:t xml:space="preserve"> </w:t>
      </w:r>
      <w:hyperlink r:id="rId8" w:history="1">
        <w:r w:rsidRPr="00740E83">
          <w:rPr>
            <w:rStyle w:val="Hyperlink"/>
            <w:rFonts w:ascii="Times New Roman" w:hAnsi="Times New Roman" w:cs="Times New Roman"/>
          </w:rPr>
          <w:t>https://tinyurl.com/2jb6xknn</w:t>
        </w:r>
      </w:hyperlink>
    </w:p>
    <w:p w14:paraId="3BE475F0" w14:textId="77777777" w:rsidR="006663B7" w:rsidRPr="00FB60D9" w:rsidRDefault="006663B7" w:rsidP="006663B7">
      <w:pPr>
        <w:spacing w:line="480" w:lineRule="auto"/>
        <w:ind w:left="720" w:hanging="720"/>
        <w:rPr>
          <w:rFonts w:ascii="Times New Roman" w:hAnsi="Times New Roman" w:cs="Times New Roman"/>
        </w:rPr>
      </w:pPr>
      <w:proofErr w:type="spellStart"/>
      <w:r w:rsidRPr="00BC2B71">
        <w:rPr>
          <w:rFonts w:ascii="Times New Roman" w:hAnsi="Times New Roman" w:cs="Times New Roman"/>
        </w:rPr>
        <w:t>Arao</w:t>
      </w:r>
      <w:proofErr w:type="spellEnd"/>
      <w:r w:rsidRPr="00BC2B71">
        <w:rPr>
          <w:rFonts w:ascii="Times New Roman" w:hAnsi="Times New Roman" w:cs="Times New Roman"/>
        </w:rPr>
        <w:t xml:space="preserve">, R. K., </w:t>
      </w:r>
      <w:proofErr w:type="gramStart"/>
      <w:r w:rsidRPr="00BC2B71">
        <w:rPr>
          <w:rFonts w:ascii="Times New Roman" w:hAnsi="Times New Roman" w:cs="Times New Roman"/>
        </w:rPr>
        <w:t>O‘</w:t>
      </w:r>
      <w:proofErr w:type="gramEnd"/>
      <w:r w:rsidRPr="00BC2B71">
        <w:rPr>
          <w:rFonts w:ascii="Times New Roman" w:hAnsi="Times New Roman" w:cs="Times New Roman"/>
        </w:rPr>
        <w:t xml:space="preserve">Connor, M. Y., Barrett, T., </w:t>
      </w:r>
      <w:proofErr w:type="spellStart"/>
      <w:r w:rsidRPr="00BC2B71">
        <w:rPr>
          <w:rFonts w:ascii="Times New Roman" w:hAnsi="Times New Roman" w:cs="Times New Roman"/>
        </w:rPr>
        <w:t>Chockalingam</w:t>
      </w:r>
      <w:proofErr w:type="spellEnd"/>
      <w:r w:rsidRPr="00BC2B71">
        <w:rPr>
          <w:rFonts w:ascii="Times New Roman" w:hAnsi="Times New Roman" w:cs="Times New Roman"/>
        </w:rPr>
        <w:t xml:space="preserve">, L., Khan, F., Kumar, A., Leader, A., Leven, E., Power, J. R., </w:t>
      </w:r>
      <w:proofErr w:type="spellStart"/>
      <w:r w:rsidRPr="00BC2B71">
        <w:rPr>
          <w:rFonts w:ascii="Times New Roman" w:hAnsi="Times New Roman" w:cs="Times New Roman"/>
        </w:rPr>
        <w:t>Shuham</w:t>
      </w:r>
      <w:proofErr w:type="spellEnd"/>
      <w:r w:rsidRPr="00BC2B71">
        <w:rPr>
          <w:rFonts w:ascii="Times New Roman" w:hAnsi="Times New Roman" w:cs="Times New Roman"/>
        </w:rPr>
        <w:t xml:space="preserve">, B., Rifkin, R., Thomas, D., </w:t>
      </w:r>
      <w:proofErr w:type="spellStart"/>
      <w:r w:rsidRPr="00BC2B71">
        <w:rPr>
          <w:rFonts w:ascii="Times New Roman" w:hAnsi="Times New Roman" w:cs="Times New Roman"/>
        </w:rPr>
        <w:t>Meah</w:t>
      </w:r>
      <w:proofErr w:type="spellEnd"/>
      <w:r w:rsidRPr="00BC2B71">
        <w:rPr>
          <w:rFonts w:ascii="Times New Roman" w:hAnsi="Times New Roman" w:cs="Times New Roman"/>
        </w:rPr>
        <w:t>, Y., &amp; Shah, B. J. (2017). Strengthening value-based medication management in a free clinic for the uninsured: Quality interventions aimed at reducing costs and enhancing adherence.</w:t>
      </w:r>
      <w:r w:rsidRPr="00BC2B71">
        <w:rPr>
          <w:rFonts w:ascii="Times New Roman" w:hAnsi="Times New Roman" w:cs="Times New Roman"/>
          <w:i/>
          <w:iCs/>
        </w:rPr>
        <w:t> BMJ Open Quality, 6</w:t>
      </w:r>
      <w:r w:rsidRPr="00BC2B71">
        <w:rPr>
          <w:rFonts w:ascii="Times New Roman" w:hAnsi="Times New Roman" w:cs="Times New Roman"/>
        </w:rPr>
        <w:t>(2), e000069-e000069. </w:t>
      </w:r>
      <w:hyperlink r:id="rId9" w:history="1">
        <w:r w:rsidRPr="002F2A26">
          <w:rPr>
            <w:rStyle w:val="Hyperlink"/>
            <w:rFonts w:ascii="Times New Roman" w:hAnsi="Times New Roman" w:cs="Times New Roman"/>
          </w:rPr>
          <w:t>https://tinyurl.com/ys43tdhn</w:t>
        </w:r>
      </w:hyperlink>
    </w:p>
    <w:p w14:paraId="468D4A89" w14:textId="77777777" w:rsidR="006663B7" w:rsidRPr="00FB60D9" w:rsidRDefault="006663B7" w:rsidP="006663B7">
      <w:pPr>
        <w:spacing w:line="480" w:lineRule="auto"/>
        <w:ind w:left="720" w:hanging="720"/>
        <w:rPr>
          <w:rFonts w:ascii="Times New Roman" w:hAnsi="Times New Roman" w:cs="Times New Roman"/>
        </w:rPr>
      </w:pPr>
      <w:r w:rsidRPr="00FB60D9">
        <w:rPr>
          <w:rFonts w:ascii="Times New Roman" w:hAnsi="Times New Roman" w:cs="Times New Roman"/>
        </w:rPr>
        <w:t>Berwick, D. M., Nolan, T. W., &amp; Whittington, J. (2008). The triple aim: Care, health, and cost.</w:t>
      </w:r>
      <w:r w:rsidRPr="00FB60D9">
        <w:rPr>
          <w:rFonts w:ascii="Times New Roman" w:hAnsi="Times New Roman" w:cs="Times New Roman"/>
          <w:i/>
          <w:iCs/>
        </w:rPr>
        <w:t> Health Affairs, 27</w:t>
      </w:r>
      <w:r w:rsidRPr="00FB60D9">
        <w:rPr>
          <w:rFonts w:ascii="Times New Roman" w:hAnsi="Times New Roman" w:cs="Times New Roman"/>
        </w:rPr>
        <w:t xml:space="preserve">(3), 759-69. </w:t>
      </w:r>
      <w:hyperlink r:id="rId10" w:history="1">
        <w:r w:rsidRPr="002F2A26">
          <w:rPr>
            <w:rStyle w:val="Hyperlink"/>
            <w:rFonts w:ascii="Times New Roman" w:hAnsi="Times New Roman" w:cs="Times New Roman"/>
          </w:rPr>
          <w:t>https://tinyurl.com/yckhkev8</w:t>
        </w:r>
      </w:hyperlink>
    </w:p>
    <w:p w14:paraId="35713526" w14:textId="77777777" w:rsidR="006663B7" w:rsidRPr="00FB60D9" w:rsidRDefault="006663B7" w:rsidP="006663B7">
      <w:pPr>
        <w:spacing w:line="480" w:lineRule="auto"/>
        <w:ind w:left="720" w:hanging="720"/>
        <w:rPr>
          <w:rFonts w:ascii="Times New Roman" w:hAnsi="Times New Roman" w:cs="Times New Roman"/>
        </w:rPr>
      </w:pPr>
      <w:proofErr w:type="spellStart"/>
      <w:r w:rsidRPr="00BC2B71">
        <w:rPr>
          <w:rFonts w:ascii="Times New Roman" w:hAnsi="Times New Roman" w:cs="Times New Roman"/>
        </w:rPr>
        <w:t>Bourcier</w:t>
      </w:r>
      <w:proofErr w:type="spellEnd"/>
      <w:r w:rsidRPr="00BC2B71">
        <w:rPr>
          <w:rFonts w:ascii="Times New Roman" w:hAnsi="Times New Roman" w:cs="Times New Roman"/>
        </w:rPr>
        <w:t xml:space="preserve">, E., </w:t>
      </w:r>
      <w:proofErr w:type="spellStart"/>
      <w:r w:rsidRPr="00BC2B71">
        <w:rPr>
          <w:rFonts w:ascii="Times New Roman" w:hAnsi="Times New Roman" w:cs="Times New Roman"/>
        </w:rPr>
        <w:t>Korb-Savoldelli</w:t>
      </w:r>
      <w:proofErr w:type="spellEnd"/>
      <w:r w:rsidRPr="00BC2B71">
        <w:rPr>
          <w:rFonts w:ascii="Times New Roman" w:hAnsi="Times New Roman" w:cs="Times New Roman"/>
        </w:rPr>
        <w:t xml:space="preserve">, V., </w:t>
      </w:r>
      <w:proofErr w:type="spellStart"/>
      <w:r w:rsidRPr="00BC2B71">
        <w:rPr>
          <w:rFonts w:ascii="Times New Roman" w:hAnsi="Times New Roman" w:cs="Times New Roman"/>
        </w:rPr>
        <w:t>Hejblum</w:t>
      </w:r>
      <w:proofErr w:type="spellEnd"/>
      <w:r w:rsidRPr="00BC2B71">
        <w:rPr>
          <w:rFonts w:ascii="Times New Roman" w:hAnsi="Times New Roman" w:cs="Times New Roman"/>
        </w:rPr>
        <w:t xml:space="preserve">, G., Fernandez, C., &amp; </w:t>
      </w:r>
      <w:proofErr w:type="spellStart"/>
      <w:r w:rsidRPr="00BC2B71">
        <w:rPr>
          <w:rFonts w:ascii="Times New Roman" w:hAnsi="Times New Roman" w:cs="Times New Roman"/>
        </w:rPr>
        <w:t>Hindlet</w:t>
      </w:r>
      <w:proofErr w:type="spellEnd"/>
      <w:r w:rsidRPr="00BC2B71">
        <w:rPr>
          <w:rFonts w:ascii="Times New Roman" w:hAnsi="Times New Roman" w:cs="Times New Roman"/>
        </w:rPr>
        <w:t>, P. (2018). A systematic review of regulatory and educational interventions to reduce the burden associated with the prescriptions of sedative-hypnotics in adults treated for sleep disorders.</w:t>
      </w:r>
      <w:r w:rsidRPr="00BC2B71">
        <w:rPr>
          <w:rFonts w:ascii="Times New Roman" w:hAnsi="Times New Roman" w:cs="Times New Roman"/>
          <w:i/>
          <w:iCs/>
        </w:rPr>
        <w:t> </w:t>
      </w:r>
      <w:proofErr w:type="spellStart"/>
      <w:r w:rsidRPr="00BC2B71">
        <w:rPr>
          <w:rFonts w:ascii="Times New Roman" w:hAnsi="Times New Roman" w:cs="Times New Roman"/>
          <w:i/>
          <w:iCs/>
        </w:rPr>
        <w:t>PloS</w:t>
      </w:r>
      <w:proofErr w:type="spellEnd"/>
      <w:r w:rsidRPr="00BC2B71">
        <w:rPr>
          <w:rFonts w:ascii="Times New Roman" w:hAnsi="Times New Roman" w:cs="Times New Roman"/>
          <w:i/>
          <w:iCs/>
        </w:rPr>
        <w:t xml:space="preserve"> One, 13</w:t>
      </w:r>
      <w:r w:rsidRPr="00BC2B71">
        <w:rPr>
          <w:rFonts w:ascii="Times New Roman" w:hAnsi="Times New Roman" w:cs="Times New Roman"/>
        </w:rPr>
        <w:t>(1), e0191211</w:t>
      </w:r>
      <w:r w:rsidRPr="00FB60D9">
        <w:rPr>
          <w:rFonts w:ascii="Times New Roman" w:hAnsi="Times New Roman" w:cs="Times New Roman"/>
        </w:rPr>
        <w:t>-</w:t>
      </w:r>
      <w:r w:rsidRPr="00BC2B71">
        <w:rPr>
          <w:rFonts w:ascii="Times New Roman" w:hAnsi="Times New Roman" w:cs="Times New Roman"/>
        </w:rPr>
        <w:t>e0191211.</w:t>
      </w:r>
      <w:r w:rsidRPr="00FB60D9">
        <w:rPr>
          <w:rFonts w:ascii="Times New Roman" w:hAnsi="Times New Roman" w:cs="Times New Roman"/>
        </w:rPr>
        <w:t xml:space="preserve"> </w:t>
      </w:r>
      <w:hyperlink r:id="rId11" w:history="1">
        <w:r w:rsidRPr="00FB60D9">
          <w:rPr>
            <w:rStyle w:val="Hyperlink"/>
            <w:rFonts w:ascii="Times New Roman" w:hAnsi="Times New Roman" w:cs="Times New Roman"/>
          </w:rPr>
          <w:t>https://tinyurl.com/yc77w47h</w:t>
        </w:r>
      </w:hyperlink>
      <w:r w:rsidRPr="00FB60D9">
        <w:rPr>
          <w:rFonts w:ascii="Times New Roman" w:hAnsi="Times New Roman" w:cs="Times New Roman"/>
        </w:rPr>
        <w:t xml:space="preserve"> </w:t>
      </w:r>
    </w:p>
    <w:p w14:paraId="5310C24E" w14:textId="77777777" w:rsidR="006663B7" w:rsidRPr="00FB60D9" w:rsidRDefault="006663B7" w:rsidP="006663B7">
      <w:pPr>
        <w:spacing w:line="480" w:lineRule="auto"/>
        <w:ind w:left="720" w:hanging="720"/>
        <w:rPr>
          <w:rFonts w:ascii="Times New Roman" w:hAnsi="Times New Roman" w:cs="Times New Roman"/>
        </w:rPr>
      </w:pPr>
      <w:r w:rsidRPr="00FB60D9">
        <w:rPr>
          <w:rFonts w:ascii="Times New Roman" w:hAnsi="Times New Roman" w:cs="Times New Roman"/>
        </w:rPr>
        <w:t>Brock, C., Cooper, S., &amp; Herndon, C. M. (2017). An educational intervention to decrease drug costs related to terminal secretions in a hospice organization. </w:t>
      </w:r>
      <w:r w:rsidRPr="00FB60D9">
        <w:rPr>
          <w:rFonts w:ascii="Times New Roman" w:hAnsi="Times New Roman" w:cs="Times New Roman"/>
          <w:i/>
          <w:iCs/>
        </w:rPr>
        <w:t>Journal of Pain &amp; Palliative Care Pharmacotherapy</w:t>
      </w:r>
      <w:r w:rsidRPr="00FB60D9">
        <w:rPr>
          <w:rFonts w:ascii="Times New Roman" w:hAnsi="Times New Roman" w:cs="Times New Roman"/>
        </w:rPr>
        <w:t>, </w:t>
      </w:r>
      <w:r w:rsidRPr="00FB60D9">
        <w:rPr>
          <w:rFonts w:ascii="Times New Roman" w:hAnsi="Times New Roman" w:cs="Times New Roman"/>
          <w:i/>
          <w:iCs/>
        </w:rPr>
        <w:t>31</w:t>
      </w:r>
      <w:r w:rsidRPr="00FB60D9">
        <w:rPr>
          <w:rFonts w:ascii="Times New Roman" w:hAnsi="Times New Roman" w:cs="Times New Roman"/>
        </w:rPr>
        <w:t xml:space="preserve">(1), 66–70. </w:t>
      </w:r>
      <w:hyperlink r:id="rId12" w:history="1">
        <w:r w:rsidRPr="00FB60D9">
          <w:rPr>
            <w:rStyle w:val="Hyperlink"/>
            <w:rFonts w:ascii="Times New Roman" w:hAnsi="Times New Roman" w:cs="Times New Roman"/>
          </w:rPr>
          <w:t>https://tinyurl.com/2jt22snb</w:t>
        </w:r>
      </w:hyperlink>
    </w:p>
    <w:p w14:paraId="44FAF976" w14:textId="77777777" w:rsidR="006663B7" w:rsidRPr="00FB60D9" w:rsidRDefault="006663B7" w:rsidP="006663B7">
      <w:pPr>
        <w:spacing w:line="480" w:lineRule="auto"/>
        <w:ind w:left="720" w:hanging="720"/>
        <w:rPr>
          <w:rFonts w:ascii="Times New Roman" w:hAnsi="Times New Roman" w:cs="Times New Roman"/>
        </w:rPr>
      </w:pPr>
      <w:r w:rsidRPr="00FB60D9">
        <w:rPr>
          <w:rFonts w:ascii="Times New Roman" w:hAnsi="Times New Roman" w:cs="Times New Roman"/>
        </w:rPr>
        <w:t xml:space="preserve">Centers for Medicare &amp; Medicaid Services (2020). </w:t>
      </w:r>
      <w:r w:rsidRPr="00FB60D9">
        <w:rPr>
          <w:rFonts w:ascii="Times New Roman" w:hAnsi="Times New Roman" w:cs="Times New Roman"/>
          <w:i/>
          <w:iCs/>
        </w:rPr>
        <w:t>Provider enrollment and certification QAPI.</w:t>
      </w:r>
      <w:r w:rsidRPr="00FB60D9">
        <w:rPr>
          <w:rFonts w:ascii="Times New Roman" w:hAnsi="Times New Roman" w:cs="Times New Roman"/>
        </w:rPr>
        <w:t xml:space="preserve"> Retrieved from PDSA Cycle Template: </w:t>
      </w:r>
      <w:hyperlink r:id="rId13" w:history="1">
        <w:r w:rsidRPr="00FB60D9">
          <w:rPr>
            <w:rStyle w:val="Hyperlink"/>
            <w:rFonts w:ascii="Times New Roman" w:hAnsi="Times New Roman" w:cs="Times New Roman"/>
          </w:rPr>
          <w:t>https://tinyurl.com/2p85t3ut</w:t>
        </w:r>
      </w:hyperlink>
    </w:p>
    <w:p w14:paraId="6B40F683" w14:textId="77777777" w:rsidR="006663B7" w:rsidRPr="00FB60D9" w:rsidRDefault="006663B7" w:rsidP="006663B7">
      <w:pPr>
        <w:spacing w:line="480" w:lineRule="auto"/>
        <w:ind w:left="720" w:hanging="720"/>
        <w:rPr>
          <w:rFonts w:ascii="Times New Roman" w:hAnsi="Times New Roman" w:cs="Times New Roman"/>
        </w:rPr>
      </w:pPr>
      <w:r w:rsidRPr="00FB60D9">
        <w:rPr>
          <w:rFonts w:ascii="Times New Roman" w:hAnsi="Times New Roman" w:cs="Times New Roman"/>
        </w:rPr>
        <w:t xml:space="preserve">Centers for Medicare &amp; Medicaid Services, Department of Health and Human Services (2021). </w:t>
      </w:r>
      <w:r w:rsidRPr="00FB60D9">
        <w:rPr>
          <w:rFonts w:ascii="Times New Roman" w:hAnsi="Times New Roman" w:cs="Times New Roman"/>
          <w:i/>
          <w:iCs/>
        </w:rPr>
        <w:t xml:space="preserve">Medicare program; FY 2022 hospice wage index and payment rate update, hospice conditions of participation updates, </w:t>
      </w:r>
      <w:proofErr w:type="gramStart"/>
      <w:r w:rsidRPr="00FB60D9">
        <w:rPr>
          <w:rFonts w:ascii="Times New Roman" w:hAnsi="Times New Roman" w:cs="Times New Roman"/>
          <w:i/>
          <w:iCs/>
        </w:rPr>
        <w:t>hospice</w:t>
      </w:r>
      <w:proofErr w:type="gramEnd"/>
      <w:r w:rsidRPr="00FB60D9">
        <w:rPr>
          <w:rFonts w:ascii="Times New Roman" w:hAnsi="Times New Roman" w:cs="Times New Roman"/>
          <w:i/>
          <w:iCs/>
        </w:rPr>
        <w:t xml:space="preserve"> and home health quality reporting program requirements. Federal Register. 86</w:t>
      </w:r>
      <w:r w:rsidRPr="00FB60D9">
        <w:rPr>
          <w:rFonts w:ascii="Times New Roman" w:hAnsi="Times New Roman" w:cs="Times New Roman"/>
        </w:rPr>
        <w:t xml:space="preserve"> (70). 19715-19717. </w:t>
      </w:r>
      <w:hyperlink r:id="rId14" w:history="1">
        <w:r w:rsidRPr="00FB60D9">
          <w:rPr>
            <w:rStyle w:val="Hyperlink"/>
            <w:rFonts w:ascii="Times New Roman" w:hAnsi="Times New Roman" w:cs="Times New Roman"/>
          </w:rPr>
          <w:t>https://tinyurl.com/2p95h68t</w:t>
        </w:r>
      </w:hyperlink>
    </w:p>
    <w:p w14:paraId="363DE6D8" w14:textId="77777777" w:rsidR="006663B7" w:rsidRPr="00FB60D9" w:rsidRDefault="006663B7" w:rsidP="006663B7">
      <w:pPr>
        <w:spacing w:line="480" w:lineRule="auto"/>
        <w:ind w:left="720" w:hanging="720"/>
        <w:rPr>
          <w:rFonts w:ascii="Times New Roman" w:eastAsia="Times New Roman" w:hAnsi="Times New Roman" w:cs="Times New Roman"/>
        </w:rPr>
      </w:pPr>
      <w:r w:rsidRPr="00FB60D9">
        <w:rPr>
          <w:rFonts w:ascii="Times New Roman" w:eastAsia="Times New Roman" w:hAnsi="Times New Roman" w:cs="Times New Roman"/>
        </w:rPr>
        <w:lastRenderedPageBreak/>
        <w:t xml:space="preserve">Crowfoot, D., &amp; Prasad, V. (2017). Using the plan–do–study–act (PDSA) cycle to make change in general practice. </w:t>
      </w:r>
      <w:r w:rsidRPr="00FB60D9">
        <w:rPr>
          <w:rFonts w:ascii="Times New Roman" w:eastAsia="Times New Roman" w:hAnsi="Times New Roman" w:cs="Times New Roman"/>
          <w:i/>
          <w:iCs/>
        </w:rPr>
        <w:t>InnovAiT: Education and Inspiration for General Practice, 10</w:t>
      </w:r>
      <w:r w:rsidRPr="00FB60D9">
        <w:rPr>
          <w:rFonts w:ascii="Times New Roman" w:eastAsia="Times New Roman" w:hAnsi="Times New Roman" w:cs="Times New Roman"/>
        </w:rPr>
        <w:t xml:space="preserve">(7), 425-430. </w:t>
      </w:r>
      <w:hyperlink r:id="rId15" w:history="1">
        <w:r w:rsidRPr="002F2A26">
          <w:rPr>
            <w:rStyle w:val="Hyperlink"/>
            <w:rFonts w:ascii="Times New Roman" w:hAnsi="Times New Roman" w:cs="Times New Roman"/>
          </w:rPr>
          <w:t>https://tinyurl.com/88e2b4f3</w:t>
        </w:r>
      </w:hyperlink>
    </w:p>
    <w:p w14:paraId="7FCDABA1" w14:textId="77777777" w:rsidR="006663B7" w:rsidRPr="00FB60D9" w:rsidRDefault="006663B7" w:rsidP="006663B7">
      <w:pPr>
        <w:spacing w:line="480" w:lineRule="auto"/>
        <w:ind w:left="720" w:hanging="720"/>
        <w:rPr>
          <w:rFonts w:ascii="Times New Roman" w:eastAsia="Times New Roman" w:hAnsi="Times New Roman" w:cs="Times New Roman"/>
        </w:rPr>
      </w:pPr>
      <w:r w:rsidRPr="00FB60D9">
        <w:rPr>
          <w:rFonts w:ascii="Times New Roman" w:eastAsia="Times New Roman" w:hAnsi="Times New Roman" w:cs="Times New Roman"/>
        </w:rPr>
        <w:t xml:space="preserve">Deming, W. E. (1991). </w:t>
      </w:r>
      <w:r w:rsidRPr="00FB60D9">
        <w:rPr>
          <w:rFonts w:ascii="Times New Roman" w:eastAsia="Times New Roman" w:hAnsi="Times New Roman" w:cs="Times New Roman"/>
          <w:i/>
          <w:iCs/>
        </w:rPr>
        <w:t>Out of the Crisis, 1986</w:t>
      </w:r>
      <w:r w:rsidRPr="00FB60D9">
        <w:rPr>
          <w:rFonts w:ascii="Times New Roman" w:eastAsia="Times New Roman" w:hAnsi="Times New Roman" w:cs="Times New Roman"/>
        </w:rPr>
        <w:t xml:space="preserve">. Cambridge, MA: Massachusetts Institute of Technology Center for Advanced Engineering Study, 13, 507. </w:t>
      </w:r>
    </w:p>
    <w:p w14:paraId="103E446A" w14:textId="77777777" w:rsidR="006663B7" w:rsidRPr="00FB60D9" w:rsidRDefault="006663B7" w:rsidP="006663B7">
      <w:pPr>
        <w:spacing w:line="480" w:lineRule="auto"/>
        <w:ind w:left="720" w:hanging="720"/>
        <w:rPr>
          <w:rFonts w:ascii="Times New Roman" w:eastAsia="Times New Roman" w:hAnsi="Times New Roman" w:cs="Times New Roman"/>
        </w:rPr>
      </w:pPr>
      <w:r w:rsidRPr="00FB60D9">
        <w:rPr>
          <w:rFonts w:ascii="Times New Roman" w:eastAsia="Times New Roman" w:hAnsi="Times New Roman" w:cs="Times New Roman"/>
        </w:rPr>
        <w:t xml:space="preserve">Johnson, S. T., </w:t>
      </w:r>
      <w:proofErr w:type="spellStart"/>
      <w:r w:rsidRPr="00FB60D9">
        <w:rPr>
          <w:rFonts w:ascii="Times New Roman" w:eastAsia="Times New Roman" w:hAnsi="Times New Roman" w:cs="Times New Roman"/>
        </w:rPr>
        <w:t>Gosser</w:t>
      </w:r>
      <w:proofErr w:type="spellEnd"/>
      <w:r w:rsidRPr="00FB60D9">
        <w:rPr>
          <w:rFonts w:ascii="Times New Roman" w:eastAsia="Times New Roman" w:hAnsi="Times New Roman" w:cs="Times New Roman"/>
        </w:rPr>
        <w:t xml:space="preserve">, R. A., Kier, K. L., Anderson, K. C., Douglas, J. S., </w:t>
      </w:r>
      <w:proofErr w:type="spellStart"/>
      <w:r w:rsidRPr="00FB60D9">
        <w:rPr>
          <w:rFonts w:ascii="Times New Roman" w:eastAsia="Times New Roman" w:hAnsi="Times New Roman" w:cs="Times New Roman"/>
        </w:rPr>
        <w:t>Heindel</w:t>
      </w:r>
      <w:proofErr w:type="spellEnd"/>
      <w:r w:rsidRPr="00FB60D9">
        <w:rPr>
          <w:rFonts w:ascii="Times New Roman" w:eastAsia="Times New Roman" w:hAnsi="Times New Roman" w:cs="Times New Roman"/>
        </w:rPr>
        <w:t xml:space="preserve">, G. A., </w:t>
      </w:r>
      <w:proofErr w:type="spellStart"/>
      <w:r w:rsidRPr="00FB60D9">
        <w:rPr>
          <w:rFonts w:ascii="Times New Roman" w:eastAsia="Times New Roman" w:hAnsi="Times New Roman" w:cs="Times New Roman"/>
        </w:rPr>
        <w:t>Majerczyk</w:t>
      </w:r>
      <w:proofErr w:type="spellEnd"/>
      <w:r w:rsidRPr="00FB60D9">
        <w:rPr>
          <w:rFonts w:ascii="Times New Roman" w:eastAsia="Times New Roman" w:hAnsi="Times New Roman" w:cs="Times New Roman"/>
        </w:rPr>
        <w:t xml:space="preserve">, D., </w:t>
      </w:r>
      <w:proofErr w:type="spellStart"/>
      <w:r w:rsidRPr="00FB60D9">
        <w:rPr>
          <w:rFonts w:ascii="Times New Roman" w:eastAsia="Times New Roman" w:hAnsi="Times New Roman" w:cs="Times New Roman"/>
        </w:rPr>
        <w:t>Manian</w:t>
      </w:r>
      <w:proofErr w:type="spellEnd"/>
      <w:r w:rsidRPr="00FB60D9">
        <w:rPr>
          <w:rFonts w:ascii="Times New Roman" w:eastAsia="Times New Roman" w:hAnsi="Times New Roman" w:cs="Times New Roman"/>
        </w:rPr>
        <w:t xml:space="preserve">, R., &amp; </w:t>
      </w:r>
      <w:proofErr w:type="spellStart"/>
      <w:r w:rsidRPr="00FB60D9">
        <w:rPr>
          <w:rFonts w:ascii="Times New Roman" w:eastAsia="Times New Roman" w:hAnsi="Times New Roman" w:cs="Times New Roman"/>
        </w:rPr>
        <w:t>Thornby</w:t>
      </w:r>
      <w:proofErr w:type="spellEnd"/>
      <w:r w:rsidRPr="00FB60D9">
        <w:rPr>
          <w:rFonts w:ascii="Times New Roman" w:eastAsia="Times New Roman" w:hAnsi="Times New Roman" w:cs="Times New Roman"/>
        </w:rPr>
        <w:t xml:space="preserve">, K. (2021). Formulary management challenges and opportunities: 2020 and beyond ‐ an opinion paper of the drug information practice and research network of the American College of Clinical Pharmacy. </w:t>
      </w:r>
      <w:r w:rsidRPr="00FB60D9">
        <w:rPr>
          <w:rFonts w:ascii="Times New Roman" w:eastAsia="Times New Roman" w:hAnsi="Times New Roman" w:cs="Times New Roman"/>
          <w:i/>
          <w:iCs/>
        </w:rPr>
        <w:t>Journal of the American College of Clinical Pharmacy, 4</w:t>
      </w:r>
      <w:r w:rsidRPr="00FB60D9">
        <w:rPr>
          <w:rFonts w:ascii="Times New Roman" w:eastAsia="Times New Roman" w:hAnsi="Times New Roman" w:cs="Times New Roman"/>
        </w:rPr>
        <w:t xml:space="preserve">(1), 81-91. </w:t>
      </w:r>
      <w:hyperlink r:id="rId16" w:history="1">
        <w:r w:rsidRPr="00FB60D9">
          <w:rPr>
            <w:rStyle w:val="Hyperlink"/>
            <w:rFonts w:ascii="Times New Roman" w:hAnsi="Times New Roman" w:cs="Times New Roman"/>
          </w:rPr>
          <w:t>https://tinyurl.com/36ej56zs</w:t>
        </w:r>
      </w:hyperlink>
    </w:p>
    <w:p w14:paraId="3FD352FA" w14:textId="77777777" w:rsidR="006663B7" w:rsidRPr="00FB60D9" w:rsidRDefault="006663B7" w:rsidP="006663B7">
      <w:pPr>
        <w:spacing w:line="480" w:lineRule="auto"/>
        <w:ind w:left="720" w:hanging="720"/>
        <w:rPr>
          <w:rFonts w:ascii="Times New Roman" w:eastAsia="Times New Roman" w:hAnsi="Times New Roman" w:cs="Times New Roman"/>
        </w:rPr>
      </w:pPr>
      <w:proofErr w:type="spellStart"/>
      <w:r w:rsidRPr="00FB60D9">
        <w:rPr>
          <w:rFonts w:ascii="Times New Roman" w:eastAsia="Times New Roman" w:hAnsi="Times New Roman" w:cs="Times New Roman"/>
        </w:rPr>
        <w:t>Keedy</w:t>
      </w:r>
      <w:proofErr w:type="spellEnd"/>
      <w:r w:rsidRPr="00FB60D9">
        <w:rPr>
          <w:rFonts w:ascii="Times New Roman" w:eastAsia="Times New Roman" w:hAnsi="Times New Roman" w:cs="Times New Roman"/>
        </w:rPr>
        <w:t xml:space="preserve">, C. A., </w:t>
      </w:r>
      <w:proofErr w:type="spellStart"/>
      <w:r w:rsidRPr="00FB60D9">
        <w:rPr>
          <w:rFonts w:ascii="Times New Roman" w:eastAsia="Times New Roman" w:hAnsi="Times New Roman" w:cs="Times New Roman"/>
        </w:rPr>
        <w:t>Schnibben</w:t>
      </w:r>
      <w:proofErr w:type="spellEnd"/>
      <w:r w:rsidRPr="00FB60D9">
        <w:rPr>
          <w:rFonts w:ascii="Times New Roman" w:eastAsia="Times New Roman" w:hAnsi="Times New Roman" w:cs="Times New Roman"/>
        </w:rPr>
        <w:t xml:space="preserve">, A. P., Crosby, J. F., McGlasson, A. C. L., &amp; </w:t>
      </w:r>
      <w:proofErr w:type="spellStart"/>
      <w:r w:rsidRPr="00FB60D9">
        <w:rPr>
          <w:rFonts w:ascii="Times New Roman" w:eastAsia="Times New Roman" w:hAnsi="Times New Roman" w:cs="Times New Roman"/>
        </w:rPr>
        <w:t>Misher</w:t>
      </w:r>
      <w:proofErr w:type="spellEnd"/>
      <w:r w:rsidRPr="00FB60D9">
        <w:rPr>
          <w:rFonts w:ascii="Times New Roman" w:eastAsia="Times New Roman" w:hAnsi="Times New Roman" w:cs="Times New Roman"/>
        </w:rPr>
        <w:t>, A. (2018). Implementation of a pharmacist-driven formulary management service within a community health-system insurance plan.</w:t>
      </w:r>
      <w:r w:rsidRPr="00FB60D9">
        <w:rPr>
          <w:rFonts w:ascii="Times New Roman" w:eastAsia="Times New Roman" w:hAnsi="Times New Roman" w:cs="Times New Roman"/>
          <w:i/>
          <w:iCs/>
        </w:rPr>
        <w:t> American Journal of Health-System Pharmacy, 75</w:t>
      </w:r>
      <w:r w:rsidRPr="00FB60D9">
        <w:rPr>
          <w:rFonts w:ascii="Times New Roman" w:eastAsia="Times New Roman" w:hAnsi="Times New Roman" w:cs="Times New Roman"/>
        </w:rPr>
        <w:t>(23), 1854-1856. </w:t>
      </w:r>
      <w:hyperlink r:id="rId17" w:history="1">
        <w:r w:rsidRPr="002F2A26">
          <w:rPr>
            <w:rStyle w:val="Hyperlink"/>
            <w:rFonts w:ascii="Times New Roman" w:hAnsi="Times New Roman" w:cs="Times New Roman"/>
          </w:rPr>
          <w:t>https://tinyurl.com/yz3urp5n</w:t>
        </w:r>
      </w:hyperlink>
    </w:p>
    <w:p w14:paraId="29230AB4" w14:textId="77777777" w:rsidR="006663B7" w:rsidRPr="00FB60D9" w:rsidRDefault="006663B7" w:rsidP="006663B7">
      <w:pPr>
        <w:spacing w:line="480" w:lineRule="auto"/>
        <w:ind w:left="720" w:hanging="720"/>
        <w:rPr>
          <w:rFonts w:ascii="Times New Roman" w:hAnsi="Times New Roman" w:cs="Times New Roman"/>
        </w:rPr>
      </w:pPr>
      <w:proofErr w:type="spellStart"/>
      <w:r w:rsidRPr="00FB60D9">
        <w:rPr>
          <w:rFonts w:ascii="Times New Roman" w:hAnsi="Times New Roman" w:cs="Times New Roman"/>
        </w:rPr>
        <w:t>Loborec</w:t>
      </w:r>
      <w:proofErr w:type="spellEnd"/>
      <w:r w:rsidRPr="00FB60D9">
        <w:rPr>
          <w:rFonts w:ascii="Times New Roman" w:hAnsi="Times New Roman" w:cs="Times New Roman"/>
        </w:rPr>
        <w:t xml:space="preserve">, S. M., Johnson, S. E., &amp; Keating, E. A. (2016). Financial effect of converting ipratropium-albuterol therapy from inhalers to nebulizer treatments at an academic health system. </w:t>
      </w:r>
      <w:r w:rsidRPr="00FB60D9">
        <w:rPr>
          <w:rFonts w:ascii="Times New Roman" w:hAnsi="Times New Roman" w:cs="Times New Roman"/>
          <w:i/>
          <w:iCs/>
        </w:rPr>
        <w:t>American Journal of Health-System Pharmacy, 73</w:t>
      </w:r>
      <w:r w:rsidRPr="00FB60D9">
        <w:rPr>
          <w:rFonts w:ascii="Times New Roman" w:hAnsi="Times New Roman" w:cs="Times New Roman"/>
        </w:rPr>
        <w:t xml:space="preserve">(3), 121–125. </w:t>
      </w:r>
      <w:hyperlink r:id="rId18" w:history="1">
        <w:r w:rsidRPr="002F2A26">
          <w:rPr>
            <w:rStyle w:val="Hyperlink"/>
            <w:rFonts w:ascii="Times New Roman" w:hAnsi="Times New Roman" w:cs="Times New Roman"/>
          </w:rPr>
          <w:t>https://tinyurl.com/2p9xdw8p</w:t>
        </w:r>
      </w:hyperlink>
    </w:p>
    <w:p w14:paraId="405E529D" w14:textId="77777777" w:rsidR="006663B7" w:rsidRPr="00FB60D9" w:rsidRDefault="006663B7" w:rsidP="006663B7">
      <w:pPr>
        <w:spacing w:line="480" w:lineRule="auto"/>
        <w:ind w:left="720" w:hanging="720"/>
        <w:rPr>
          <w:rFonts w:ascii="Times New Roman" w:hAnsi="Times New Roman" w:cs="Times New Roman"/>
        </w:rPr>
      </w:pPr>
      <w:r w:rsidRPr="00FB60D9">
        <w:rPr>
          <w:rFonts w:ascii="Times New Roman" w:hAnsi="Times New Roman" w:cs="Times New Roman"/>
        </w:rPr>
        <w:t>Lord-</w:t>
      </w:r>
      <w:proofErr w:type="spellStart"/>
      <w:r w:rsidRPr="00FB60D9">
        <w:rPr>
          <w:rFonts w:ascii="Times New Roman" w:hAnsi="Times New Roman" w:cs="Times New Roman"/>
        </w:rPr>
        <w:t>Adem</w:t>
      </w:r>
      <w:proofErr w:type="spellEnd"/>
      <w:r w:rsidRPr="00FB60D9">
        <w:rPr>
          <w:rFonts w:ascii="Times New Roman" w:hAnsi="Times New Roman" w:cs="Times New Roman"/>
        </w:rPr>
        <w:t xml:space="preserve">, W., &amp; Brandt, N. J. (2017). Clinical alerts to decrease high-risk medication use in older adults. </w:t>
      </w:r>
      <w:r w:rsidRPr="00FB60D9">
        <w:rPr>
          <w:rFonts w:ascii="Times New Roman" w:hAnsi="Times New Roman" w:cs="Times New Roman"/>
          <w:i/>
          <w:iCs/>
        </w:rPr>
        <w:t>Journal of Gerontological Nursing, 43</w:t>
      </w:r>
      <w:r w:rsidRPr="00FB60D9">
        <w:rPr>
          <w:rFonts w:ascii="Times New Roman" w:hAnsi="Times New Roman" w:cs="Times New Roman"/>
        </w:rPr>
        <w:t xml:space="preserve">(7), 7-12. </w:t>
      </w:r>
      <w:hyperlink r:id="rId19" w:history="1">
        <w:r w:rsidRPr="002F2A26">
          <w:rPr>
            <w:rStyle w:val="Hyperlink"/>
            <w:rFonts w:ascii="Times New Roman" w:hAnsi="Times New Roman" w:cs="Times New Roman"/>
          </w:rPr>
          <w:t>https://tinyurl.com/2p9yjbry</w:t>
        </w:r>
      </w:hyperlink>
    </w:p>
    <w:p w14:paraId="7D9425DA" w14:textId="77777777" w:rsidR="006663B7" w:rsidRPr="00FB60D9" w:rsidRDefault="006663B7" w:rsidP="006663B7">
      <w:pPr>
        <w:spacing w:line="480" w:lineRule="auto"/>
        <w:ind w:left="720" w:hanging="720"/>
        <w:rPr>
          <w:rFonts w:ascii="Times New Roman" w:hAnsi="Times New Roman" w:cs="Times New Roman"/>
        </w:rPr>
      </w:pPr>
      <w:r w:rsidRPr="00FB60D9">
        <w:rPr>
          <w:rFonts w:ascii="Times New Roman" w:hAnsi="Times New Roman" w:cs="Times New Roman"/>
        </w:rPr>
        <w:t xml:space="preserve">Melton, B. L. (2017). Systematic review of medical informatics–supported medication decision making. </w:t>
      </w:r>
      <w:r w:rsidRPr="00FB60D9">
        <w:rPr>
          <w:rFonts w:ascii="Times New Roman" w:hAnsi="Times New Roman" w:cs="Times New Roman"/>
          <w:i/>
          <w:iCs/>
        </w:rPr>
        <w:t>Biomedical Informatics Insights</w:t>
      </w:r>
      <w:r w:rsidRPr="00FB60D9">
        <w:rPr>
          <w:rFonts w:ascii="Times New Roman" w:hAnsi="Times New Roman" w:cs="Times New Roman"/>
        </w:rPr>
        <w:t xml:space="preserve">. </w:t>
      </w:r>
      <w:hyperlink r:id="rId20" w:history="1">
        <w:r w:rsidRPr="002F2A26">
          <w:rPr>
            <w:rStyle w:val="Hyperlink"/>
            <w:rFonts w:ascii="Times New Roman" w:hAnsi="Times New Roman" w:cs="Times New Roman"/>
          </w:rPr>
          <w:t>https://tinyurl.com/bp8etm8z</w:t>
        </w:r>
      </w:hyperlink>
    </w:p>
    <w:p w14:paraId="377D0DB6" w14:textId="77777777" w:rsidR="006663B7" w:rsidRPr="00FB60D9" w:rsidRDefault="006663B7" w:rsidP="006663B7">
      <w:pPr>
        <w:spacing w:line="480" w:lineRule="auto"/>
        <w:ind w:left="720" w:hanging="720"/>
        <w:rPr>
          <w:rFonts w:ascii="Times New Roman" w:hAnsi="Times New Roman" w:cs="Times New Roman"/>
        </w:rPr>
      </w:pPr>
      <w:r w:rsidRPr="00FB60D9">
        <w:rPr>
          <w:rFonts w:ascii="Times New Roman" w:hAnsi="Times New Roman" w:cs="Times New Roman"/>
        </w:rPr>
        <w:lastRenderedPageBreak/>
        <w:t xml:space="preserve">North Carolina Department of Health and Human Services (2020). </w:t>
      </w:r>
      <w:r w:rsidRPr="00FB60D9">
        <w:rPr>
          <w:rFonts w:ascii="Times New Roman" w:hAnsi="Times New Roman" w:cs="Times New Roman"/>
          <w:i/>
          <w:iCs/>
        </w:rPr>
        <w:t>Healthy North Carolina 2030.</w:t>
      </w:r>
      <w:r w:rsidRPr="00FB60D9">
        <w:rPr>
          <w:rFonts w:ascii="Times New Roman" w:hAnsi="Times New Roman" w:cs="Times New Roman"/>
        </w:rPr>
        <w:t xml:space="preserve"> </w:t>
      </w:r>
      <w:hyperlink r:id="rId21" w:history="1">
        <w:r w:rsidRPr="00FB60D9">
          <w:rPr>
            <w:rStyle w:val="Hyperlink"/>
            <w:rFonts w:ascii="Times New Roman" w:hAnsi="Times New Roman" w:cs="Times New Roman"/>
          </w:rPr>
          <w:t>https://tinyurl.com/2p8336xs</w:t>
        </w:r>
      </w:hyperlink>
    </w:p>
    <w:p w14:paraId="5383E026" w14:textId="77777777" w:rsidR="006663B7" w:rsidRPr="00FB60D9" w:rsidRDefault="006663B7" w:rsidP="006663B7">
      <w:pPr>
        <w:spacing w:line="480" w:lineRule="auto"/>
        <w:ind w:left="720" w:hanging="720"/>
        <w:rPr>
          <w:rFonts w:ascii="Times New Roman" w:hAnsi="Times New Roman" w:cs="Times New Roman"/>
        </w:rPr>
      </w:pPr>
      <w:r w:rsidRPr="00BC2B71">
        <w:rPr>
          <w:rFonts w:ascii="Times New Roman" w:hAnsi="Times New Roman" w:cs="Times New Roman"/>
        </w:rPr>
        <w:t>Platt, L., Savage, T. A., &amp; Rajagopal, N. (2020). An intervention to decrease benzodiazepine prescribing by providers in an urban clinic.</w:t>
      </w:r>
      <w:r w:rsidRPr="00BC2B71">
        <w:rPr>
          <w:rFonts w:ascii="Times New Roman" w:hAnsi="Times New Roman" w:cs="Times New Roman"/>
          <w:i/>
          <w:iCs/>
        </w:rPr>
        <w:t> Journal of Psychosocial Nursing and Mental Health Services, 58</w:t>
      </w:r>
      <w:r w:rsidRPr="00BC2B71">
        <w:rPr>
          <w:rFonts w:ascii="Times New Roman" w:hAnsi="Times New Roman" w:cs="Times New Roman"/>
        </w:rPr>
        <w:t>(1), 39-45. </w:t>
      </w:r>
      <w:hyperlink r:id="rId22" w:history="1">
        <w:r w:rsidRPr="002F2A26">
          <w:rPr>
            <w:rStyle w:val="Hyperlink"/>
            <w:rFonts w:ascii="Times New Roman" w:hAnsi="Times New Roman" w:cs="Times New Roman"/>
          </w:rPr>
          <w:t>https://tinyurl.com/mryw9eds</w:t>
        </w:r>
      </w:hyperlink>
      <w:r w:rsidRPr="00FB60D9">
        <w:rPr>
          <w:rFonts w:ascii="Times New Roman" w:hAnsi="Times New Roman" w:cs="Times New Roman"/>
        </w:rPr>
        <w:t xml:space="preserve"> </w:t>
      </w:r>
    </w:p>
    <w:p w14:paraId="053AF444" w14:textId="77777777" w:rsidR="006663B7" w:rsidRPr="00FB60D9" w:rsidRDefault="006663B7" w:rsidP="006663B7">
      <w:pPr>
        <w:spacing w:line="480" w:lineRule="auto"/>
        <w:ind w:left="720" w:hanging="720"/>
        <w:rPr>
          <w:rFonts w:ascii="Times New Roman" w:hAnsi="Times New Roman" w:cs="Times New Roman"/>
        </w:rPr>
      </w:pPr>
      <w:r w:rsidRPr="00FB60D9">
        <w:rPr>
          <w:rFonts w:ascii="Times New Roman" w:hAnsi="Times New Roman" w:cs="Times New Roman"/>
        </w:rPr>
        <w:t xml:space="preserve">Stenner, S. P., Chakravarthy, R., Johnson, K. B., Miller, W. L., Olson, J., </w:t>
      </w:r>
      <w:proofErr w:type="spellStart"/>
      <w:r w:rsidRPr="00FB60D9">
        <w:rPr>
          <w:rFonts w:ascii="Times New Roman" w:hAnsi="Times New Roman" w:cs="Times New Roman"/>
        </w:rPr>
        <w:t>Wickizer</w:t>
      </w:r>
      <w:proofErr w:type="spellEnd"/>
      <w:r w:rsidRPr="00FB60D9">
        <w:rPr>
          <w:rFonts w:ascii="Times New Roman" w:hAnsi="Times New Roman" w:cs="Times New Roman"/>
        </w:rPr>
        <w:t xml:space="preserve">, M., Johnson, N. N., </w:t>
      </w:r>
      <w:proofErr w:type="spellStart"/>
      <w:r w:rsidRPr="00FB60D9">
        <w:rPr>
          <w:rFonts w:ascii="Times New Roman" w:hAnsi="Times New Roman" w:cs="Times New Roman"/>
        </w:rPr>
        <w:t>Ohmer</w:t>
      </w:r>
      <w:proofErr w:type="spellEnd"/>
      <w:r w:rsidRPr="00FB60D9">
        <w:rPr>
          <w:rFonts w:ascii="Times New Roman" w:hAnsi="Times New Roman" w:cs="Times New Roman"/>
        </w:rPr>
        <w:t xml:space="preserve">, R., </w:t>
      </w:r>
      <w:proofErr w:type="spellStart"/>
      <w:r w:rsidRPr="00FB60D9">
        <w:rPr>
          <w:rFonts w:ascii="Times New Roman" w:hAnsi="Times New Roman" w:cs="Times New Roman"/>
        </w:rPr>
        <w:t>Uskavitch</w:t>
      </w:r>
      <w:proofErr w:type="spellEnd"/>
      <w:r w:rsidRPr="00FB60D9">
        <w:rPr>
          <w:rFonts w:ascii="Times New Roman" w:hAnsi="Times New Roman" w:cs="Times New Roman"/>
        </w:rPr>
        <w:t xml:space="preserve">, D. R., Bernard, G. R., Neal, E. B., &amp; Lehmann, C. U. (2016). </w:t>
      </w:r>
      <w:proofErr w:type="spellStart"/>
      <w:r w:rsidRPr="00FB60D9">
        <w:rPr>
          <w:rFonts w:ascii="Times New Roman" w:hAnsi="Times New Roman" w:cs="Times New Roman"/>
        </w:rPr>
        <w:t>Eprescribing</w:t>
      </w:r>
      <w:proofErr w:type="spellEnd"/>
      <w:r w:rsidRPr="00FB60D9">
        <w:rPr>
          <w:rFonts w:ascii="Times New Roman" w:hAnsi="Times New Roman" w:cs="Times New Roman"/>
        </w:rPr>
        <w:t xml:space="preserve">: Reducing costs through in-class therapeutic interchange. </w:t>
      </w:r>
      <w:r w:rsidRPr="00FB60D9">
        <w:rPr>
          <w:rFonts w:ascii="Times New Roman" w:hAnsi="Times New Roman" w:cs="Times New Roman"/>
          <w:i/>
          <w:iCs/>
        </w:rPr>
        <w:t>Applied Clinical Informatics, 7</w:t>
      </w:r>
      <w:r w:rsidRPr="00FB60D9">
        <w:rPr>
          <w:rFonts w:ascii="Times New Roman" w:hAnsi="Times New Roman" w:cs="Times New Roman"/>
        </w:rPr>
        <w:t xml:space="preserve">(4), 1168-1181. </w:t>
      </w:r>
      <w:hyperlink r:id="rId23" w:history="1">
        <w:r w:rsidRPr="002F2A26">
          <w:rPr>
            <w:rStyle w:val="Hyperlink"/>
            <w:rFonts w:ascii="Times New Roman" w:hAnsi="Times New Roman" w:cs="Times New Roman"/>
          </w:rPr>
          <w:t>https://tinyurl.com/ycks2dhc</w:t>
        </w:r>
      </w:hyperlink>
    </w:p>
    <w:p w14:paraId="41B97BBE" w14:textId="77777777" w:rsidR="006663B7" w:rsidRPr="00FB60D9" w:rsidRDefault="006663B7" w:rsidP="006663B7">
      <w:pPr>
        <w:spacing w:line="480" w:lineRule="auto"/>
        <w:ind w:left="720" w:hanging="720"/>
        <w:rPr>
          <w:rFonts w:ascii="Times New Roman" w:hAnsi="Times New Roman" w:cs="Times New Roman"/>
        </w:rPr>
      </w:pPr>
      <w:r w:rsidRPr="00FB60D9">
        <w:rPr>
          <w:rFonts w:ascii="Times New Roman" w:hAnsi="Times New Roman" w:cs="Times New Roman"/>
        </w:rPr>
        <w:t xml:space="preserve">Tseng, C., Lin, G. A., Davis, J., Taira, D. A., </w:t>
      </w:r>
      <w:proofErr w:type="spellStart"/>
      <w:r w:rsidRPr="00FB60D9">
        <w:rPr>
          <w:rFonts w:ascii="Times New Roman" w:hAnsi="Times New Roman" w:cs="Times New Roman"/>
        </w:rPr>
        <w:t>Yazdany</w:t>
      </w:r>
      <w:proofErr w:type="spellEnd"/>
      <w:r w:rsidRPr="00FB60D9">
        <w:rPr>
          <w:rFonts w:ascii="Times New Roman" w:hAnsi="Times New Roman" w:cs="Times New Roman"/>
        </w:rPr>
        <w:t xml:space="preserve">, J., He, Q., Chen, R., Imamura, A., &amp; Dudley, R. A. (2016). Giving formulary and drug cost information to providers and impact on medication cost and use: A longitudinal non-randomized study. </w:t>
      </w:r>
      <w:r w:rsidRPr="00FB60D9">
        <w:rPr>
          <w:rFonts w:ascii="Times New Roman" w:hAnsi="Times New Roman" w:cs="Times New Roman"/>
          <w:i/>
          <w:iCs/>
        </w:rPr>
        <w:t>BMC Health Services Research, 16</w:t>
      </w:r>
      <w:r w:rsidRPr="00FB60D9">
        <w:rPr>
          <w:rFonts w:ascii="Times New Roman" w:hAnsi="Times New Roman" w:cs="Times New Roman"/>
        </w:rPr>
        <w:t xml:space="preserve">(1), 499-499. </w:t>
      </w:r>
      <w:hyperlink r:id="rId24" w:history="1">
        <w:r w:rsidRPr="002F2A26">
          <w:rPr>
            <w:rStyle w:val="Hyperlink"/>
            <w:rFonts w:ascii="Times New Roman" w:hAnsi="Times New Roman" w:cs="Times New Roman"/>
          </w:rPr>
          <w:t>https://tinyurl.com/46n7kbaz</w:t>
        </w:r>
      </w:hyperlink>
    </w:p>
    <w:p w14:paraId="03CCF3DB" w14:textId="77777777" w:rsidR="006663B7" w:rsidRPr="00FB60D9" w:rsidRDefault="006663B7" w:rsidP="006663B7">
      <w:pPr>
        <w:spacing w:line="480" w:lineRule="auto"/>
        <w:ind w:left="720" w:hanging="720"/>
        <w:rPr>
          <w:rStyle w:val="Hyperlink"/>
          <w:rFonts w:ascii="Times New Roman" w:hAnsi="Times New Roman" w:cs="Times New Roman"/>
          <w:color w:val="auto"/>
        </w:rPr>
      </w:pPr>
      <w:r w:rsidRPr="00FB60D9">
        <w:rPr>
          <w:rFonts w:ascii="Times New Roman" w:hAnsi="Times New Roman" w:cs="Times New Roman"/>
        </w:rPr>
        <w:t xml:space="preserve">U.S. Department of Health and Human Services. (2020). </w:t>
      </w:r>
      <w:r w:rsidRPr="00FB60D9">
        <w:rPr>
          <w:rFonts w:ascii="Times New Roman" w:hAnsi="Times New Roman" w:cs="Times New Roman"/>
          <w:i/>
          <w:iCs/>
        </w:rPr>
        <w:t>Healthy People 2030.</w:t>
      </w:r>
      <w:r w:rsidRPr="00FB60D9">
        <w:rPr>
          <w:rFonts w:ascii="Times New Roman" w:hAnsi="Times New Roman" w:cs="Times New Roman"/>
        </w:rPr>
        <w:t xml:space="preserve"> </w:t>
      </w:r>
      <w:hyperlink r:id="rId25" w:history="1">
        <w:r w:rsidRPr="00FB60D9">
          <w:rPr>
            <w:rStyle w:val="Hyperlink"/>
            <w:rFonts w:ascii="Times New Roman" w:hAnsi="Times New Roman" w:cs="Times New Roman"/>
          </w:rPr>
          <w:t>https://tinyurl.com/bde9zund</w:t>
        </w:r>
      </w:hyperlink>
    </w:p>
    <w:p w14:paraId="5F46D07A" w14:textId="1084C456" w:rsidR="009901CD" w:rsidRPr="00FF7DC4" w:rsidRDefault="009901CD">
      <w:pPr>
        <w:rPr>
          <w:rStyle w:val="Hyperlink"/>
          <w:rFonts w:ascii="Times New Roman" w:hAnsi="Times New Roman" w:cs="Times New Roman"/>
          <w:color w:val="0432FF"/>
        </w:rPr>
      </w:pPr>
      <w:r w:rsidRPr="00FF7DC4">
        <w:rPr>
          <w:rStyle w:val="Hyperlink"/>
          <w:rFonts w:ascii="Times New Roman" w:hAnsi="Times New Roman" w:cs="Times New Roman"/>
          <w:color w:val="0432FF"/>
        </w:rPr>
        <w:br w:type="page"/>
      </w:r>
    </w:p>
    <w:p w14:paraId="302E6973" w14:textId="00B6FDF4" w:rsidR="00FE31D3" w:rsidRDefault="00FE31D3" w:rsidP="00FE31D3">
      <w:pPr>
        <w:spacing w:line="480" w:lineRule="auto"/>
        <w:ind w:left="720" w:hanging="720"/>
        <w:jc w:val="center"/>
        <w:rPr>
          <w:rFonts w:ascii="Times New Roman" w:hAnsi="Times New Roman" w:cs="Times New Roman"/>
          <w:b/>
          <w:bCs/>
        </w:rPr>
      </w:pPr>
      <w:r w:rsidRPr="00BA5E6A">
        <w:rPr>
          <w:rFonts w:ascii="Times New Roman" w:hAnsi="Times New Roman" w:cs="Times New Roman"/>
          <w:b/>
          <w:bCs/>
        </w:rPr>
        <w:lastRenderedPageBreak/>
        <w:t xml:space="preserve">Appendix </w:t>
      </w:r>
      <w:r>
        <w:rPr>
          <w:rFonts w:ascii="Times New Roman" w:hAnsi="Times New Roman" w:cs="Times New Roman"/>
          <w:b/>
          <w:bCs/>
        </w:rPr>
        <w:t>A</w:t>
      </w:r>
    </w:p>
    <w:p w14:paraId="67BECF94" w14:textId="58D56BB6" w:rsidR="00FE31D3" w:rsidRDefault="00FE31D3" w:rsidP="00FE31D3">
      <w:pPr>
        <w:spacing w:line="480" w:lineRule="auto"/>
        <w:ind w:left="720" w:hanging="720"/>
        <w:jc w:val="center"/>
        <w:rPr>
          <w:rFonts w:ascii="Times New Roman" w:hAnsi="Times New Roman" w:cs="Times New Roman"/>
        </w:rPr>
      </w:pPr>
      <w:r>
        <w:rPr>
          <w:rFonts w:ascii="Times New Roman" w:hAnsi="Times New Roman" w:cs="Times New Roman"/>
        </w:rPr>
        <w:t>Literature Matrix</w:t>
      </w:r>
    </w:p>
    <w:tbl>
      <w:tblPr>
        <w:tblStyle w:val="GridTable1Light-Accent1"/>
        <w:tblW w:w="9625" w:type="dxa"/>
        <w:tblLayout w:type="fixed"/>
        <w:tblLook w:val="04A0" w:firstRow="1" w:lastRow="0" w:firstColumn="1" w:lastColumn="0" w:noHBand="0" w:noVBand="1"/>
      </w:tblPr>
      <w:tblGrid>
        <w:gridCol w:w="3505"/>
        <w:gridCol w:w="1080"/>
        <w:gridCol w:w="1695"/>
        <w:gridCol w:w="1993"/>
        <w:gridCol w:w="1352"/>
      </w:tblGrid>
      <w:tr w:rsidR="00FE31D3" w14:paraId="4AF2D519" w14:textId="77777777" w:rsidTr="00CB15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5" w:type="dxa"/>
          </w:tcPr>
          <w:p w14:paraId="1F7C4227" w14:textId="77777777" w:rsidR="00FE31D3" w:rsidRDefault="00FE31D3" w:rsidP="00CB1516">
            <w:pPr>
              <w:jc w:val="center"/>
              <w:rPr>
                <w:rFonts w:ascii="Times New Roman" w:hAnsi="Times New Roman" w:cs="Times New Roman"/>
                <w:b w:val="0"/>
                <w:bCs w:val="0"/>
              </w:rPr>
            </w:pPr>
            <w:r>
              <w:rPr>
                <w:rFonts w:ascii="Times New Roman" w:hAnsi="Times New Roman" w:cs="Times New Roman"/>
              </w:rPr>
              <w:t>Article</w:t>
            </w:r>
          </w:p>
          <w:p w14:paraId="7D028963" w14:textId="77777777" w:rsidR="00FE31D3" w:rsidRDefault="00FE31D3" w:rsidP="00CB1516">
            <w:pPr>
              <w:jc w:val="center"/>
              <w:rPr>
                <w:rFonts w:ascii="Times New Roman" w:hAnsi="Times New Roman" w:cs="Times New Roman"/>
              </w:rPr>
            </w:pPr>
            <w:r>
              <w:rPr>
                <w:rFonts w:ascii="Times New Roman" w:hAnsi="Times New Roman" w:cs="Times New Roman"/>
              </w:rPr>
              <w:t>(APA citation)</w:t>
            </w:r>
          </w:p>
        </w:tc>
        <w:tc>
          <w:tcPr>
            <w:tcW w:w="1080" w:type="dxa"/>
          </w:tcPr>
          <w:p w14:paraId="655D9625" w14:textId="77777777" w:rsidR="00FE31D3" w:rsidRDefault="00FE31D3" w:rsidP="00CB151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663B7">
              <w:rPr>
                <w:rFonts w:ascii="Times New Roman" w:hAnsi="Times New Roman" w:cs="Times New Roman"/>
                <w:sz w:val="22"/>
                <w:szCs w:val="22"/>
              </w:rPr>
              <w:t>Level of Evidence</w:t>
            </w:r>
          </w:p>
        </w:tc>
        <w:tc>
          <w:tcPr>
            <w:tcW w:w="1695" w:type="dxa"/>
          </w:tcPr>
          <w:p w14:paraId="5255FAF5" w14:textId="77777777" w:rsidR="00FE31D3" w:rsidRDefault="00FE31D3" w:rsidP="00CB151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Pr>
                <w:rFonts w:ascii="Times New Roman" w:hAnsi="Times New Roman" w:cs="Times New Roman"/>
              </w:rPr>
              <w:t>Data/</w:t>
            </w:r>
          </w:p>
          <w:p w14:paraId="478969F6" w14:textId="77777777" w:rsidR="00FE31D3" w:rsidRDefault="00FE31D3" w:rsidP="00CB151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Evidence Findings</w:t>
            </w:r>
          </w:p>
        </w:tc>
        <w:tc>
          <w:tcPr>
            <w:tcW w:w="1993" w:type="dxa"/>
          </w:tcPr>
          <w:p w14:paraId="7DB2DDDA" w14:textId="77777777" w:rsidR="00FE31D3" w:rsidRDefault="00FE31D3" w:rsidP="00CB151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Pr>
                <w:rFonts w:ascii="Times New Roman" w:hAnsi="Times New Roman" w:cs="Times New Roman"/>
              </w:rPr>
              <w:t>Conclusion/</w:t>
            </w:r>
          </w:p>
          <w:p w14:paraId="51F5EC14" w14:textId="77777777" w:rsidR="00FE31D3" w:rsidRDefault="00FE31D3" w:rsidP="00CB151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Summary</w:t>
            </w:r>
          </w:p>
        </w:tc>
        <w:tc>
          <w:tcPr>
            <w:tcW w:w="1352" w:type="dxa"/>
          </w:tcPr>
          <w:p w14:paraId="626EAD14" w14:textId="77777777" w:rsidR="00FE31D3" w:rsidRDefault="00FE31D3" w:rsidP="00CB151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Utilization of Evidence </w:t>
            </w:r>
          </w:p>
        </w:tc>
      </w:tr>
      <w:tr w:rsidR="00FE31D3" w:rsidRPr="00B15ECE" w14:paraId="02C0AA4F"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60E5EB15" w14:textId="77777777" w:rsidR="00FE31D3" w:rsidRPr="00B15ECE" w:rsidRDefault="00FE31D3" w:rsidP="00CB1516">
            <w:pPr>
              <w:contextualSpacing/>
              <w:rPr>
                <w:rFonts w:ascii="Times New Roman" w:hAnsi="Times New Roman" w:cs="Times New Roman"/>
                <w:b w:val="0"/>
                <w:bCs w:val="0"/>
                <w:sz w:val="20"/>
                <w:szCs w:val="20"/>
              </w:rPr>
            </w:pPr>
            <w:proofErr w:type="spellStart"/>
            <w:r w:rsidRPr="00B15ECE">
              <w:rPr>
                <w:rFonts w:ascii="Times New Roman" w:hAnsi="Times New Roman" w:cs="Times New Roman"/>
                <w:b w:val="0"/>
                <w:bCs w:val="0"/>
                <w:sz w:val="20"/>
                <w:szCs w:val="20"/>
              </w:rPr>
              <w:t>Arao</w:t>
            </w:r>
            <w:proofErr w:type="spellEnd"/>
            <w:r w:rsidRPr="00B15ECE">
              <w:rPr>
                <w:rFonts w:ascii="Times New Roman" w:hAnsi="Times New Roman" w:cs="Times New Roman"/>
                <w:b w:val="0"/>
                <w:bCs w:val="0"/>
                <w:sz w:val="20"/>
                <w:szCs w:val="20"/>
              </w:rPr>
              <w:t xml:space="preserve">, R. K., </w:t>
            </w:r>
            <w:proofErr w:type="gramStart"/>
            <w:r w:rsidRPr="00B15ECE">
              <w:rPr>
                <w:rFonts w:ascii="Times New Roman" w:hAnsi="Times New Roman" w:cs="Times New Roman"/>
                <w:b w:val="0"/>
                <w:bCs w:val="0"/>
                <w:sz w:val="20"/>
                <w:szCs w:val="20"/>
              </w:rPr>
              <w:t>O‘</w:t>
            </w:r>
            <w:proofErr w:type="gramEnd"/>
            <w:r w:rsidRPr="00B15ECE">
              <w:rPr>
                <w:rFonts w:ascii="Times New Roman" w:hAnsi="Times New Roman" w:cs="Times New Roman"/>
                <w:b w:val="0"/>
                <w:bCs w:val="0"/>
                <w:sz w:val="20"/>
                <w:szCs w:val="20"/>
              </w:rPr>
              <w:t xml:space="preserve">Connor, M. Y., Barrett, T., </w:t>
            </w:r>
            <w:proofErr w:type="spellStart"/>
            <w:r w:rsidRPr="00B15ECE">
              <w:rPr>
                <w:rFonts w:ascii="Times New Roman" w:hAnsi="Times New Roman" w:cs="Times New Roman"/>
                <w:b w:val="0"/>
                <w:bCs w:val="0"/>
                <w:sz w:val="20"/>
                <w:szCs w:val="20"/>
              </w:rPr>
              <w:t>Chockalingam</w:t>
            </w:r>
            <w:proofErr w:type="spellEnd"/>
            <w:r w:rsidRPr="00B15ECE">
              <w:rPr>
                <w:rFonts w:ascii="Times New Roman" w:hAnsi="Times New Roman" w:cs="Times New Roman"/>
                <w:b w:val="0"/>
                <w:bCs w:val="0"/>
                <w:sz w:val="20"/>
                <w:szCs w:val="20"/>
              </w:rPr>
              <w:t xml:space="preserve">, L., Khan, F., Kumar, A., Leader, A., Leven, E., Power, J. R., </w:t>
            </w:r>
            <w:proofErr w:type="spellStart"/>
            <w:r w:rsidRPr="00B15ECE">
              <w:rPr>
                <w:rFonts w:ascii="Times New Roman" w:hAnsi="Times New Roman" w:cs="Times New Roman"/>
                <w:b w:val="0"/>
                <w:bCs w:val="0"/>
                <w:sz w:val="20"/>
                <w:szCs w:val="20"/>
              </w:rPr>
              <w:t>Shuham</w:t>
            </w:r>
            <w:proofErr w:type="spellEnd"/>
            <w:r w:rsidRPr="00B15ECE">
              <w:rPr>
                <w:rFonts w:ascii="Times New Roman" w:hAnsi="Times New Roman" w:cs="Times New Roman"/>
                <w:b w:val="0"/>
                <w:bCs w:val="0"/>
                <w:sz w:val="20"/>
                <w:szCs w:val="20"/>
              </w:rPr>
              <w:t xml:space="preserve">, B., Rifkin, R., Thomas, D., </w:t>
            </w:r>
            <w:proofErr w:type="spellStart"/>
            <w:r w:rsidRPr="00B15ECE">
              <w:rPr>
                <w:rFonts w:ascii="Times New Roman" w:hAnsi="Times New Roman" w:cs="Times New Roman"/>
                <w:b w:val="0"/>
                <w:bCs w:val="0"/>
                <w:sz w:val="20"/>
                <w:szCs w:val="20"/>
              </w:rPr>
              <w:t>Meah</w:t>
            </w:r>
            <w:proofErr w:type="spellEnd"/>
            <w:r w:rsidRPr="00B15ECE">
              <w:rPr>
                <w:rFonts w:ascii="Times New Roman" w:hAnsi="Times New Roman" w:cs="Times New Roman"/>
                <w:b w:val="0"/>
                <w:bCs w:val="0"/>
                <w:sz w:val="20"/>
                <w:szCs w:val="20"/>
              </w:rPr>
              <w:t>, Y., &amp; Shah, B. J. (2017). Strengthening value-based medication management in a free clinic for the uninsured: Quality interventions aimed at reducing costs and enhancing adherence.</w:t>
            </w:r>
            <w:r w:rsidRPr="00B15ECE">
              <w:rPr>
                <w:rFonts w:ascii="Times New Roman" w:hAnsi="Times New Roman" w:cs="Times New Roman"/>
                <w:b w:val="0"/>
                <w:bCs w:val="0"/>
                <w:i/>
                <w:iCs/>
                <w:sz w:val="20"/>
                <w:szCs w:val="20"/>
              </w:rPr>
              <w:t> BMJ Open Quality, 6</w:t>
            </w:r>
            <w:r w:rsidRPr="00B15ECE">
              <w:rPr>
                <w:rFonts w:ascii="Times New Roman" w:hAnsi="Times New Roman" w:cs="Times New Roman"/>
                <w:b w:val="0"/>
                <w:bCs w:val="0"/>
                <w:sz w:val="20"/>
                <w:szCs w:val="20"/>
              </w:rPr>
              <w:t>(2), e000069-e000069. </w:t>
            </w:r>
            <w:hyperlink r:id="rId26" w:history="1">
              <w:r w:rsidRPr="006663B7">
                <w:rPr>
                  <w:rStyle w:val="Hyperlink"/>
                  <w:rFonts w:ascii="Times New Roman" w:hAnsi="Times New Roman" w:cs="Times New Roman"/>
                  <w:b w:val="0"/>
                  <w:bCs w:val="0"/>
                  <w:sz w:val="20"/>
                  <w:szCs w:val="20"/>
                </w:rPr>
                <w:t>https://tinyurl.com/ys43tdhn</w:t>
              </w:r>
            </w:hyperlink>
            <w:r w:rsidRPr="00B15ECE">
              <w:rPr>
                <w:rFonts w:ascii="Times New Roman" w:hAnsi="Times New Roman" w:cs="Times New Roman"/>
                <w:b w:val="0"/>
                <w:bCs w:val="0"/>
                <w:sz w:val="20"/>
                <w:szCs w:val="20"/>
              </w:rPr>
              <w:t xml:space="preserve"> </w:t>
            </w:r>
          </w:p>
          <w:p w14:paraId="6F787E03" w14:textId="77777777" w:rsidR="00FE31D3" w:rsidRDefault="00FE31D3" w:rsidP="00CB1516">
            <w:pPr>
              <w:contextualSpacing/>
              <w:jc w:val="center"/>
              <w:rPr>
                <w:rFonts w:ascii="Times New Roman" w:hAnsi="Times New Roman" w:cs="Times New Roman"/>
              </w:rPr>
            </w:pPr>
          </w:p>
        </w:tc>
        <w:tc>
          <w:tcPr>
            <w:tcW w:w="1080" w:type="dxa"/>
          </w:tcPr>
          <w:p w14:paraId="7C871CD1" w14:textId="77777777" w:rsidR="00FE31D3" w:rsidRPr="00B15ECE" w:rsidRDefault="00FE31D3" w:rsidP="00CB1516">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Level III</w:t>
            </w:r>
          </w:p>
        </w:tc>
        <w:tc>
          <w:tcPr>
            <w:tcW w:w="1695" w:type="dxa"/>
          </w:tcPr>
          <w:p w14:paraId="66697522" w14:textId="77777777" w:rsidR="00FE31D3" w:rsidRPr="006663B7"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Promoting value-conscious prescribing in</w:t>
            </w:r>
            <w:r w:rsidRPr="006663B7">
              <w:rPr>
                <w:rFonts w:ascii="Times New Roman" w:hAnsi="Times New Roman" w:cs="Times New Roman"/>
                <w:sz w:val="20"/>
                <w:szCs w:val="20"/>
              </w:rPr>
              <w:t xml:space="preserve"> </w:t>
            </w:r>
            <w:r>
              <w:rPr>
                <w:rFonts w:ascii="Times New Roman" w:hAnsi="Times New Roman" w:cs="Times New Roman"/>
                <w:sz w:val="20"/>
                <w:szCs w:val="20"/>
              </w:rPr>
              <w:t>a</w:t>
            </w:r>
            <w:r w:rsidRPr="006663B7">
              <w:rPr>
                <w:rFonts w:ascii="Times New Roman" w:hAnsi="Times New Roman" w:cs="Times New Roman"/>
                <w:sz w:val="20"/>
                <w:szCs w:val="20"/>
              </w:rPr>
              <w:t xml:space="preserve"> free clinic </w:t>
            </w:r>
            <w:r>
              <w:rPr>
                <w:rFonts w:ascii="Times New Roman" w:hAnsi="Times New Roman" w:cs="Times New Roman"/>
                <w:sz w:val="20"/>
                <w:szCs w:val="20"/>
              </w:rPr>
              <w:t xml:space="preserve">resulted in </w:t>
            </w:r>
            <w:r w:rsidRPr="006663B7">
              <w:rPr>
                <w:rFonts w:ascii="Times New Roman" w:hAnsi="Times New Roman" w:cs="Times New Roman"/>
                <w:sz w:val="20"/>
                <w:szCs w:val="20"/>
              </w:rPr>
              <w:t>a 7.3%, or $3768</w:t>
            </w:r>
            <w:r>
              <w:rPr>
                <w:rFonts w:ascii="Times New Roman" w:hAnsi="Times New Roman" w:cs="Times New Roman"/>
                <w:sz w:val="20"/>
                <w:szCs w:val="20"/>
              </w:rPr>
              <w:t xml:space="preserve"> </w:t>
            </w:r>
            <w:r w:rsidRPr="006663B7">
              <w:rPr>
                <w:rFonts w:ascii="Times New Roman" w:hAnsi="Times New Roman" w:cs="Times New Roman"/>
                <w:sz w:val="20"/>
                <w:szCs w:val="20"/>
              </w:rPr>
              <w:t>reduction in annual pharmacy costs.</w:t>
            </w:r>
          </w:p>
          <w:p w14:paraId="76BF9940"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993" w:type="dxa"/>
          </w:tcPr>
          <w:p w14:paraId="2F672EC7" w14:textId="4BDEC0A8"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The goal of this qualitative analysis was to reduce medication expenditures through value-conscious prescribing. To promote</w:t>
            </w:r>
            <w:r w:rsidRPr="006663B7">
              <w:rPr>
                <w:rFonts w:ascii="Times New Roman" w:hAnsi="Times New Roman" w:cs="Times New Roman"/>
                <w:sz w:val="20"/>
                <w:szCs w:val="20"/>
              </w:rPr>
              <w:t xml:space="preserve"> </w:t>
            </w:r>
            <w:r>
              <w:rPr>
                <w:rFonts w:ascii="Times New Roman" w:hAnsi="Times New Roman" w:cs="Times New Roman"/>
                <w:sz w:val="20"/>
                <w:szCs w:val="20"/>
              </w:rPr>
              <w:t xml:space="preserve">this, </w:t>
            </w:r>
            <w:r w:rsidR="000346F1">
              <w:rPr>
                <w:rFonts w:ascii="Times New Roman" w:hAnsi="Times New Roman" w:cs="Times New Roman"/>
                <w:sz w:val="20"/>
                <w:szCs w:val="20"/>
              </w:rPr>
              <w:t>costly drugs</w:t>
            </w:r>
            <w:r w:rsidRPr="006663B7">
              <w:rPr>
                <w:rFonts w:ascii="Times New Roman" w:hAnsi="Times New Roman" w:cs="Times New Roman"/>
                <w:sz w:val="20"/>
                <w:szCs w:val="20"/>
              </w:rPr>
              <w:t xml:space="preserve"> on </w:t>
            </w:r>
            <w:r>
              <w:rPr>
                <w:rFonts w:ascii="Times New Roman" w:hAnsi="Times New Roman" w:cs="Times New Roman"/>
                <w:sz w:val="20"/>
                <w:szCs w:val="20"/>
              </w:rPr>
              <w:t xml:space="preserve">the </w:t>
            </w:r>
            <w:r w:rsidRPr="006663B7">
              <w:rPr>
                <w:rFonts w:ascii="Times New Roman" w:hAnsi="Times New Roman" w:cs="Times New Roman"/>
                <w:sz w:val="20"/>
                <w:szCs w:val="20"/>
              </w:rPr>
              <w:t xml:space="preserve">clinic’s formulary </w:t>
            </w:r>
            <w:r>
              <w:rPr>
                <w:rFonts w:ascii="Times New Roman" w:hAnsi="Times New Roman" w:cs="Times New Roman"/>
                <w:sz w:val="20"/>
                <w:szCs w:val="20"/>
              </w:rPr>
              <w:t>were prohibited</w:t>
            </w:r>
            <w:r w:rsidRPr="006663B7">
              <w:rPr>
                <w:rFonts w:ascii="Times New Roman" w:hAnsi="Times New Roman" w:cs="Times New Roman"/>
                <w:sz w:val="20"/>
                <w:szCs w:val="20"/>
              </w:rPr>
              <w:t xml:space="preserve"> </w:t>
            </w:r>
            <w:r>
              <w:rPr>
                <w:rFonts w:ascii="Times New Roman" w:hAnsi="Times New Roman" w:cs="Times New Roman"/>
                <w:sz w:val="20"/>
                <w:szCs w:val="20"/>
              </w:rPr>
              <w:t>and a</w:t>
            </w:r>
            <w:r w:rsidRPr="006663B7">
              <w:rPr>
                <w:rFonts w:ascii="Times New Roman" w:hAnsi="Times New Roman" w:cs="Times New Roman"/>
                <w:sz w:val="20"/>
                <w:szCs w:val="20"/>
              </w:rPr>
              <w:t xml:space="preserve"> decision </w:t>
            </w:r>
            <w:r w:rsidR="000346F1">
              <w:rPr>
                <w:rFonts w:ascii="Times New Roman" w:hAnsi="Times New Roman" w:cs="Times New Roman"/>
                <w:sz w:val="20"/>
                <w:szCs w:val="20"/>
              </w:rPr>
              <w:t xml:space="preserve">support </w:t>
            </w:r>
            <w:r>
              <w:rPr>
                <w:rFonts w:ascii="Times New Roman" w:hAnsi="Times New Roman" w:cs="Times New Roman"/>
                <w:sz w:val="20"/>
                <w:szCs w:val="20"/>
              </w:rPr>
              <w:t xml:space="preserve">within the </w:t>
            </w:r>
            <w:r w:rsidRPr="006663B7">
              <w:rPr>
                <w:rFonts w:ascii="Times New Roman" w:hAnsi="Times New Roman" w:cs="Times New Roman"/>
                <w:sz w:val="20"/>
                <w:szCs w:val="20"/>
              </w:rPr>
              <w:t>mobile clinician reference application</w:t>
            </w:r>
            <w:r>
              <w:rPr>
                <w:rFonts w:ascii="Times New Roman" w:hAnsi="Times New Roman" w:cs="Times New Roman"/>
                <w:sz w:val="20"/>
                <w:szCs w:val="20"/>
              </w:rPr>
              <w:t xml:space="preserve"> was added. </w:t>
            </w:r>
          </w:p>
        </w:tc>
        <w:tc>
          <w:tcPr>
            <w:tcW w:w="1352" w:type="dxa"/>
          </w:tcPr>
          <w:p w14:paraId="247A4BF5"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This analysis supports the promotion of value-based prescribing and reference tools to reduce medication costs. </w:t>
            </w:r>
          </w:p>
        </w:tc>
      </w:tr>
      <w:tr w:rsidR="00FE31D3" w14:paraId="26D2FA15"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345243EF" w14:textId="77777777" w:rsidR="00FE31D3" w:rsidRPr="00B15ECE" w:rsidRDefault="00FE31D3" w:rsidP="00CB1516">
            <w:pPr>
              <w:jc w:val="both"/>
              <w:rPr>
                <w:rFonts w:ascii="Times New Roman" w:hAnsi="Times New Roman" w:cs="Times New Roman"/>
                <w:b w:val="0"/>
                <w:bCs w:val="0"/>
                <w:sz w:val="20"/>
                <w:szCs w:val="20"/>
              </w:rPr>
            </w:pPr>
            <w:proofErr w:type="spellStart"/>
            <w:r w:rsidRPr="00BC2B71">
              <w:rPr>
                <w:rFonts w:ascii="Times New Roman" w:hAnsi="Times New Roman" w:cs="Times New Roman"/>
                <w:b w:val="0"/>
                <w:bCs w:val="0"/>
                <w:sz w:val="20"/>
                <w:szCs w:val="20"/>
              </w:rPr>
              <w:t>Bourcier</w:t>
            </w:r>
            <w:proofErr w:type="spellEnd"/>
            <w:r w:rsidRPr="00BC2B71">
              <w:rPr>
                <w:rFonts w:ascii="Times New Roman" w:hAnsi="Times New Roman" w:cs="Times New Roman"/>
                <w:b w:val="0"/>
                <w:bCs w:val="0"/>
                <w:sz w:val="20"/>
                <w:szCs w:val="20"/>
              </w:rPr>
              <w:t xml:space="preserve">, E., </w:t>
            </w:r>
            <w:proofErr w:type="spellStart"/>
            <w:r w:rsidRPr="00BC2B71">
              <w:rPr>
                <w:rFonts w:ascii="Times New Roman" w:hAnsi="Times New Roman" w:cs="Times New Roman"/>
                <w:b w:val="0"/>
                <w:bCs w:val="0"/>
                <w:sz w:val="20"/>
                <w:szCs w:val="20"/>
              </w:rPr>
              <w:t>Korb-Savoldelli</w:t>
            </w:r>
            <w:proofErr w:type="spellEnd"/>
            <w:r w:rsidRPr="00BC2B71">
              <w:rPr>
                <w:rFonts w:ascii="Times New Roman" w:hAnsi="Times New Roman" w:cs="Times New Roman"/>
                <w:b w:val="0"/>
                <w:bCs w:val="0"/>
                <w:sz w:val="20"/>
                <w:szCs w:val="20"/>
              </w:rPr>
              <w:t xml:space="preserve">, V., </w:t>
            </w:r>
            <w:proofErr w:type="spellStart"/>
            <w:r w:rsidRPr="00BC2B71">
              <w:rPr>
                <w:rFonts w:ascii="Times New Roman" w:hAnsi="Times New Roman" w:cs="Times New Roman"/>
                <w:b w:val="0"/>
                <w:bCs w:val="0"/>
                <w:sz w:val="20"/>
                <w:szCs w:val="20"/>
              </w:rPr>
              <w:t>Hejblum</w:t>
            </w:r>
            <w:proofErr w:type="spellEnd"/>
            <w:r w:rsidRPr="00BC2B71">
              <w:rPr>
                <w:rFonts w:ascii="Times New Roman" w:hAnsi="Times New Roman" w:cs="Times New Roman"/>
                <w:b w:val="0"/>
                <w:bCs w:val="0"/>
                <w:sz w:val="20"/>
                <w:szCs w:val="20"/>
              </w:rPr>
              <w:t xml:space="preserve">, G., Fernandez, C., &amp; </w:t>
            </w:r>
            <w:proofErr w:type="spellStart"/>
            <w:r w:rsidRPr="00BC2B71">
              <w:rPr>
                <w:rFonts w:ascii="Times New Roman" w:hAnsi="Times New Roman" w:cs="Times New Roman"/>
                <w:b w:val="0"/>
                <w:bCs w:val="0"/>
                <w:sz w:val="20"/>
                <w:szCs w:val="20"/>
              </w:rPr>
              <w:t>Hindlet</w:t>
            </w:r>
            <w:proofErr w:type="spellEnd"/>
            <w:r w:rsidRPr="00BC2B71">
              <w:rPr>
                <w:rFonts w:ascii="Times New Roman" w:hAnsi="Times New Roman" w:cs="Times New Roman"/>
                <w:b w:val="0"/>
                <w:bCs w:val="0"/>
                <w:sz w:val="20"/>
                <w:szCs w:val="20"/>
              </w:rPr>
              <w:t>, P. (2018). A systematic review of regulatory and educational interventions to reduce the burden associated with the prescriptions of sedative-hypnotics in adults treated for sleep disorders.</w:t>
            </w:r>
            <w:r w:rsidRPr="00BC2B71">
              <w:rPr>
                <w:rFonts w:ascii="Times New Roman" w:hAnsi="Times New Roman" w:cs="Times New Roman"/>
                <w:b w:val="0"/>
                <w:bCs w:val="0"/>
                <w:i/>
                <w:iCs/>
                <w:sz w:val="20"/>
                <w:szCs w:val="20"/>
              </w:rPr>
              <w:t> </w:t>
            </w:r>
            <w:proofErr w:type="spellStart"/>
            <w:r w:rsidRPr="00BC2B71">
              <w:rPr>
                <w:rFonts w:ascii="Times New Roman" w:hAnsi="Times New Roman" w:cs="Times New Roman"/>
                <w:b w:val="0"/>
                <w:bCs w:val="0"/>
                <w:i/>
                <w:iCs/>
                <w:sz w:val="20"/>
                <w:szCs w:val="20"/>
              </w:rPr>
              <w:t>PloS</w:t>
            </w:r>
            <w:proofErr w:type="spellEnd"/>
            <w:r w:rsidRPr="00BC2B71">
              <w:rPr>
                <w:rFonts w:ascii="Times New Roman" w:hAnsi="Times New Roman" w:cs="Times New Roman"/>
                <w:b w:val="0"/>
                <w:bCs w:val="0"/>
                <w:i/>
                <w:iCs/>
                <w:sz w:val="20"/>
                <w:szCs w:val="20"/>
              </w:rPr>
              <w:t xml:space="preserve"> One, 13</w:t>
            </w:r>
            <w:r w:rsidRPr="00BC2B71">
              <w:rPr>
                <w:rFonts w:ascii="Times New Roman" w:hAnsi="Times New Roman" w:cs="Times New Roman"/>
                <w:b w:val="0"/>
                <w:bCs w:val="0"/>
                <w:sz w:val="20"/>
                <w:szCs w:val="20"/>
              </w:rPr>
              <w:t>(1),</w:t>
            </w:r>
            <w:r>
              <w:rPr>
                <w:rFonts w:ascii="Times New Roman" w:hAnsi="Times New Roman" w:cs="Times New Roman"/>
                <w:b w:val="0"/>
                <w:bCs w:val="0"/>
                <w:sz w:val="20"/>
                <w:szCs w:val="20"/>
              </w:rPr>
              <w:t xml:space="preserve"> </w:t>
            </w:r>
            <w:r w:rsidRPr="00BC2B71">
              <w:rPr>
                <w:rFonts w:ascii="Times New Roman" w:hAnsi="Times New Roman" w:cs="Times New Roman"/>
                <w:b w:val="0"/>
                <w:bCs w:val="0"/>
                <w:sz w:val="20"/>
                <w:szCs w:val="20"/>
              </w:rPr>
              <w:t>e0191211-e0191211. </w:t>
            </w:r>
            <w:hyperlink r:id="rId27" w:history="1">
              <w:r w:rsidRPr="006663B7">
                <w:rPr>
                  <w:rStyle w:val="Hyperlink"/>
                  <w:rFonts w:ascii="Times New Roman" w:hAnsi="Times New Roman" w:cs="Times New Roman"/>
                  <w:b w:val="0"/>
                  <w:bCs w:val="0"/>
                  <w:sz w:val="20"/>
                  <w:szCs w:val="20"/>
                </w:rPr>
                <w:t>https://tinyurl.com/yc77w47h</w:t>
              </w:r>
            </w:hyperlink>
          </w:p>
        </w:tc>
        <w:tc>
          <w:tcPr>
            <w:tcW w:w="1080" w:type="dxa"/>
          </w:tcPr>
          <w:p w14:paraId="5304FA3F"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Level I</w:t>
            </w:r>
          </w:p>
          <w:p w14:paraId="01012C3D"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95" w:type="dxa"/>
          </w:tcPr>
          <w:p w14:paraId="250AE279"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663B7">
              <w:rPr>
                <w:rFonts w:ascii="Times New Roman" w:hAnsi="Times New Roman" w:cs="Times New Roman"/>
                <w:sz w:val="20"/>
                <w:szCs w:val="20"/>
              </w:rPr>
              <w:t> </w:t>
            </w:r>
            <w:r>
              <w:rPr>
                <w:rFonts w:ascii="Times New Roman" w:hAnsi="Times New Roman" w:cs="Times New Roman"/>
                <w:sz w:val="20"/>
                <w:szCs w:val="20"/>
              </w:rPr>
              <w:t xml:space="preserve">Of the 31 studies reviewed, </w:t>
            </w:r>
            <w:r w:rsidRPr="006663B7">
              <w:rPr>
                <w:rFonts w:ascii="Times New Roman" w:hAnsi="Times New Roman" w:cs="Times New Roman"/>
                <w:sz w:val="20"/>
                <w:szCs w:val="20"/>
              </w:rPr>
              <w:t xml:space="preserve">23 assessed educational interventions </w:t>
            </w:r>
            <w:r>
              <w:rPr>
                <w:rFonts w:ascii="Times New Roman" w:hAnsi="Times New Roman" w:cs="Times New Roman"/>
                <w:sz w:val="20"/>
                <w:szCs w:val="20"/>
              </w:rPr>
              <w:t>and</w:t>
            </w:r>
            <w:r w:rsidRPr="006663B7">
              <w:rPr>
                <w:rFonts w:ascii="Times New Roman" w:hAnsi="Times New Roman" w:cs="Times New Roman"/>
                <w:sz w:val="20"/>
                <w:szCs w:val="20"/>
              </w:rPr>
              <w:t xml:space="preserve"> 8 assessed regulatory interventions</w:t>
            </w:r>
            <w:r>
              <w:rPr>
                <w:rFonts w:ascii="Times New Roman" w:hAnsi="Times New Roman" w:cs="Times New Roman"/>
                <w:sz w:val="20"/>
                <w:szCs w:val="20"/>
              </w:rPr>
              <w:t xml:space="preserve">. </w:t>
            </w:r>
            <w:r w:rsidRPr="006663B7">
              <w:rPr>
                <w:rFonts w:ascii="Times New Roman" w:hAnsi="Times New Roman" w:cs="Times New Roman"/>
                <w:sz w:val="20"/>
                <w:szCs w:val="20"/>
              </w:rPr>
              <w:t>Among educational interventions, 13 out of the 16 multi-faceted interventions were reported as efficient</w:t>
            </w:r>
            <w:r>
              <w:rPr>
                <w:rFonts w:ascii="Times New Roman" w:hAnsi="Times New Roman" w:cs="Times New Roman"/>
                <w:sz w:val="20"/>
                <w:szCs w:val="20"/>
              </w:rPr>
              <w:t>; especially when the patients and providers were actively involved.</w:t>
            </w:r>
          </w:p>
        </w:tc>
        <w:tc>
          <w:tcPr>
            <w:tcW w:w="1993" w:type="dxa"/>
          </w:tcPr>
          <w:p w14:paraId="2D9F0C48"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This systematic literature review included 31 studies to assess for the best interventions to reduce the inappropriate use of sedative-hypnotics in the treatment of sleep disorders. This review concluded that multifaceted, educational interventions were the most efficient.</w:t>
            </w:r>
          </w:p>
        </w:tc>
        <w:tc>
          <w:tcPr>
            <w:tcW w:w="1352" w:type="dxa"/>
          </w:tcPr>
          <w:p w14:paraId="49A700B5"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This review supports the use of educational sessions as well as providing both a hard copy and digital copy of the quick-reference guide as. A multifaceted approach lowering medication cost. This review also supports the active participation of the providers.</w:t>
            </w:r>
          </w:p>
        </w:tc>
      </w:tr>
      <w:tr w:rsidR="00FE31D3" w14:paraId="41FDFC3E"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06D0BD04" w14:textId="77777777" w:rsidR="00FE31D3" w:rsidRDefault="00FE31D3" w:rsidP="00CB1516">
            <w:pPr>
              <w:snapToGrid w:val="0"/>
              <w:jc w:val="both"/>
              <w:rPr>
                <w:rStyle w:val="Hyperlink"/>
                <w:rFonts w:ascii="Times New Roman" w:hAnsi="Times New Roman" w:cs="Times New Roman"/>
                <w:color w:val="auto"/>
                <w:sz w:val="20"/>
                <w:szCs w:val="20"/>
              </w:rPr>
            </w:pPr>
            <w:r w:rsidRPr="00B15ECE">
              <w:rPr>
                <w:rFonts w:ascii="Times New Roman" w:hAnsi="Times New Roman" w:cs="Times New Roman"/>
                <w:b w:val="0"/>
                <w:bCs w:val="0"/>
                <w:sz w:val="20"/>
                <w:szCs w:val="20"/>
              </w:rPr>
              <w:t>Brock, C., Cooper, S., &amp; Herndon, C. M. (2017). An educational intervention to decrease drug costs related to terminal secretions in a hospice organization. </w:t>
            </w:r>
            <w:r w:rsidRPr="00B15ECE">
              <w:rPr>
                <w:rFonts w:ascii="Times New Roman" w:hAnsi="Times New Roman" w:cs="Times New Roman"/>
                <w:b w:val="0"/>
                <w:bCs w:val="0"/>
                <w:i/>
                <w:iCs/>
                <w:sz w:val="20"/>
                <w:szCs w:val="20"/>
              </w:rPr>
              <w:t>Journal of Pain &amp; Palliative Care Pharmacotherapy</w:t>
            </w:r>
            <w:r w:rsidRPr="00B15ECE">
              <w:rPr>
                <w:rFonts w:ascii="Times New Roman" w:hAnsi="Times New Roman" w:cs="Times New Roman"/>
                <w:b w:val="0"/>
                <w:bCs w:val="0"/>
                <w:sz w:val="20"/>
                <w:szCs w:val="20"/>
              </w:rPr>
              <w:t>, </w:t>
            </w:r>
            <w:r w:rsidRPr="00B15ECE">
              <w:rPr>
                <w:rFonts w:ascii="Times New Roman" w:hAnsi="Times New Roman" w:cs="Times New Roman"/>
                <w:b w:val="0"/>
                <w:bCs w:val="0"/>
                <w:i/>
                <w:iCs/>
                <w:sz w:val="20"/>
                <w:szCs w:val="20"/>
              </w:rPr>
              <w:t>31</w:t>
            </w:r>
            <w:r w:rsidRPr="00B15ECE">
              <w:rPr>
                <w:rFonts w:ascii="Times New Roman" w:hAnsi="Times New Roman" w:cs="Times New Roman"/>
                <w:b w:val="0"/>
                <w:bCs w:val="0"/>
                <w:sz w:val="20"/>
                <w:szCs w:val="20"/>
              </w:rPr>
              <w:t xml:space="preserve">(1), 66–70. </w:t>
            </w:r>
            <w:hyperlink r:id="rId28" w:history="1">
              <w:r w:rsidRPr="006663B7">
                <w:rPr>
                  <w:rStyle w:val="Hyperlink"/>
                  <w:rFonts w:ascii="Times New Roman" w:hAnsi="Times New Roman" w:cs="Times New Roman"/>
                  <w:b w:val="0"/>
                  <w:bCs w:val="0"/>
                  <w:sz w:val="20"/>
                  <w:szCs w:val="20"/>
                </w:rPr>
                <w:t>https://tinyurl.com/2jt22snb</w:t>
              </w:r>
            </w:hyperlink>
          </w:p>
          <w:p w14:paraId="10EFFD93" w14:textId="77777777" w:rsidR="00FE31D3" w:rsidRPr="00BC2B71" w:rsidRDefault="00FE31D3" w:rsidP="00CB1516">
            <w:pPr>
              <w:contextualSpacing/>
              <w:jc w:val="both"/>
              <w:rPr>
                <w:rFonts w:ascii="Times New Roman" w:hAnsi="Times New Roman" w:cs="Times New Roman"/>
                <w:b w:val="0"/>
                <w:bCs w:val="0"/>
                <w:sz w:val="20"/>
                <w:szCs w:val="20"/>
              </w:rPr>
            </w:pPr>
          </w:p>
        </w:tc>
        <w:tc>
          <w:tcPr>
            <w:tcW w:w="1080" w:type="dxa"/>
          </w:tcPr>
          <w:p w14:paraId="61DFAFF1"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lastRenderedPageBreak/>
              <w:t>Level IV</w:t>
            </w:r>
          </w:p>
          <w:p w14:paraId="5D6D8B96"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95" w:type="dxa"/>
          </w:tcPr>
          <w:p w14:paraId="4E90EDEE"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Following an educational intervention, m</w:t>
            </w:r>
            <w:r w:rsidRPr="006663B7">
              <w:rPr>
                <w:rFonts w:ascii="Times New Roman" w:hAnsi="Times New Roman" w:cs="Times New Roman"/>
                <w:sz w:val="20"/>
                <w:szCs w:val="20"/>
              </w:rPr>
              <w:t xml:space="preserve">onthly drug costs decreased 22.5%, average daily patient drug </w:t>
            </w:r>
            <w:r w:rsidRPr="006663B7">
              <w:rPr>
                <w:rFonts w:ascii="Times New Roman" w:hAnsi="Times New Roman" w:cs="Times New Roman"/>
                <w:sz w:val="20"/>
                <w:szCs w:val="20"/>
              </w:rPr>
              <w:lastRenderedPageBreak/>
              <w:t>costs decreased 11.1%, and total anti-secretion costs decreased 28.5% after adjusting for difference in census.</w:t>
            </w:r>
          </w:p>
        </w:tc>
        <w:tc>
          <w:tcPr>
            <w:tcW w:w="1993" w:type="dxa"/>
          </w:tcPr>
          <w:p w14:paraId="2904A7A4"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lastRenderedPageBreak/>
              <w:t xml:space="preserve">This cohort study aimed to reduce medication cost for a hospice organization by targeting the frequently ordered, costly transdermal </w:t>
            </w:r>
            <w:r>
              <w:rPr>
                <w:rFonts w:ascii="Times New Roman" w:hAnsi="Times New Roman" w:cs="Times New Roman"/>
                <w:sz w:val="20"/>
                <w:szCs w:val="20"/>
              </w:rPr>
              <w:lastRenderedPageBreak/>
              <w:t>scopolamine. An educational intervention focusing of efficacy, safety, and cost for each medication used in the treatment of terminal secretions.</w:t>
            </w:r>
          </w:p>
        </w:tc>
        <w:tc>
          <w:tcPr>
            <w:tcW w:w="1352" w:type="dxa"/>
          </w:tcPr>
          <w:p w14:paraId="32A012CC"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lastRenderedPageBreak/>
              <w:t xml:space="preserve">This study supports targeting high-cost, commonly prescribed medication, </w:t>
            </w:r>
            <w:r>
              <w:rPr>
                <w:rFonts w:ascii="Times New Roman" w:hAnsi="Times New Roman" w:cs="Times New Roman"/>
                <w:sz w:val="20"/>
                <w:szCs w:val="20"/>
              </w:rPr>
              <w:lastRenderedPageBreak/>
              <w:t xml:space="preserve">and cost comparisons in the effort to reduce overall medication costs. </w:t>
            </w:r>
          </w:p>
        </w:tc>
      </w:tr>
      <w:tr w:rsidR="00FE31D3" w14:paraId="233DE145"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47C2B216" w14:textId="77777777" w:rsidR="00FE31D3" w:rsidRDefault="00FE31D3" w:rsidP="00CB1516">
            <w:pPr>
              <w:contextualSpacing/>
              <w:jc w:val="both"/>
              <w:rPr>
                <w:rStyle w:val="Hyperlink"/>
                <w:rFonts w:ascii="Times New Roman" w:eastAsia="Times New Roman" w:hAnsi="Times New Roman" w:cs="Times New Roman"/>
                <w:color w:val="auto"/>
                <w:sz w:val="20"/>
                <w:szCs w:val="20"/>
              </w:rPr>
            </w:pPr>
            <w:r w:rsidRPr="00B15ECE">
              <w:rPr>
                <w:rFonts w:ascii="Times New Roman" w:eastAsia="Times New Roman" w:hAnsi="Times New Roman" w:cs="Times New Roman"/>
                <w:b w:val="0"/>
                <w:bCs w:val="0"/>
                <w:sz w:val="20"/>
                <w:szCs w:val="20"/>
              </w:rPr>
              <w:t xml:space="preserve">Johnson, S. T., </w:t>
            </w:r>
            <w:proofErr w:type="spellStart"/>
            <w:r w:rsidRPr="00B15ECE">
              <w:rPr>
                <w:rFonts w:ascii="Times New Roman" w:eastAsia="Times New Roman" w:hAnsi="Times New Roman" w:cs="Times New Roman"/>
                <w:b w:val="0"/>
                <w:bCs w:val="0"/>
                <w:sz w:val="20"/>
                <w:szCs w:val="20"/>
              </w:rPr>
              <w:t>Gosser</w:t>
            </w:r>
            <w:proofErr w:type="spellEnd"/>
            <w:r w:rsidRPr="00B15ECE">
              <w:rPr>
                <w:rFonts w:ascii="Times New Roman" w:eastAsia="Times New Roman" w:hAnsi="Times New Roman" w:cs="Times New Roman"/>
                <w:b w:val="0"/>
                <w:bCs w:val="0"/>
                <w:sz w:val="20"/>
                <w:szCs w:val="20"/>
              </w:rPr>
              <w:t xml:space="preserve">, R. A., Kier, K. L., Anderson, K. C., Douglas, J. S., </w:t>
            </w:r>
            <w:proofErr w:type="spellStart"/>
            <w:r w:rsidRPr="00B15ECE">
              <w:rPr>
                <w:rFonts w:ascii="Times New Roman" w:eastAsia="Times New Roman" w:hAnsi="Times New Roman" w:cs="Times New Roman"/>
                <w:b w:val="0"/>
                <w:bCs w:val="0"/>
                <w:sz w:val="20"/>
                <w:szCs w:val="20"/>
              </w:rPr>
              <w:t>Heindel</w:t>
            </w:r>
            <w:proofErr w:type="spellEnd"/>
            <w:r w:rsidRPr="00B15ECE">
              <w:rPr>
                <w:rFonts w:ascii="Times New Roman" w:eastAsia="Times New Roman" w:hAnsi="Times New Roman" w:cs="Times New Roman"/>
                <w:b w:val="0"/>
                <w:bCs w:val="0"/>
                <w:sz w:val="20"/>
                <w:szCs w:val="20"/>
              </w:rPr>
              <w:t xml:space="preserve">, G. A., </w:t>
            </w:r>
            <w:proofErr w:type="spellStart"/>
            <w:r w:rsidRPr="00B15ECE">
              <w:rPr>
                <w:rFonts w:ascii="Times New Roman" w:eastAsia="Times New Roman" w:hAnsi="Times New Roman" w:cs="Times New Roman"/>
                <w:b w:val="0"/>
                <w:bCs w:val="0"/>
                <w:sz w:val="20"/>
                <w:szCs w:val="20"/>
              </w:rPr>
              <w:t>Majerczyk</w:t>
            </w:r>
            <w:proofErr w:type="spellEnd"/>
            <w:r w:rsidRPr="00B15ECE">
              <w:rPr>
                <w:rFonts w:ascii="Times New Roman" w:eastAsia="Times New Roman" w:hAnsi="Times New Roman" w:cs="Times New Roman"/>
                <w:b w:val="0"/>
                <w:bCs w:val="0"/>
                <w:sz w:val="20"/>
                <w:szCs w:val="20"/>
              </w:rPr>
              <w:t xml:space="preserve">, D., </w:t>
            </w:r>
            <w:proofErr w:type="spellStart"/>
            <w:r w:rsidRPr="00B15ECE">
              <w:rPr>
                <w:rFonts w:ascii="Times New Roman" w:eastAsia="Times New Roman" w:hAnsi="Times New Roman" w:cs="Times New Roman"/>
                <w:b w:val="0"/>
                <w:bCs w:val="0"/>
                <w:sz w:val="20"/>
                <w:szCs w:val="20"/>
              </w:rPr>
              <w:t>Manian</w:t>
            </w:r>
            <w:proofErr w:type="spellEnd"/>
            <w:r w:rsidRPr="00B15ECE">
              <w:rPr>
                <w:rFonts w:ascii="Times New Roman" w:eastAsia="Times New Roman" w:hAnsi="Times New Roman" w:cs="Times New Roman"/>
                <w:b w:val="0"/>
                <w:bCs w:val="0"/>
                <w:sz w:val="20"/>
                <w:szCs w:val="20"/>
              </w:rPr>
              <w:t xml:space="preserve">, R., &amp; </w:t>
            </w:r>
            <w:proofErr w:type="spellStart"/>
            <w:r w:rsidRPr="00B15ECE">
              <w:rPr>
                <w:rFonts w:ascii="Times New Roman" w:eastAsia="Times New Roman" w:hAnsi="Times New Roman" w:cs="Times New Roman"/>
                <w:b w:val="0"/>
                <w:bCs w:val="0"/>
                <w:sz w:val="20"/>
                <w:szCs w:val="20"/>
              </w:rPr>
              <w:t>Thornby</w:t>
            </w:r>
            <w:proofErr w:type="spellEnd"/>
            <w:r w:rsidRPr="00B15ECE">
              <w:rPr>
                <w:rFonts w:ascii="Times New Roman" w:eastAsia="Times New Roman" w:hAnsi="Times New Roman" w:cs="Times New Roman"/>
                <w:b w:val="0"/>
                <w:bCs w:val="0"/>
                <w:sz w:val="20"/>
                <w:szCs w:val="20"/>
              </w:rPr>
              <w:t xml:space="preserve">, K. (2021). Formulary management challenges and opportunities: 2020 and beyond ‐ an opinion paper of the drug information practice and research network of the American College of Clinical Pharmacy. </w:t>
            </w:r>
            <w:r w:rsidRPr="00B15ECE">
              <w:rPr>
                <w:rFonts w:ascii="Times New Roman" w:eastAsia="Times New Roman" w:hAnsi="Times New Roman" w:cs="Times New Roman"/>
                <w:b w:val="0"/>
                <w:bCs w:val="0"/>
                <w:i/>
                <w:iCs/>
                <w:sz w:val="20"/>
                <w:szCs w:val="20"/>
              </w:rPr>
              <w:t>Journal of the American College of Clinical Pharmacy, 4</w:t>
            </w:r>
            <w:r w:rsidRPr="00B15ECE">
              <w:rPr>
                <w:rFonts w:ascii="Times New Roman" w:eastAsia="Times New Roman" w:hAnsi="Times New Roman" w:cs="Times New Roman"/>
                <w:b w:val="0"/>
                <w:bCs w:val="0"/>
                <w:sz w:val="20"/>
                <w:szCs w:val="20"/>
              </w:rPr>
              <w:t>(1), 81-91.</w:t>
            </w:r>
            <w:r>
              <w:rPr>
                <w:rFonts w:ascii="Times New Roman" w:eastAsia="Times New Roman" w:hAnsi="Times New Roman" w:cs="Times New Roman"/>
                <w:b w:val="0"/>
                <w:bCs w:val="0"/>
                <w:sz w:val="20"/>
                <w:szCs w:val="20"/>
              </w:rPr>
              <w:t xml:space="preserve"> </w:t>
            </w:r>
            <w:hyperlink r:id="rId29" w:history="1">
              <w:r w:rsidRPr="006663B7">
                <w:rPr>
                  <w:rStyle w:val="Hyperlink"/>
                  <w:rFonts w:ascii="Times New Roman" w:eastAsia="Times New Roman" w:hAnsi="Times New Roman" w:cs="Times New Roman"/>
                  <w:b w:val="0"/>
                  <w:bCs w:val="0"/>
                  <w:sz w:val="20"/>
                  <w:szCs w:val="20"/>
                </w:rPr>
                <w:t>https://tinyurl.com/36ej56zs</w:t>
              </w:r>
            </w:hyperlink>
          </w:p>
          <w:p w14:paraId="1336CE7C" w14:textId="77777777" w:rsidR="00FE31D3" w:rsidRPr="00BC2B71" w:rsidRDefault="00FE31D3" w:rsidP="00CB1516">
            <w:pPr>
              <w:contextualSpacing/>
              <w:jc w:val="both"/>
              <w:rPr>
                <w:rFonts w:ascii="Times New Roman" w:hAnsi="Times New Roman" w:cs="Times New Roman"/>
                <w:b w:val="0"/>
                <w:bCs w:val="0"/>
                <w:sz w:val="20"/>
                <w:szCs w:val="20"/>
              </w:rPr>
            </w:pPr>
          </w:p>
        </w:tc>
        <w:tc>
          <w:tcPr>
            <w:tcW w:w="1080" w:type="dxa"/>
          </w:tcPr>
          <w:p w14:paraId="389C3261"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Level V</w:t>
            </w:r>
          </w:p>
          <w:p w14:paraId="5B458A14"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95" w:type="dxa"/>
          </w:tcPr>
          <w:p w14:paraId="15CF0F1D"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This article recommends a periodic review of the literature to detect, revise, and employ inventive formulary management techniques to address high-cost medications. </w:t>
            </w:r>
          </w:p>
        </w:tc>
        <w:tc>
          <w:tcPr>
            <w:tcW w:w="1993" w:type="dxa"/>
          </w:tcPr>
          <w:p w14:paraId="438389F3"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This article discusses the expert opinions of pharmacists regarding formulary management strategies.</w:t>
            </w:r>
          </w:p>
        </w:tc>
        <w:tc>
          <w:tcPr>
            <w:tcW w:w="1352" w:type="dxa"/>
          </w:tcPr>
          <w:p w14:paraId="285014E2"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This opinion paper supports the utilization of clinical decision support systems to aid in formulary management and cost control.</w:t>
            </w:r>
          </w:p>
        </w:tc>
      </w:tr>
      <w:tr w:rsidR="00FE31D3" w14:paraId="4932FEF7"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17F7CC44" w14:textId="77777777" w:rsidR="00FE31D3" w:rsidRDefault="00FE31D3" w:rsidP="00CB1516">
            <w:pPr>
              <w:contextualSpacing/>
              <w:jc w:val="both"/>
              <w:rPr>
                <w:rFonts w:ascii="Times New Roman" w:eastAsia="Times New Roman" w:hAnsi="Times New Roman" w:cs="Times New Roman"/>
                <w:sz w:val="20"/>
                <w:szCs w:val="20"/>
                <w:u w:val="single"/>
              </w:rPr>
            </w:pPr>
            <w:proofErr w:type="spellStart"/>
            <w:r w:rsidRPr="00B15ECE">
              <w:rPr>
                <w:rFonts w:ascii="Times New Roman" w:eastAsia="Times New Roman" w:hAnsi="Times New Roman" w:cs="Times New Roman"/>
                <w:b w:val="0"/>
                <w:bCs w:val="0"/>
                <w:sz w:val="20"/>
                <w:szCs w:val="20"/>
              </w:rPr>
              <w:t>Keedy</w:t>
            </w:r>
            <w:proofErr w:type="spellEnd"/>
            <w:r w:rsidRPr="00B15ECE">
              <w:rPr>
                <w:rFonts w:ascii="Times New Roman" w:eastAsia="Times New Roman" w:hAnsi="Times New Roman" w:cs="Times New Roman"/>
                <w:b w:val="0"/>
                <w:bCs w:val="0"/>
                <w:sz w:val="20"/>
                <w:szCs w:val="20"/>
              </w:rPr>
              <w:t xml:space="preserve">, C. A., </w:t>
            </w:r>
            <w:proofErr w:type="spellStart"/>
            <w:r w:rsidRPr="00B15ECE">
              <w:rPr>
                <w:rFonts w:ascii="Times New Roman" w:eastAsia="Times New Roman" w:hAnsi="Times New Roman" w:cs="Times New Roman"/>
                <w:b w:val="0"/>
                <w:bCs w:val="0"/>
                <w:sz w:val="20"/>
                <w:szCs w:val="20"/>
              </w:rPr>
              <w:t>Schnibben</w:t>
            </w:r>
            <w:proofErr w:type="spellEnd"/>
            <w:r w:rsidRPr="00B15ECE">
              <w:rPr>
                <w:rFonts w:ascii="Times New Roman" w:eastAsia="Times New Roman" w:hAnsi="Times New Roman" w:cs="Times New Roman"/>
                <w:b w:val="0"/>
                <w:bCs w:val="0"/>
                <w:sz w:val="20"/>
                <w:szCs w:val="20"/>
              </w:rPr>
              <w:t xml:space="preserve">, A. P., Crosby, J. F., McGlasson, A. C. L., &amp; </w:t>
            </w:r>
            <w:proofErr w:type="spellStart"/>
            <w:r w:rsidRPr="00B15ECE">
              <w:rPr>
                <w:rFonts w:ascii="Times New Roman" w:eastAsia="Times New Roman" w:hAnsi="Times New Roman" w:cs="Times New Roman"/>
                <w:b w:val="0"/>
                <w:bCs w:val="0"/>
                <w:sz w:val="20"/>
                <w:szCs w:val="20"/>
              </w:rPr>
              <w:t>Misher</w:t>
            </w:r>
            <w:proofErr w:type="spellEnd"/>
            <w:r w:rsidRPr="00B15ECE">
              <w:rPr>
                <w:rFonts w:ascii="Times New Roman" w:eastAsia="Times New Roman" w:hAnsi="Times New Roman" w:cs="Times New Roman"/>
                <w:b w:val="0"/>
                <w:bCs w:val="0"/>
                <w:sz w:val="20"/>
                <w:szCs w:val="20"/>
              </w:rPr>
              <w:t>, A. (2018). Implementation of a pharmacist-driven formulary management service within a community health-system insurance plan.</w:t>
            </w:r>
            <w:r w:rsidRPr="00B15ECE">
              <w:rPr>
                <w:rFonts w:ascii="Times New Roman" w:eastAsia="Times New Roman" w:hAnsi="Times New Roman" w:cs="Times New Roman"/>
                <w:b w:val="0"/>
                <w:bCs w:val="0"/>
                <w:i/>
                <w:iCs/>
                <w:sz w:val="20"/>
                <w:szCs w:val="20"/>
              </w:rPr>
              <w:t> American Journal of Health-System Pharmacy, 75</w:t>
            </w:r>
            <w:r w:rsidRPr="00B15ECE">
              <w:rPr>
                <w:rFonts w:ascii="Times New Roman" w:eastAsia="Times New Roman" w:hAnsi="Times New Roman" w:cs="Times New Roman"/>
                <w:b w:val="0"/>
                <w:bCs w:val="0"/>
                <w:sz w:val="20"/>
                <w:szCs w:val="20"/>
              </w:rPr>
              <w:t>(23), 1854-1856. </w:t>
            </w:r>
            <w:hyperlink r:id="rId30" w:history="1">
              <w:r w:rsidRPr="006663B7">
                <w:rPr>
                  <w:rStyle w:val="Hyperlink"/>
                  <w:rFonts w:ascii="Times New Roman" w:hAnsi="Times New Roman" w:cs="Times New Roman"/>
                  <w:b w:val="0"/>
                  <w:bCs w:val="0"/>
                  <w:sz w:val="20"/>
                  <w:szCs w:val="20"/>
                </w:rPr>
                <w:t>https://tinyurl.com/yz3urp5n</w:t>
              </w:r>
            </w:hyperlink>
          </w:p>
          <w:p w14:paraId="18640906" w14:textId="77777777" w:rsidR="00FE31D3" w:rsidRPr="00BC2B71" w:rsidRDefault="00FE31D3" w:rsidP="00CB1516">
            <w:pPr>
              <w:contextualSpacing/>
              <w:jc w:val="both"/>
              <w:rPr>
                <w:rFonts w:ascii="Times New Roman" w:hAnsi="Times New Roman" w:cs="Times New Roman"/>
                <w:b w:val="0"/>
                <w:bCs w:val="0"/>
                <w:sz w:val="20"/>
                <w:szCs w:val="20"/>
              </w:rPr>
            </w:pPr>
          </w:p>
        </w:tc>
        <w:tc>
          <w:tcPr>
            <w:tcW w:w="1080" w:type="dxa"/>
          </w:tcPr>
          <w:p w14:paraId="50BAE71F"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Level III</w:t>
            </w:r>
          </w:p>
        </w:tc>
        <w:tc>
          <w:tcPr>
            <w:tcW w:w="1695" w:type="dxa"/>
          </w:tcPr>
          <w:p w14:paraId="2D417617"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15ECE">
              <w:rPr>
                <w:rFonts w:ascii="Times New Roman" w:hAnsi="Times New Roman" w:cs="Times New Roman"/>
                <w:sz w:val="20"/>
                <w:szCs w:val="20"/>
              </w:rPr>
              <w:t xml:space="preserve">The authors found that </w:t>
            </w:r>
            <w:r>
              <w:rPr>
                <w:rFonts w:ascii="Times New Roman" w:hAnsi="Times New Roman" w:cs="Times New Roman"/>
                <w:sz w:val="20"/>
                <w:szCs w:val="20"/>
              </w:rPr>
              <w:t xml:space="preserve">the </w:t>
            </w:r>
            <w:r w:rsidRPr="00B15ECE">
              <w:rPr>
                <w:rFonts w:ascii="Times New Roman" w:hAnsi="Times New Roman" w:cs="Times New Roman"/>
                <w:sz w:val="20"/>
                <w:szCs w:val="20"/>
              </w:rPr>
              <w:t xml:space="preserve">implementation of a formulary management service produced a potential annual cost savings </w:t>
            </w:r>
            <w:r>
              <w:rPr>
                <w:rFonts w:ascii="Times New Roman" w:hAnsi="Times New Roman" w:cs="Times New Roman"/>
                <w:sz w:val="20"/>
                <w:szCs w:val="20"/>
              </w:rPr>
              <w:t>of</w:t>
            </w:r>
            <w:r w:rsidRPr="00B15ECE">
              <w:rPr>
                <w:rFonts w:ascii="Times New Roman" w:hAnsi="Times New Roman" w:cs="Times New Roman"/>
                <w:sz w:val="20"/>
                <w:szCs w:val="20"/>
              </w:rPr>
              <w:t xml:space="preserve"> $85,654 to the health system and $48,664 to employees and their spouses. </w:t>
            </w:r>
          </w:p>
          <w:p w14:paraId="435C246D"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993" w:type="dxa"/>
          </w:tcPr>
          <w:p w14:paraId="40EE3BCB" w14:textId="6D272B83"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The aim of this retrospective chart review was to assess whether implementing a pharmacist-driven formulary management service would aid in medication cost reduction.</w:t>
            </w:r>
            <w:r w:rsidR="000346F1">
              <w:rPr>
                <w:rFonts w:ascii="Times New Roman" w:hAnsi="Times New Roman" w:cs="Times New Roman"/>
                <w:sz w:val="20"/>
                <w:szCs w:val="20"/>
              </w:rPr>
              <w:t xml:space="preserve"> S</w:t>
            </w:r>
            <w:r w:rsidRPr="00B15ECE">
              <w:rPr>
                <w:rFonts w:ascii="Times New Roman" w:hAnsi="Times New Roman" w:cs="Times New Roman"/>
                <w:sz w:val="20"/>
                <w:szCs w:val="20"/>
              </w:rPr>
              <w:t xml:space="preserve">avings </w:t>
            </w:r>
            <w:r w:rsidR="000346F1">
              <w:rPr>
                <w:rFonts w:ascii="Times New Roman" w:hAnsi="Times New Roman" w:cs="Times New Roman"/>
                <w:sz w:val="20"/>
                <w:szCs w:val="20"/>
              </w:rPr>
              <w:t>on medications for</w:t>
            </w:r>
            <w:r w:rsidRPr="00B15ECE">
              <w:rPr>
                <w:rFonts w:ascii="Times New Roman" w:hAnsi="Times New Roman" w:cs="Times New Roman"/>
                <w:sz w:val="20"/>
                <w:szCs w:val="20"/>
              </w:rPr>
              <w:t xml:space="preserve"> the health system was </w:t>
            </w:r>
            <w:r w:rsidR="000346F1" w:rsidRPr="00B15ECE">
              <w:rPr>
                <w:rFonts w:ascii="Times New Roman" w:hAnsi="Times New Roman" w:cs="Times New Roman"/>
                <w:sz w:val="20"/>
                <w:szCs w:val="20"/>
              </w:rPr>
              <w:t>evaluated</w:t>
            </w:r>
            <w:r w:rsidR="000346F1">
              <w:rPr>
                <w:rFonts w:ascii="Times New Roman" w:hAnsi="Times New Roman" w:cs="Times New Roman"/>
                <w:sz w:val="20"/>
                <w:szCs w:val="20"/>
              </w:rPr>
              <w:t xml:space="preserve"> </w:t>
            </w:r>
            <w:r w:rsidRPr="00B15ECE">
              <w:rPr>
                <w:rFonts w:ascii="Times New Roman" w:hAnsi="Times New Roman" w:cs="Times New Roman"/>
                <w:sz w:val="20"/>
                <w:szCs w:val="20"/>
              </w:rPr>
              <w:t>before and after pharmacist interventio</w:t>
            </w:r>
            <w:r w:rsidR="000346F1">
              <w:rPr>
                <w:rFonts w:ascii="Times New Roman" w:hAnsi="Times New Roman" w:cs="Times New Roman"/>
                <w:sz w:val="20"/>
                <w:szCs w:val="20"/>
              </w:rPr>
              <w:t>n and supported the use of a formulary management service.</w:t>
            </w:r>
          </w:p>
        </w:tc>
        <w:tc>
          <w:tcPr>
            <w:tcW w:w="1352" w:type="dxa"/>
          </w:tcPr>
          <w:p w14:paraId="0E78BE8E"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15ECE">
              <w:rPr>
                <w:rFonts w:ascii="Times New Roman" w:hAnsi="Times New Roman" w:cs="Times New Roman"/>
                <w:sz w:val="20"/>
                <w:szCs w:val="20"/>
              </w:rPr>
              <w:t>Supports the potential cost savings associated with appropriate formulary management.</w:t>
            </w:r>
          </w:p>
        </w:tc>
      </w:tr>
      <w:tr w:rsidR="00FE31D3" w14:paraId="1D2896C8"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446C181B" w14:textId="77777777" w:rsidR="00FE31D3" w:rsidRPr="00BC2B71" w:rsidRDefault="00FE31D3" w:rsidP="00CB1516">
            <w:pPr>
              <w:contextualSpacing/>
              <w:jc w:val="both"/>
              <w:rPr>
                <w:rFonts w:ascii="Times New Roman" w:hAnsi="Times New Roman" w:cs="Times New Roman"/>
                <w:b w:val="0"/>
                <w:bCs w:val="0"/>
                <w:sz w:val="20"/>
                <w:szCs w:val="20"/>
              </w:rPr>
            </w:pPr>
            <w:proofErr w:type="spellStart"/>
            <w:r w:rsidRPr="00B15ECE">
              <w:rPr>
                <w:rFonts w:ascii="Times New Roman" w:hAnsi="Times New Roman" w:cs="Times New Roman"/>
                <w:b w:val="0"/>
                <w:bCs w:val="0"/>
                <w:sz w:val="20"/>
                <w:szCs w:val="20"/>
              </w:rPr>
              <w:t>Loborec</w:t>
            </w:r>
            <w:proofErr w:type="spellEnd"/>
            <w:r w:rsidRPr="00B15ECE">
              <w:rPr>
                <w:rFonts w:ascii="Times New Roman" w:hAnsi="Times New Roman" w:cs="Times New Roman"/>
                <w:b w:val="0"/>
                <w:bCs w:val="0"/>
                <w:sz w:val="20"/>
                <w:szCs w:val="20"/>
              </w:rPr>
              <w:t xml:space="preserve">, S. M., Johnson, S. E., &amp; Keating, E. A. (2016). Financial effect of converting ipratropium-albuterol therapy from inhalers to nebulizer treatments at an academic health system. </w:t>
            </w:r>
            <w:r w:rsidRPr="00B15ECE">
              <w:rPr>
                <w:rFonts w:ascii="Times New Roman" w:hAnsi="Times New Roman" w:cs="Times New Roman"/>
                <w:b w:val="0"/>
                <w:bCs w:val="0"/>
                <w:i/>
                <w:iCs/>
                <w:sz w:val="20"/>
                <w:szCs w:val="20"/>
              </w:rPr>
              <w:t>American Journal of Health-System Pharmacy, 73</w:t>
            </w:r>
            <w:r w:rsidRPr="00B15ECE">
              <w:rPr>
                <w:rFonts w:ascii="Times New Roman" w:hAnsi="Times New Roman" w:cs="Times New Roman"/>
                <w:b w:val="0"/>
                <w:bCs w:val="0"/>
                <w:sz w:val="20"/>
                <w:szCs w:val="20"/>
              </w:rPr>
              <w:t xml:space="preserve">(3), 121–125. </w:t>
            </w:r>
            <w:hyperlink r:id="rId31" w:history="1">
              <w:r w:rsidRPr="006663B7">
                <w:rPr>
                  <w:rStyle w:val="Hyperlink"/>
                  <w:rFonts w:ascii="Times New Roman" w:hAnsi="Times New Roman" w:cs="Times New Roman"/>
                  <w:b w:val="0"/>
                  <w:bCs w:val="0"/>
                  <w:sz w:val="20"/>
                  <w:szCs w:val="20"/>
                </w:rPr>
                <w:t>https://tinyurl.com/2p9xdw8p</w:t>
              </w:r>
            </w:hyperlink>
          </w:p>
        </w:tc>
        <w:tc>
          <w:tcPr>
            <w:tcW w:w="1080" w:type="dxa"/>
          </w:tcPr>
          <w:p w14:paraId="01E59D80"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Level III</w:t>
            </w:r>
          </w:p>
        </w:tc>
        <w:tc>
          <w:tcPr>
            <w:tcW w:w="1695" w:type="dxa"/>
          </w:tcPr>
          <w:p w14:paraId="60D7FB3C"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15ECE">
              <w:rPr>
                <w:rFonts w:ascii="Times New Roman" w:hAnsi="Times New Roman" w:cs="Times New Roman"/>
                <w:sz w:val="20"/>
                <w:szCs w:val="20"/>
              </w:rPr>
              <w:t xml:space="preserve">The authors found that the utilization of automatic formulary substitution to ipratropium-albuterol nebulization solution from MDIs resulted in an overall savings of $146,806 during the implementation year and a projected savings </w:t>
            </w:r>
            <w:r w:rsidRPr="00B15ECE">
              <w:rPr>
                <w:rFonts w:ascii="Times New Roman" w:hAnsi="Times New Roman" w:cs="Times New Roman"/>
                <w:sz w:val="20"/>
                <w:szCs w:val="20"/>
              </w:rPr>
              <w:lastRenderedPageBreak/>
              <w:t>of $257,936 for each following year.</w:t>
            </w:r>
          </w:p>
        </w:tc>
        <w:tc>
          <w:tcPr>
            <w:tcW w:w="1993" w:type="dxa"/>
          </w:tcPr>
          <w:p w14:paraId="58CE0E6E" w14:textId="23FE85C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15ECE">
              <w:rPr>
                <w:rFonts w:ascii="Times New Roman" w:hAnsi="Times New Roman" w:cs="Times New Roman"/>
                <w:sz w:val="20"/>
                <w:szCs w:val="20"/>
              </w:rPr>
              <w:lastRenderedPageBreak/>
              <w:t xml:space="preserve">The </w:t>
            </w:r>
            <w:r>
              <w:rPr>
                <w:rFonts w:ascii="Times New Roman" w:hAnsi="Times New Roman" w:cs="Times New Roman"/>
                <w:sz w:val="20"/>
                <w:szCs w:val="20"/>
              </w:rPr>
              <w:t>purpose of this</w:t>
            </w:r>
            <w:r w:rsidRPr="00B15ECE">
              <w:rPr>
                <w:rFonts w:ascii="Times New Roman" w:hAnsi="Times New Roman" w:cs="Times New Roman"/>
                <w:sz w:val="20"/>
                <w:szCs w:val="20"/>
              </w:rPr>
              <w:t xml:space="preserve"> </w:t>
            </w:r>
            <w:r>
              <w:rPr>
                <w:rFonts w:ascii="Times New Roman" w:hAnsi="Times New Roman" w:cs="Times New Roman"/>
                <w:sz w:val="20"/>
                <w:szCs w:val="20"/>
              </w:rPr>
              <w:t xml:space="preserve">retrospective analysis </w:t>
            </w:r>
            <w:r w:rsidRPr="00B15ECE">
              <w:rPr>
                <w:rFonts w:ascii="Times New Roman" w:hAnsi="Times New Roman" w:cs="Times New Roman"/>
                <w:sz w:val="20"/>
                <w:szCs w:val="20"/>
              </w:rPr>
              <w:t>study</w:t>
            </w:r>
            <w:r>
              <w:rPr>
                <w:rFonts w:ascii="Times New Roman" w:hAnsi="Times New Roman" w:cs="Times New Roman"/>
                <w:sz w:val="20"/>
                <w:szCs w:val="20"/>
              </w:rPr>
              <w:t xml:space="preserve"> was</w:t>
            </w:r>
            <w:r w:rsidRPr="00B15ECE">
              <w:rPr>
                <w:rFonts w:ascii="Times New Roman" w:hAnsi="Times New Roman" w:cs="Times New Roman"/>
                <w:sz w:val="20"/>
                <w:szCs w:val="20"/>
              </w:rPr>
              <w:t xml:space="preserve"> to assess the </w:t>
            </w:r>
            <w:r w:rsidR="000346F1">
              <w:rPr>
                <w:rFonts w:ascii="Times New Roman" w:hAnsi="Times New Roman" w:cs="Times New Roman"/>
                <w:sz w:val="20"/>
                <w:szCs w:val="20"/>
              </w:rPr>
              <w:t>cost-effectiveness</w:t>
            </w:r>
            <w:r w:rsidRPr="00B15ECE">
              <w:rPr>
                <w:rFonts w:ascii="Times New Roman" w:hAnsi="Times New Roman" w:cs="Times New Roman"/>
                <w:sz w:val="20"/>
                <w:szCs w:val="20"/>
              </w:rPr>
              <w:t xml:space="preserve"> of an automat</w:t>
            </w:r>
            <w:r w:rsidR="000346F1">
              <w:rPr>
                <w:rFonts w:ascii="Times New Roman" w:hAnsi="Times New Roman" w:cs="Times New Roman"/>
                <w:sz w:val="20"/>
                <w:szCs w:val="20"/>
              </w:rPr>
              <w:t>ed</w:t>
            </w:r>
            <w:r w:rsidRPr="00B15ECE">
              <w:rPr>
                <w:rFonts w:ascii="Times New Roman" w:hAnsi="Times New Roman" w:cs="Times New Roman"/>
                <w:sz w:val="20"/>
                <w:szCs w:val="20"/>
              </w:rPr>
              <w:t xml:space="preserve"> formulary substitution of </w:t>
            </w:r>
            <w:r>
              <w:rPr>
                <w:rFonts w:ascii="Times New Roman" w:hAnsi="Times New Roman" w:cs="Times New Roman"/>
                <w:sz w:val="20"/>
                <w:szCs w:val="20"/>
              </w:rPr>
              <w:t xml:space="preserve">formulary </w:t>
            </w:r>
            <w:r w:rsidRPr="00B15ECE">
              <w:rPr>
                <w:rFonts w:ascii="Times New Roman" w:hAnsi="Times New Roman" w:cs="Times New Roman"/>
                <w:sz w:val="20"/>
                <w:szCs w:val="20"/>
              </w:rPr>
              <w:t>ipratropium-albuterol nebulization solution for ipratropium-albuterol metered-dose inhalers (MDIs) at an academic health system</w:t>
            </w:r>
            <w:r>
              <w:rPr>
                <w:rFonts w:ascii="Times New Roman" w:hAnsi="Times New Roman" w:cs="Times New Roman"/>
                <w:sz w:val="20"/>
                <w:szCs w:val="20"/>
              </w:rPr>
              <w:t>.</w:t>
            </w:r>
          </w:p>
        </w:tc>
        <w:tc>
          <w:tcPr>
            <w:tcW w:w="1352" w:type="dxa"/>
          </w:tcPr>
          <w:p w14:paraId="740C7670"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15ECE">
              <w:rPr>
                <w:rFonts w:ascii="Times New Roman" w:hAnsi="Times New Roman" w:cs="Times New Roman"/>
                <w:sz w:val="20"/>
                <w:szCs w:val="20"/>
              </w:rPr>
              <w:t>Automatic formulary substitutions present an efficacious opportunity to save mone</w:t>
            </w:r>
            <w:r>
              <w:rPr>
                <w:rFonts w:ascii="Times New Roman" w:hAnsi="Times New Roman" w:cs="Times New Roman"/>
                <w:sz w:val="20"/>
                <w:szCs w:val="20"/>
              </w:rPr>
              <w:t xml:space="preserve">y and demonstrates the impact of formulary compliance on cost reduction. </w:t>
            </w:r>
          </w:p>
        </w:tc>
      </w:tr>
      <w:tr w:rsidR="00FE31D3" w14:paraId="359BFFA5"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392D464E" w14:textId="77777777" w:rsidR="00FE31D3" w:rsidRPr="00B15ECE" w:rsidRDefault="00FE31D3" w:rsidP="00CB1516">
            <w:pPr>
              <w:contextualSpacing/>
              <w:rPr>
                <w:rFonts w:ascii="Times New Roman" w:hAnsi="Times New Roman" w:cs="Times New Roman"/>
                <w:b w:val="0"/>
                <w:bCs w:val="0"/>
                <w:sz w:val="20"/>
                <w:szCs w:val="20"/>
              </w:rPr>
            </w:pPr>
            <w:r w:rsidRPr="00B15ECE">
              <w:rPr>
                <w:rFonts w:ascii="Times New Roman" w:hAnsi="Times New Roman" w:cs="Times New Roman"/>
                <w:b w:val="0"/>
                <w:bCs w:val="0"/>
                <w:sz w:val="20"/>
                <w:szCs w:val="20"/>
              </w:rPr>
              <w:t>Lord-</w:t>
            </w:r>
            <w:proofErr w:type="spellStart"/>
            <w:r w:rsidRPr="00B15ECE">
              <w:rPr>
                <w:rFonts w:ascii="Times New Roman" w:hAnsi="Times New Roman" w:cs="Times New Roman"/>
                <w:b w:val="0"/>
                <w:bCs w:val="0"/>
                <w:sz w:val="20"/>
                <w:szCs w:val="20"/>
              </w:rPr>
              <w:t>Adem</w:t>
            </w:r>
            <w:proofErr w:type="spellEnd"/>
            <w:r w:rsidRPr="00B15ECE">
              <w:rPr>
                <w:rFonts w:ascii="Times New Roman" w:hAnsi="Times New Roman" w:cs="Times New Roman"/>
                <w:b w:val="0"/>
                <w:bCs w:val="0"/>
                <w:sz w:val="20"/>
                <w:szCs w:val="20"/>
              </w:rPr>
              <w:t xml:space="preserve">, W., &amp; Brandt, N. J. (2017). Clinical alerts to decrease high-risk medication use in older adults. </w:t>
            </w:r>
            <w:r w:rsidRPr="00B15ECE">
              <w:rPr>
                <w:rFonts w:ascii="Times New Roman" w:hAnsi="Times New Roman" w:cs="Times New Roman"/>
                <w:b w:val="0"/>
                <w:bCs w:val="0"/>
                <w:i/>
                <w:iCs/>
                <w:sz w:val="20"/>
                <w:szCs w:val="20"/>
              </w:rPr>
              <w:t>Journal of Gerontological Nursing, 43</w:t>
            </w:r>
            <w:r w:rsidRPr="00B15ECE">
              <w:rPr>
                <w:rFonts w:ascii="Times New Roman" w:hAnsi="Times New Roman" w:cs="Times New Roman"/>
                <w:b w:val="0"/>
                <w:bCs w:val="0"/>
                <w:sz w:val="20"/>
                <w:szCs w:val="20"/>
              </w:rPr>
              <w:t xml:space="preserve">(7), 7-12. </w:t>
            </w:r>
            <w:hyperlink r:id="rId32" w:history="1">
              <w:r w:rsidRPr="006663B7">
                <w:rPr>
                  <w:rStyle w:val="Hyperlink"/>
                  <w:rFonts w:ascii="Times New Roman" w:hAnsi="Times New Roman" w:cs="Times New Roman"/>
                  <w:b w:val="0"/>
                  <w:bCs w:val="0"/>
                  <w:sz w:val="20"/>
                  <w:szCs w:val="20"/>
                </w:rPr>
                <w:t>https://tinyurl.com/2p9yjbry</w:t>
              </w:r>
            </w:hyperlink>
          </w:p>
          <w:p w14:paraId="18EEFB66" w14:textId="77777777" w:rsidR="00FE31D3" w:rsidRPr="00BC2B71" w:rsidRDefault="00FE31D3" w:rsidP="00CB1516">
            <w:pPr>
              <w:contextualSpacing/>
              <w:jc w:val="both"/>
              <w:rPr>
                <w:rFonts w:ascii="Times New Roman" w:hAnsi="Times New Roman" w:cs="Times New Roman"/>
                <w:b w:val="0"/>
                <w:bCs w:val="0"/>
                <w:sz w:val="20"/>
                <w:szCs w:val="20"/>
              </w:rPr>
            </w:pPr>
          </w:p>
        </w:tc>
        <w:tc>
          <w:tcPr>
            <w:tcW w:w="1080" w:type="dxa"/>
          </w:tcPr>
          <w:p w14:paraId="232F4276"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Level V</w:t>
            </w:r>
          </w:p>
        </w:tc>
        <w:tc>
          <w:tcPr>
            <w:tcW w:w="1695" w:type="dxa"/>
          </w:tcPr>
          <w:p w14:paraId="67156A81"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Further studies are needed to explore ways to overcome barriers to the incorporation of clinical alert systems and electronic decision support within healthcare systems. </w:t>
            </w:r>
          </w:p>
        </w:tc>
        <w:tc>
          <w:tcPr>
            <w:tcW w:w="1993" w:type="dxa"/>
          </w:tcPr>
          <w:p w14:paraId="3BA3B533"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This qualitative analysis explores the use of electronic decision support in the prevention of a high-risk-medication adverse events in older adults. While many studies have demonstrated the benefits of clinical alert systems, there are many obstacles that inhibit their use.</w:t>
            </w:r>
          </w:p>
        </w:tc>
        <w:tc>
          <w:tcPr>
            <w:tcW w:w="1352" w:type="dxa"/>
          </w:tcPr>
          <w:p w14:paraId="126B334E" w14:textId="58E39C46"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This analysis supports the utilization of clinical alerts to </w:t>
            </w:r>
            <w:r w:rsidR="000346F1">
              <w:rPr>
                <w:rFonts w:ascii="Times New Roman" w:hAnsi="Times New Roman" w:cs="Times New Roman"/>
                <w:sz w:val="20"/>
                <w:szCs w:val="20"/>
              </w:rPr>
              <w:t>lower</w:t>
            </w:r>
            <w:r>
              <w:rPr>
                <w:rFonts w:ascii="Times New Roman" w:hAnsi="Times New Roman" w:cs="Times New Roman"/>
                <w:sz w:val="20"/>
                <w:szCs w:val="20"/>
              </w:rPr>
              <w:t xml:space="preserve"> </w:t>
            </w:r>
            <w:r w:rsidRPr="006663B7">
              <w:rPr>
                <w:rFonts w:ascii="Times New Roman" w:hAnsi="Times New Roman" w:cs="Times New Roman"/>
                <w:sz w:val="20"/>
                <w:szCs w:val="20"/>
              </w:rPr>
              <w:t>ordering errors, i</w:t>
            </w:r>
            <w:r w:rsidR="000346F1">
              <w:rPr>
                <w:rFonts w:ascii="Times New Roman" w:hAnsi="Times New Roman" w:cs="Times New Roman"/>
                <w:sz w:val="20"/>
                <w:szCs w:val="20"/>
              </w:rPr>
              <w:t>mprove</w:t>
            </w:r>
            <w:r w:rsidRPr="006663B7">
              <w:rPr>
                <w:rFonts w:ascii="Times New Roman" w:hAnsi="Times New Roman" w:cs="Times New Roman"/>
                <w:sz w:val="20"/>
                <w:szCs w:val="20"/>
              </w:rPr>
              <w:t xml:space="preserve"> patient safety, and </w:t>
            </w:r>
            <w:r w:rsidR="000346F1" w:rsidRPr="006663B7">
              <w:rPr>
                <w:rFonts w:ascii="Times New Roman" w:hAnsi="Times New Roman" w:cs="Times New Roman"/>
                <w:sz w:val="20"/>
                <w:szCs w:val="20"/>
              </w:rPr>
              <w:t>generate</w:t>
            </w:r>
            <w:r w:rsidRPr="006663B7">
              <w:rPr>
                <w:rFonts w:ascii="Times New Roman" w:hAnsi="Times New Roman" w:cs="Times New Roman"/>
                <w:sz w:val="20"/>
                <w:szCs w:val="20"/>
              </w:rPr>
              <w:t xml:space="preserve"> </w:t>
            </w:r>
            <w:r w:rsidR="000346F1">
              <w:rPr>
                <w:rFonts w:ascii="Times New Roman" w:hAnsi="Times New Roman" w:cs="Times New Roman"/>
                <w:sz w:val="20"/>
                <w:szCs w:val="20"/>
              </w:rPr>
              <w:t>cost</w:t>
            </w:r>
            <w:r w:rsidRPr="006663B7">
              <w:rPr>
                <w:rFonts w:ascii="Times New Roman" w:hAnsi="Times New Roman" w:cs="Times New Roman"/>
                <w:sz w:val="20"/>
                <w:szCs w:val="20"/>
              </w:rPr>
              <w:t xml:space="preserve"> savings for patients and organizations</w:t>
            </w:r>
            <w:r>
              <w:rPr>
                <w:rFonts w:ascii="Times New Roman" w:hAnsi="Times New Roman" w:cs="Times New Roman"/>
                <w:sz w:val="20"/>
                <w:szCs w:val="20"/>
              </w:rPr>
              <w:t>.</w:t>
            </w:r>
          </w:p>
        </w:tc>
      </w:tr>
      <w:tr w:rsidR="00FE31D3" w14:paraId="18366918"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3CAB1B48" w14:textId="77777777" w:rsidR="00FE31D3" w:rsidRDefault="00FE31D3" w:rsidP="00CB1516">
            <w:pPr>
              <w:contextualSpacing/>
              <w:jc w:val="both"/>
              <w:rPr>
                <w:rStyle w:val="Hyperlink"/>
                <w:rFonts w:ascii="Times New Roman" w:hAnsi="Times New Roman" w:cs="Times New Roman"/>
                <w:color w:val="auto"/>
                <w:sz w:val="20"/>
                <w:szCs w:val="20"/>
              </w:rPr>
            </w:pPr>
            <w:r w:rsidRPr="00B15ECE">
              <w:rPr>
                <w:rFonts w:ascii="Times New Roman" w:hAnsi="Times New Roman" w:cs="Times New Roman"/>
                <w:b w:val="0"/>
                <w:bCs w:val="0"/>
                <w:sz w:val="20"/>
                <w:szCs w:val="20"/>
              </w:rPr>
              <w:t xml:space="preserve">Melton, B. L. (2017). Systematic review of medical informatics–supported medication decision making. </w:t>
            </w:r>
            <w:r w:rsidRPr="00B15ECE">
              <w:rPr>
                <w:rFonts w:ascii="Times New Roman" w:hAnsi="Times New Roman" w:cs="Times New Roman"/>
                <w:b w:val="0"/>
                <w:bCs w:val="0"/>
                <w:i/>
                <w:iCs/>
                <w:sz w:val="20"/>
                <w:szCs w:val="20"/>
              </w:rPr>
              <w:t>Biomedical Informatics Insights</w:t>
            </w:r>
            <w:r w:rsidRPr="00B15ECE">
              <w:rPr>
                <w:rFonts w:ascii="Times New Roman" w:hAnsi="Times New Roman" w:cs="Times New Roman"/>
                <w:b w:val="0"/>
                <w:bCs w:val="0"/>
                <w:sz w:val="20"/>
                <w:szCs w:val="20"/>
              </w:rPr>
              <w:t xml:space="preserve">. </w:t>
            </w:r>
            <w:hyperlink r:id="rId33" w:history="1">
              <w:r w:rsidRPr="006663B7">
                <w:rPr>
                  <w:rStyle w:val="Hyperlink"/>
                  <w:rFonts w:ascii="Times New Roman" w:hAnsi="Times New Roman" w:cs="Times New Roman"/>
                  <w:b w:val="0"/>
                  <w:bCs w:val="0"/>
                  <w:sz w:val="20"/>
                  <w:szCs w:val="20"/>
                </w:rPr>
                <w:t>https://tinyurl.com/bp8etm8z</w:t>
              </w:r>
            </w:hyperlink>
          </w:p>
          <w:p w14:paraId="0B4277CB" w14:textId="77777777" w:rsidR="00FE31D3" w:rsidRPr="00BC2B71" w:rsidRDefault="00FE31D3" w:rsidP="00CB1516">
            <w:pPr>
              <w:contextualSpacing/>
              <w:jc w:val="both"/>
              <w:rPr>
                <w:rFonts w:ascii="Times New Roman" w:hAnsi="Times New Roman" w:cs="Times New Roman"/>
                <w:b w:val="0"/>
                <w:bCs w:val="0"/>
                <w:sz w:val="20"/>
                <w:szCs w:val="20"/>
              </w:rPr>
            </w:pPr>
          </w:p>
        </w:tc>
        <w:tc>
          <w:tcPr>
            <w:tcW w:w="1080" w:type="dxa"/>
          </w:tcPr>
          <w:p w14:paraId="0FFA6A09"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Level I </w:t>
            </w:r>
          </w:p>
        </w:tc>
        <w:tc>
          <w:tcPr>
            <w:tcW w:w="1695" w:type="dxa"/>
          </w:tcPr>
          <w:p w14:paraId="14C29318"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This systematic review included 39 articles from PubMed in the English language between 2006 and 2016 regarding decision support systems related to medications. </w:t>
            </w:r>
          </w:p>
        </w:tc>
        <w:tc>
          <w:tcPr>
            <w:tcW w:w="1993" w:type="dxa"/>
          </w:tcPr>
          <w:p w14:paraId="0791BF90"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This review found that the employment of a well-designed electronic clinical decision support system improves patient outcomes and safety, as well as efficiency. </w:t>
            </w:r>
          </w:p>
        </w:tc>
        <w:tc>
          <w:tcPr>
            <w:tcW w:w="1352" w:type="dxa"/>
          </w:tcPr>
          <w:p w14:paraId="7D6EA17E"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This review supports the utilization of clinical support systems to improve efficiency.</w:t>
            </w:r>
          </w:p>
        </w:tc>
      </w:tr>
      <w:tr w:rsidR="00FE31D3" w14:paraId="53327E04"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7A6A7D2E" w14:textId="77777777" w:rsidR="00FE31D3" w:rsidRDefault="00FE31D3" w:rsidP="00CB1516">
            <w:pPr>
              <w:contextualSpacing/>
              <w:jc w:val="both"/>
              <w:rPr>
                <w:rFonts w:ascii="Times New Roman" w:hAnsi="Times New Roman" w:cs="Times New Roman"/>
                <w:sz w:val="20"/>
                <w:szCs w:val="20"/>
              </w:rPr>
            </w:pPr>
            <w:r w:rsidRPr="00BC2B71">
              <w:rPr>
                <w:rFonts w:ascii="Times New Roman" w:hAnsi="Times New Roman" w:cs="Times New Roman"/>
                <w:b w:val="0"/>
                <w:bCs w:val="0"/>
                <w:sz w:val="20"/>
                <w:szCs w:val="20"/>
              </w:rPr>
              <w:t>Platt, L., Savage, T. A., &amp; Rajagopal, N. (2020). An intervention to decrease benzodiazepine prescribing by providers in an urban clinic.</w:t>
            </w:r>
            <w:r w:rsidRPr="00BC2B71">
              <w:rPr>
                <w:rFonts w:ascii="Times New Roman" w:hAnsi="Times New Roman" w:cs="Times New Roman"/>
                <w:b w:val="0"/>
                <w:bCs w:val="0"/>
                <w:i/>
                <w:iCs/>
                <w:sz w:val="20"/>
                <w:szCs w:val="20"/>
              </w:rPr>
              <w:t> Journal of Psychosocial Nursing and Mental Health Services, 58</w:t>
            </w:r>
            <w:r w:rsidRPr="00BC2B71">
              <w:rPr>
                <w:rFonts w:ascii="Times New Roman" w:hAnsi="Times New Roman" w:cs="Times New Roman"/>
                <w:b w:val="0"/>
                <w:bCs w:val="0"/>
                <w:sz w:val="20"/>
                <w:szCs w:val="20"/>
              </w:rPr>
              <w:t>(1), 39-45. </w:t>
            </w:r>
            <w:hyperlink r:id="rId34" w:history="1">
              <w:r w:rsidRPr="006663B7">
                <w:rPr>
                  <w:rStyle w:val="Hyperlink"/>
                  <w:rFonts w:ascii="Times New Roman" w:hAnsi="Times New Roman" w:cs="Times New Roman"/>
                  <w:b w:val="0"/>
                  <w:bCs w:val="0"/>
                  <w:sz w:val="20"/>
                  <w:szCs w:val="20"/>
                </w:rPr>
                <w:t>https://tinyurl.com/mryw9eds</w:t>
              </w:r>
            </w:hyperlink>
          </w:p>
          <w:p w14:paraId="62514824" w14:textId="77777777" w:rsidR="00FE31D3" w:rsidRPr="00BC2B71" w:rsidRDefault="00FE31D3" w:rsidP="00CB1516">
            <w:pPr>
              <w:contextualSpacing/>
              <w:jc w:val="both"/>
              <w:rPr>
                <w:rFonts w:ascii="Times New Roman" w:hAnsi="Times New Roman" w:cs="Times New Roman"/>
                <w:b w:val="0"/>
                <w:bCs w:val="0"/>
                <w:sz w:val="20"/>
                <w:szCs w:val="20"/>
              </w:rPr>
            </w:pPr>
          </w:p>
        </w:tc>
        <w:tc>
          <w:tcPr>
            <w:tcW w:w="1080" w:type="dxa"/>
          </w:tcPr>
          <w:p w14:paraId="634985C9"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Level V</w:t>
            </w:r>
          </w:p>
          <w:p w14:paraId="169E61C3"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QI Project</w:t>
            </w:r>
          </w:p>
        </w:tc>
        <w:tc>
          <w:tcPr>
            <w:tcW w:w="1695" w:type="dxa"/>
          </w:tcPr>
          <w:p w14:paraId="55194556"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This project compared the </w:t>
            </w:r>
            <w:r w:rsidRPr="006663B7">
              <w:rPr>
                <w:rFonts w:ascii="Times New Roman" w:hAnsi="Times New Roman" w:cs="Times New Roman"/>
                <w:sz w:val="20"/>
                <w:szCs w:val="20"/>
              </w:rPr>
              <w:t xml:space="preserve">monthly average of </w:t>
            </w:r>
            <w:r>
              <w:rPr>
                <w:rFonts w:ascii="Times New Roman" w:hAnsi="Times New Roman" w:cs="Times New Roman"/>
                <w:sz w:val="20"/>
                <w:szCs w:val="20"/>
              </w:rPr>
              <w:t xml:space="preserve">benzodiazepine </w:t>
            </w:r>
            <w:r w:rsidRPr="006663B7">
              <w:rPr>
                <w:rFonts w:ascii="Times New Roman" w:hAnsi="Times New Roman" w:cs="Times New Roman"/>
                <w:sz w:val="20"/>
                <w:szCs w:val="20"/>
              </w:rPr>
              <w:t xml:space="preserve">prescriptions written </w:t>
            </w:r>
            <w:r>
              <w:rPr>
                <w:rFonts w:ascii="Times New Roman" w:hAnsi="Times New Roman" w:cs="Times New Roman"/>
                <w:sz w:val="20"/>
                <w:szCs w:val="20"/>
              </w:rPr>
              <w:t xml:space="preserve">in 2017, prior to its intervention, </w:t>
            </w:r>
            <w:r w:rsidRPr="006663B7">
              <w:rPr>
                <w:rFonts w:ascii="Times New Roman" w:hAnsi="Times New Roman" w:cs="Times New Roman"/>
                <w:sz w:val="20"/>
                <w:szCs w:val="20"/>
              </w:rPr>
              <w:t xml:space="preserve">to the number written 30 days </w:t>
            </w:r>
            <w:r>
              <w:rPr>
                <w:rFonts w:ascii="Times New Roman" w:hAnsi="Times New Roman" w:cs="Times New Roman"/>
                <w:sz w:val="20"/>
                <w:szCs w:val="20"/>
              </w:rPr>
              <w:t>following</w:t>
            </w:r>
            <w:r w:rsidRPr="006663B7">
              <w:rPr>
                <w:rFonts w:ascii="Times New Roman" w:hAnsi="Times New Roman" w:cs="Times New Roman"/>
                <w:sz w:val="20"/>
                <w:szCs w:val="20"/>
              </w:rPr>
              <w:t xml:space="preserve"> the intervention. </w:t>
            </w:r>
            <w:r>
              <w:rPr>
                <w:rFonts w:ascii="Times New Roman" w:hAnsi="Times New Roman" w:cs="Times New Roman"/>
                <w:sz w:val="20"/>
                <w:szCs w:val="20"/>
              </w:rPr>
              <w:t>The project results reported</w:t>
            </w:r>
            <w:r w:rsidRPr="006663B7">
              <w:rPr>
                <w:rFonts w:ascii="Times New Roman" w:hAnsi="Times New Roman" w:cs="Times New Roman"/>
                <w:sz w:val="20"/>
                <w:szCs w:val="20"/>
              </w:rPr>
              <w:t xml:space="preserve"> an 80% reduction in</w:t>
            </w:r>
            <w:r>
              <w:rPr>
                <w:rFonts w:ascii="Times New Roman" w:hAnsi="Times New Roman" w:cs="Times New Roman"/>
                <w:sz w:val="20"/>
                <w:szCs w:val="20"/>
              </w:rPr>
              <w:t xml:space="preserve"> </w:t>
            </w:r>
            <w:r w:rsidRPr="006663B7">
              <w:rPr>
                <w:rFonts w:ascii="Times New Roman" w:hAnsi="Times New Roman" w:cs="Times New Roman"/>
                <w:sz w:val="20"/>
                <w:szCs w:val="20"/>
              </w:rPr>
              <w:t>prescribed</w:t>
            </w:r>
            <w:r>
              <w:rPr>
                <w:rFonts w:ascii="Times New Roman" w:hAnsi="Times New Roman" w:cs="Times New Roman"/>
                <w:sz w:val="20"/>
                <w:szCs w:val="20"/>
              </w:rPr>
              <w:t xml:space="preserve"> benzodiazepines.</w:t>
            </w:r>
          </w:p>
        </w:tc>
        <w:tc>
          <w:tcPr>
            <w:tcW w:w="1993" w:type="dxa"/>
          </w:tcPr>
          <w:p w14:paraId="4585E9BB"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This quality improvement project aimed to reduce the number of benzodiazepines ordered by implementing an educational intervention with academic and pharmaceutical detailing. </w:t>
            </w:r>
          </w:p>
        </w:tc>
        <w:tc>
          <w:tcPr>
            <w:tcW w:w="1352" w:type="dxa"/>
          </w:tcPr>
          <w:p w14:paraId="3D647D94"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This report supports the use of quality improvement project and educational interventions to reduce specific medication orders. </w:t>
            </w:r>
          </w:p>
        </w:tc>
      </w:tr>
      <w:tr w:rsidR="00FE31D3" w14:paraId="5A49285B"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531944D5" w14:textId="77777777" w:rsidR="00FE31D3" w:rsidRPr="00BC2B71" w:rsidRDefault="00FE31D3" w:rsidP="00CB1516">
            <w:pPr>
              <w:contextualSpacing/>
              <w:jc w:val="both"/>
              <w:rPr>
                <w:rFonts w:ascii="Times New Roman" w:hAnsi="Times New Roman" w:cs="Times New Roman"/>
                <w:b w:val="0"/>
                <w:bCs w:val="0"/>
                <w:sz w:val="20"/>
                <w:szCs w:val="20"/>
              </w:rPr>
            </w:pPr>
            <w:r w:rsidRPr="00B15ECE">
              <w:rPr>
                <w:rFonts w:ascii="Times New Roman" w:hAnsi="Times New Roman" w:cs="Times New Roman"/>
                <w:b w:val="0"/>
                <w:bCs w:val="0"/>
                <w:sz w:val="20"/>
                <w:szCs w:val="20"/>
              </w:rPr>
              <w:t xml:space="preserve">Stenner, S. P., Chakravarthy, R., Johnson, K. B., Miller, W. L., Olson, J., </w:t>
            </w:r>
            <w:proofErr w:type="spellStart"/>
            <w:r w:rsidRPr="00B15ECE">
              <w:rPr>
                <w:rFonts w:ascii="Times New Roman" w:hAnsi="Times New Roman" w:cs="Times New Roman"/>
                <w:b w:val="0"/>
                <w:bCs w:val="0"/>
                <w:sz w:val="20"/>
                <w:szCs w:val="20"/>
              </w:rPr>
              <w:t>Wickizer</w:t>
            </w:r>
            <w:proofErr w:type="spellEnd"/>
            <w:r w:rsidRPr="00B15ECE">
              <w:rPr>
                <w:rFonts w:ascii="Times New Roman" w:hAnsi="Times New Roman" w:cs="Times New Roman"/>
                <w:b w:val="0"/>
                <w:bCs w:val="0"/>
                <w:sz w:val="20"/>
                <w:szCs w:val="20"/>
              </w:rPr>
              <w:t xml:space="preserve">, M., Johnson, N. N., </w:t>
            </w:r>
            <w:proofErr w:type="spellStart"/>
            <w:r w:rsidRPr="00B15ECE">
              <w:rPr>
                <w:rFonts w:ascii="Times New Roman" w:hAnsi="Times New Roman" w:cs="Times New Roman"/>
                <w:b w:val="0"/>
                <w:bCs w:val="0"/>
                <w:sz w:val="20"/>
                <w:szCs w:val="20"/>
              </w:rPr>
              <w:t>Ohmer</w:t>
            </w:r>
            <w:proofErr w:type="spellEnd"/>
            <w:r w:rsidRPr="00B15ECE">
              <w:rPr>
                <w:rFonts w:ascii="Times New Roman" w:hAnsi="Times New Roman" w:cs="Times New Roman"/>
                <w:b w:val="0"/>
                <w:bCs w:val="0"/>
                <w:sz w:val="20"/>
                <w:szCs w:val="20"/>
              </w:rPr>
              <w:t xml:space="preserve">, R., </w:t>
            </w:r>
            <w:proofErr w:type="spellStart"/>
            <w:r w:rsidRPr="00B15ECE">
              <w:rPr>
                <w:rFonts w:ascii="Times New Roman" w:hAnsi="Times New Roman" w:cs="Times New Roman"/>
                <w:b w:val="0"/>
                <w:bCs w:val="0"/>
                <w:sz w:val="20"/>
                <w:szCs w:val="20"/>
              </w:rPr>
              <w:t>Uskavitch</w:t>
            </w:r>
            <w:proofErr w:type="spellEnd"/>
            <w:r w:rsidRPr="00B15ECE">
              <w:rPr>
                <w:rFonts w:ascii="Times New Roman" w:hAnsi="Times New Roman" w:cs="Times New Roman"/>
                <w:b w:val="0"/>
                <w:bCs w:val="0"/>
                <w:sz w:val="20"/>
                <w:szCs w:val="20"/>
              </w:rPr>
              <w:t xml:space="preserve">, D. R., Bernard, G. R., Neal, E. B., &amp; Lehmann, C. U. (2016). </w:t>
            </w:r>
            <w:proofErr w:type="spellStart"/>
            <w:r w:rsidRPr="00B15ECE">
              <w:rPr>
                <w:rFonts w:ascii="Times New Roman" w:hAnsi="Times New Roman" w:cs="Times New Roman"/>
                <w:b w:val="0"/>
                <w:bCs w:val="0"/>
                <w:sz w:val="20"/>
                <w:szCs w:val="20"/>
              </w:rPr>
              <w:t>Eprescribing</w:t>
            </w:r>
            <w:proofErr w:type="spellEnd"/>
            <w:r w:rsidRPr="00B15ECE">
              <w:rPr>
                <w:rFonts w:ascii="Times New Roman" w:hAnsi="Times New Roman" w:cs="Times New Roman"/>
                <w:b w:val="0"/>
                <w:bCs w:val="0"/>
                <w:sz w:val="20"/>
                <w:szCs w:val="20"/>
              </w:rPr>
              <w:t xml:space="preserve">: Reducing costs through in-class therapeutic interchange. </w:t>
            </w:r>
            <w:r w:rsidRPr="00B15ECE">
              <w:rPr>
                <w:rFonts w:ascii="Times New Roman" w:hAnsi="Times New Roman" w:cs="Times New Roman"/>
                <w:b w:val="0"/>
                <w:bCs w:val="0"/>
                <w:i/>
                <w:iCs/>
                <w:sz w:val="20"/>
                <w:szCs w:val="20"/>
              </w:rPr>
              <w:t>Applied Clinical Informatics, 7</w:t>
            </w:r>
            <w:r w:rsidRPr="00B15ECE">
              <w:rPr>
                <w:rFonts w:ascii="Times New Roman" w:hAnsi="Times New Roman" w:cs="Times New Roman"/>
                <w:b w:val="0"/>
                <w:bCs w:val="0"/>
                <w:sz w:val="20"/>
                <w:szCs w:val="20"/>
              </w:rPr>
              <w:t xml:space="preserve">(4), 1168-1181. </w:t>
            </w:r>
            <w:hyperlink r:id="rId35" w:history="1">
              <w:r w:rsidRPr="006663B7">
                <w:rPr>
                  <w:rStyle w:val="Hyperlink"/>
                  <w:rFonts w:ascii="Times New Roman" w:hAnsi="Times New Roman" w:cs="Times New Roman"/>
                  <w:b w:val="0"/>
                  <w:bCs w:val="0"/>
                  <w:sz w:val="20"/>
                  <w:szCs w:val="20"/>
                </w:rPr>
                <w:t>https://tinyurl.com/ycks2dhc</w:t>
              </w:r>
            </w:hyperlink>
          </w:p>
        </w:tc>
        <w:tc>
          <w:tcPr>
            <w:tcW w:w="1080" w:type="dxa"/>
          </w:tcPr>
          <w:p w14:paraId="0B727001"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Level II</w:t>
            </w:r>
          </w:p>
          <w:p w14:paraId="403F9AEC"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95" w:type="dxa"/>
          </w:tcPr>
          <w:p w14:paraId="6327314A"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This study employed </w:t>
            </w:r>
            <w:r w:rsidRPr="006663B7">
              <w:rPr>
                <w:rFonts w:ascii="Times New Roman" w:hAnsi="Times New Roman" w:cs="Times New Roman"/>
                <w:sz w:val="20"/>
                <w:szCs w:val="20"/>
              </w:rPr>
              <w:t>four therapeutic interchange interventions</w:t>
            </w:r>
            <w:r>
              <w:rPr>
                <w:rFonts w:ascii="Times New Roman" w:hAnsi="Times New Roman" w:cs="Times New Roman"/>
                <w:sz w:val="20"/>
                <w:szCs w:val="20"/>
              </w:rPr>
              <w:t xml:space="preserve"> that produced a quarterly savings that</w:t>
            </w:r>
            <w:r w:rsidRPr="006663B7">
              <w:rPr>
                <w:rFonts w:ascii="Times New Roman" w:hAnsi="Times New Roman" w:cs="Times New Roman"/>
                <w:sz w:val="20"/>
                <w:szCs w:val="20"/>
              </w:rPr>
              <w:t xml:space="preserve"> exceeded $200,000 with an estimated annual savings of $800,000, or more </w:t>
            </w:r>
            <w:r w:rsidRPr="006663B7">
              <w:rPr>
                <w:rFonts w:ascii="Times New Roman" w:hAnsi="Times New Roman" w:cs="Times New Roman"/>
                <w:sz w:val="20"/>
                <w:szCs w:val="20"/>
              </w:rPr>
              <w:lastRenderedPageBreak/>
              <w:t>than $17 per member.</w:t>
            </w:r>
          </w:p>
        </w:tc>
        <w:tc>
          <w:tcPr>
            <w:tcW w:w="1993" w:type="dxa"/>
          </w:tcPr>
          <w:p w14:paraId="719AD0C0"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lastRenderedPageBreak/>
              <w:t>This prospective comparative study analyzed the monetary effects of implementing a therapeutic interchange for four specific drug classes using clinical decision support tool.</w:t>
            </w:r>
          </w:p>
        </w:tc>
        <w:tc>
          <w:tcPr>
            <w:tcW w:w="1352" w:type="dxa"/>
          </w:tcPr>
          <w:p w14:paraId="5B475307"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This study supports the use of a </w:t>
            </w:r>
            <w:r w:rsidRPr="006663B7">
              <w:rPr>
                <w:rFonts w:ascii="Times New Roman" w:hAnsi="Times New Roman" w:cs="Times New Roman"/>
                <w:sz w:val="20"/>
                <w:szCs w:val="20"/>
              </w:rPr>
              <w:t xml:space="preserve">therapeutic interchange clinical decision support tool </w:t>
            </w:r>
            <w:r>
              <w:rPr>
                <w:rFonts w:ascii="Times New Roman" w:hAnsi="Times New Roman" w:cs="Times New Roman"/>
                <w:sz w:val="20"/>
                <w:szCs w:val="20"/>
              </w:rPr>
              <w:t>upon order entry</w:t>
            </w:r>
            <w:r w:rsidRPr="006663B7">
              <w:rPr>
                <w:rFonts w:ascii="Times New Roman" w:hAnsi="Times New Roman" w:cs="Times New Roman"/>
                <w:sz w:val="20"/>
                <w:szCs w:val="20"/>
              </w:rPr>
              <w:t xml:space="preserve"> </w:t>
            </w:r>
            <w:r>
              <w:rPr>
                <w:rFonts w:ascii="Times New Roman" w:hAnsi="Times New Roman" w:cs="Times New Roman"/>
                <w:sz w:val="20"/>
                <w:szCs w:val="20"/>
              </w:rPr>
              <w:t xml:space="preserve">to improve compliance </w:t>
            </w:r>
            <w:r>
              <w:rPr>
                <w:rFonts w:ascii="Times New Roman" w:hAnsi="Times New Roman" w:cs="Times New Roman"/>
                <w:sz w:val="20"/>
                <w:szCs w:val="20"/>
              </w:rPr>
              <w:lastRenderedPageBreak/>
              <w:t>with recommendations and reduce cost.</w:t>
            </w:r>
          </w:p>
        </w:tc>
      </w:tr>
      <w:tr w:rsidR="00FE31D3" w14:paraId="78F00E4A" w14:textId="77777777" w:rsidTr="00CB1516">
        <w:tc>
          <w:tcPr>
            <w:cnfStyle w:val="001000000000" w:firstRow="0" w:lastRow="0" w:firstColumn="1" w:lastColumn="0" w:oddVBand="0" w:evenVBand="0" w:oddHBand="0" w:evenHBand="0" w:firstRowFirstColumn="0" w:firstRowLastColumn="0" w:lastRowFirstColumn="0" w:lastRowLastColumn="0"/>
            <w:tcW w:w="3505" w:type="dxa"/>
          </w:tcPr>
          <w:p w14:paraId="439E0BB7" w14:textId="77777777" w:rsidR="00FE31D3" w:rsidRPr="00BC2B71" w:rsidRDefault="00FE31D3" w:rsidP="00CB1516">
            <w:pPr>
              <w:contextualSpacing/>
              <w:jc w:val="both"/>
              <w:rPr>
                <w:rFonts w:ascii="Times New Roman" w:hAnsi="Times New Roman" w:cs="Times New Roman"/>
                <w:b w:val="0"/>
                <w:bCs w:val="0"/>
                <w:sz w:val="20"/>
                <w:szCs w:val="20"/>
              </w:rPr>
            </w:pPr>
            <w:r w:rsidRPr="00B15ECE">
              <w:rPr>
                <w:rFonts w:ascii="Times New Roman" w:hAnsi="Times New Roman" w:cs="Times New Roman"/>
                <w:b w:val="0"/>
                <w:bCs w:val="0"/>
                <w:sz w:val="20"/>
                <w:szCs w:val="20"/>
              </w:rPr>
              <w:t xml:space="preserve">Tseng, C., Lin, G. A., Davis, J., Taira, D. A., </w:t>
            </w:r>
            <w:proofErr w:type="spellStart"/>
            <w:r w:rsidRPr="00B15ECE">
              <w:rPr>
                <w:rFonts w:ascii="Times New Roman" w:hAnsi="Times New Roman" w:cs="Times New Roman"/>
                <w:b w:val="0"/>
                <w:bCs w:val="0"/>
                <w:sz w:val="20"/>
                <w:szCs w:val="20"/>
              </w:rPr>
              <w:t>Yazdany</w:t>
            </w:r>
            <w:proofErr w:type="spellEnd"/>
            <w:r w:rsidRPr="00B15ECE">
              <w:rPr>
                <w:rFonts w:ascii="Times New Roman" w:hAnsi="Times New Roman" w:cs="Times New Roman"/>
                <w:b w:val="0"/>
                <w:bCs w:val="0"/>
                <w:sz w:val="20"/>
                <w:szCs w:val="20"/>
              </w:rPr>
              <w:t xml:space="preserve">, J., He, Q., Chen, R., Imamura, A., &amp; Dudley, R. A. (2016). Giving formulary and drug cost information to providers and impact on medication cost and use: A longitudinal non-randomized study. </w:t>
            </w:r>
            <w:r w:rsidRPr="00B15ECE">
              <w:rPr>
                <w:rFonts w:ascii="Times New Roman" w:hAnsi="Times New Roman" w:cs="Times New Roman"/>
                <w:b w:val="0"/>
                <w:bCs w:val="0"/>
                <w:i/>
                <w:iCs/>
                <w:sz w:val="20"/>
                <w:szCs w:val="20"/>
              </w:rPr>
              <w:t>BMC Health Services Research, 16</w:t>
            </w:r>
            <w:r w:rsidRPr="00B15ECE">
              <w:rPr>
                <w:rFonts w:ascii="Times New Roman" w:hAnsi="Times New Roman" w:cs="Times New Roman"/>
                <w:b w:val="0"/>
                <w:bCs w:val="0"/>
                <w:sz w:val="20"/>
                <w:szCs w:val="20"/>
              </w:rPr>
              <w:t xml:space="preserve">(1), 499-499. </w:t>
            </w:r>
            <w:hyperlink r:id="rId36" w:history="1">
              <w:r w:rsidRPr="006663B7">
                <w:rPr>
                  <w:rStyle w:val="Hyperlink"/>
                  <w:rFonts w:ascii="Times New Roman" w:hAnsi="Times New Roman" w:cs="Times New Roman"/>
                  <w:b w:val="0"/>
                  <w:bCs w:val="0"/>
                  <w:sz w:val="20"/>
                  <w:szCs w:val="20"/>
                </w:rPr>
                <w:t>https://tinyurl.com/46n7kbaz</w:t>
              </w:r>
            </w:hyperlink>
          </w:p>
        </w:tc>
        <w:tc>
          <w:tcPr>
            <w:tcW w:w="1080" w:type="dxa"/>
          </w:tcPr>
          <w:p w14:paraId="21345176" w14:textId="77777777" w:rsidR="00FE31D3"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Level III</w:t>
            </w:r>
          </w:p>
        </w:tc>
        <w:tc>
          <w:tcPr>
            <w:tcW w:w="1695" w:type="dxa"/>
          </w:tcPr>
          <w:p w14:paraId="6F25D782" w14:textId="14A7371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15ECE">
              <w:rPr>
                <w:rFonts w:ascii="Times New Roman" w:hAnsi="Times New Roman" w:cs="Times New Roman"/>
                <w:sz w:val="20"/>
                <w:szCs w:val="20"/>
              </w:rPr>
              <w:t>Giving pr</w:t>
            </w:r>
            <w:r w:rsidR="000346F1">
              <w:rPr>
                <w:rFonts w:ascii="Times New Roman" w:hAnsi="Times New Roman" w:cs="Times New Roman"/>
                <w:sz w:val="20"/>
                <w:szCs w:val="20"/>
              </w:rPr>
              <w:t>escribers information regarding drug</w:t>
            </w:r>
            <w:r w:rsidRPr="00B15ECE">
              <w:rPr>
                <w:rFonts w:ascii="Times New Roman" w:hAnsi="Times New Roman" w:cs="Times New Roman"/>
                <w:sz w:val="20"/>
                <w:szCs w:val="20"/>
              </w:rPr>
              <w:t xml:space="preserve"> formular</w:t>
            </w:r>
            <w:r w:rsidR="000346F1">
              <w:rPr>
                <w:rFonts w:ascii="Times New Roman" w:hAnsi="Times New Roman" w:cs="Times New Roman"/>
                <w:sz w:val="20"/>
                <w:szCs w:val="20"/>
              </w:rPr>
              <w:t>ies and costs</w:t>
            </w:r>
            <w:r w:rsidRPr="00B15ECE">
              <w:rPr>
                <w:rFonts w:ascii="Times New Roman" w:hAnsi="Times New Roman" w:cs="Times New Roman"/>
                <w:sz w:val="20"/>
                <w:szCs w:val="20"/>
              </w:rPr>
              <w:t xml:space="preserve"> at the point of care </w:t>
            </w:r>
            <w:r w:rsidR="000346F1">
              <w:rPr>
                <w:rFonts w:ascii="Times New Roman" w:hAnsi="Times New Roman" w:cs="Times New Roman"/>
                <w:sz w:val="20"/>
                <w:szCs w:val="20"/>
              </w:rPr>
              <w:t>resulted in</w:t>
            </w:r>
            <w:r w:rsidRPr="00B15ECE">
              <w:rPr>
                <w:rFonts w:ascii="Times New Roman" w:hAnsi="Times New Roman" w:cs="Times New Roman"/>
                <w:sz w:val="20"/>
                <w:szCs w:val="20"/>
              </w:rPr>
              <w:t xml:space="preserve"> </w:t>
            </w:r>
            <w:r w:rsidR="000346F1">
              <w:rPr>
                <w:rFonts w:ascii="Times New Roman" w:hAnsi="Times New Roman" w:cs="Times New Roman"/>
                <w:sz w:val="20"/>
                <w:szCs w:val="20"/>
              </w:rPr>
              <w:t>less</w:t>
            </w:r>
            <w:r w:rsidRPr="00B15ECE">
              <w:rPr>
                <w:rFonts w:ascii="Times New Roman" w:hAnsi="Times New Roman" w:cs="Times New Roman"/>
                <w:sz w:val="20"/>
                <w:szCs w:val="20"/>
              </w:rPr>
              <w:t xml:space="preserve"> increases in annual</w:t>
            </w:r>
            <w:r w:rsidR="000346F1">
              <w:rPr>
                <w:rFonts w:ascii="Times New Roman" w:hAnsi="Times New Roman" w:cs="Times New Roman"/>
                <w:sz w:val="20"/>
                <w:szCs w:val="20"/>
              </w:rPr>
              <w:t xml:space="preserve"> medication</w:t>
            </w:r>
            <w:r w:rsidRPr="00B15ECE">
              <w:rPr>
                <w:rFonts w:ascii="Times New Roman" w:hAnsi="Times New Roman" w:cs="Times New Roman"/>
                <w:sz w:val="20"/>
                <w:szCs w:val="20"/>
              </w:rPr>
              <w:t xml:space="preserve"> costs without </w:t>
            </w:r>
            <w:r w:rsidR="000346F1">
              <w:rPr>
                <w:rFonts w:ascii="Times New Roman" w:hAnsi="Times New Roman" w:cs="Times New Roman"/>
                <w:sz w:val="20"/>
                <w:szCs w:val="20"/>
              </w:rPr>
              <w:t>affecting</w:t>
            </w:r>
            <w:r w:rsidRPr="00B15ECE">
              <w:rPr>
                <w:rFonts w:ascii="Times New Roman" w:hAnsi="Times New Roman" w:cs="Times New Roman"/>
                <w:sz w:val="20"/>
                <w:szCs w:val="20"/>
              </w:rPr>
              <w:t xml:space="preserve"> out-of-pocket costs or medication use</w:t>
            </w:r>
            <w:r w:rsidR="000346F1">
              <w:rPr>
                <w:rFonts w:ascii="Times New Roman" w:hAnsi="Times New Roman" w:cs="Times New Roman"/>
                <w:sz w:val="20"/>
                <w:szCs w:val="20"/>
              </w:rPr>
              <w:t xml:space="preserve"> for patients.</w:t>
            </w:r>
          </w:p>
        </w:tc>
        <w:tc>
          <w:tcPr>
            <w:tcW w:w="1993" w:type="dxa"/>
          </w:tcPr>
          <w:p w14:paraId="19C9868C" w14:textId="48C93B2E"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B15ECE">
              <w:rPr>
                <w:rFonts w:ascii="Times New Roman" w:hAnsi="Times New Roman" w:cs="Times New Roman"/>
                <w:sz w:val="20"/>
                <w:szCs w:val="20"/>
              </w:rPr>
              <w:t>T</w:t>
            </w:r>
            <w:r>
              <w:rPr>
                <w:rFonts w:ascii="Times New Roman" w:hAnsi="Times New Roman" w:cs="Times New Roman"/>
                <w:sz w:val="20"/>
                <w:szCs w:val="20"/>
              </w:rPr>
              <w:t>he purpose of this quasi-experimental longitudinal non-randomized study was t</w:t>
            </w:r>
            <w:r w:rsidRPr="00B15ECE">
              <w:rPr>
                <w:rFonts w:ascii="Times New Roman" w:hAnsi="Times New Roman" w:cs="Times New Roman"/>
                <w:sz w:val="20"/>
                <w:szCs w:val="20"/>
              </w:rPr>
              <w:t xml:space="preserve">o determine whether </w:t>
            </w:r>
            <w:r w:rsidR="000346F1">
              <w:rPr>
                <w:rFonts w:ascii="Times New Roman" w:hAnsi="Times New Roman" w:cs="Times New Roman"/>
                <w:sz w:val="20"/>
                <w:szCs w:val="20"/>
              </w:rPr>
              <w:t>providing</w:t>
            </w:r>
            <w:r w:rsidRPr="00B15ECE">
              <w:rPr>
                <w:rFonts w:ascii="Times New Roman" w:hAnsi="Times New Roman" w:cs="Times New Roman"/>
                <w:sz w:val="20"/>
                <w:szCs w:val="20"/>
              </w:rPr>
              <w:t xml:space="preserve"> pr</w:t>
            </w:r>
            <w:r w:rsidR="000346F1">
              <w:rPr>
                <w:rFonts w:ascii="Times New Roman" w:hAnsi="Times New Roman" w:cs="Times New Roman"/>
                <w:sz w:val="20"/>
                <w:szCs w:val="20"/>
              </w:rPr>
              <w:t xml:space="preserve">escribers </w:t>
            </w:r>
            <w:proofErr w:type="gramStart"/>
            <w:r w:rsidR="000346F1">
              <w:rPr>
                <w:rFonts w:ascii="Times New Roman" w:hAnsi="Times New Roman" w:cs="Times New Roman"/>
                <w:sz w:val="20"/>
                <w:szCs w:val="20"/>
              </w:rPr>
              <w:t xml:space="preserve">with </w:t>
            </w:r>
            <w:r w:rsidRPr="00B15ECE">
              <w:rPr>
                <w:rFonts w:ascii="Times New Roman" w:hAnsi="Times New Roman" w:cs="Times New Roman"/>
                <w:sz w:val="20"/>
                <w:szCs w:val="20"/>
              </w:rPr>
              <w:t xml:space="preserve"> formulary</w:t>
            </w:r>
            <w:proofErr w:type="gramEnd"/>
            <w:r w:rsidRPr="00B15ECE">
              <w:rPr>
                <w:rFonts w:ascii="Times New Roman" w:hAnsi="Times New Roman" w:cs="Times New Roman"/>
                <w:sz w:val="20"/>
                <w:szCs w:val="20"/>
              </w:rPr>
              <w:t xml:space="preserve"> and </w:t>
            </w:r>
            <w:r w:rsidR="000346F1">
              <w:rPr>
                <w:rFonts w:ascii="Times New Roman" w:hAnsi="Times New Roman" w:cs="Times New Roman"/>
                <w:sz w:val="20"/>
                <w:szCs w:val="20"/>
              </w:rPr>
              <w:t>medication</w:t>
            </w:r>
            <w:r w:rsidRPr="00B15ECE">
              <w:rPr>
                <w:rFonts w:ascii="Times New Roman" w:hAnsi="Times New Roman" w:cs="Times New Roman"/>
                <w:sz w:val="20"/>
                <w:szCs w:val="20"/>
              </w:rPr>
              <w:t xml:space="preserve"> cost information was associated with changes in their diabet</w:t>
            </w:r>
            <w:r w:rsidR="000346F1">
              <w:rPr>
                <w:rFonts w:ascii="Times New Roman" w:hAnsi="Times New Roman" w:cs="Times New Roman"/>
                <w:sz w:val="20"/>
                <w:szCs w:val="20"/>
              </w:rPr>
              <w:t>ic</w:t>
            </w:r>
            <w:r w:rsidRPr="00B15ECE">
              <w:rPr>
                <w:rFonts w:ascii="Times New Roman" w:hAnsi="Times New Roman" w:cs="Times New Roman"/>
                <w:sz w:val="20"/>
                <w:szCs w:val="20"/>
              </w:rPr>
              <w:t xml:space="preserve"> patients’ </w:t>
            </w:r>
            <w:r w:rsidR="000346F1">
              <w:rPr>
                <w:rFonts w:ascii="Times New Roman" w:hAnsi="Times New Roman" w:cs="Times New Roman"/>
                <w:sz w:val="20"/>
                <w:szCs w:val="20"/>
              </w:rPr>
              <w:t>medication</w:t>
            </w:r>
            <w:r w:rsidRPr="00B15ECE">
              <w:rPr>
                <w:rFonts w:ascii="Times New Roman" w:hAnsi="Times New Roman" w:cs="Times New Roman"/>
                <w:sz w:val="20"/>
                <w:szCs w:val="20"/>
              </w:rPr>
              <w:t xml:space="preserve"> costs and use.</w:t>
            </w:r>
            <w:r>
              <w:rPr>
                <w:rFonts w:ascii="Times New Roman" w:hAnsi="Times New Roman" w:cs="Times New Roman"/>
                <w:sz w:val="20"/>
                <w:szCs w:val="20"/>
              </w:rPr>
              <w:t xml:space="preserve"> </w:t>
            </w:r>
          </w:p>
        </w:tc>
        <w:tc>
          <w:tcPr>
            <w:tcW w:w="1352" w:type="dxa"/>
          </w:tcPr>
          <w:p w14:paraId="633B671F" w14:textId="77777777" w:rsidR="00FE31D3" w:rsidRPr="00B15ECE" w:rsidRDefault="00FE31D3" w:rsidP="00CB15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The findings of this study support the cost comparison provided on the quick-reference medication tool </w:t>
            </w:r>
            <w:proofErr w:type="gramStart"/>
            <w:r>
              <w:rPr>
                <w:rFonts w:ascii="Times New Roman" w:hAnsi="Times New Roman" w:cs="Times New Roman"/>
                <w:sz w:val="20"/>
                <w:szCs w:val="20"/>
              </w:rPr>
              <w:t>in an effort to</w:t>
            </w:r>
            <w:proofErr w:type="gramEnd"/>
            <w:r>
              <w:rPr>
                <w:rFonts w:ascii="Times New Roman" w:hAnsi="Times New Roman" w:cs="Times New Roman"/>
                <w:sz w:val="20"/>
                <w:szCs w:val="20"/>
              </w:rPr>
              <w:t xml:space="preserve"> promote formulary compliance and reduce medication cost.</w:t>
            </w:r>
          </w:p>
        </w:tc>
      </w:tr>
    </w:tbl>
    <w:p w14:paraId="0E920375" w14:textId="77777777" w:rsidR="00FE31D3" w:rsidRDefault="00FE31D3" w:rsidP="00FE31D3">
      <w:pPr>
        <w:spacing w:line="480" w:lineRule="auto"/>
        <w:ind w:left="720" w:hanging="720"/>
        <w:jc w:val="center"/>
        <w:rPr>
          <w:rFonts w:ascii="Times New Roman" w:hAnsi="Times New Roman" w:cs="Times New Roman"/>
          <w:b/>
          <w:bCs/>
        </w:rPr>
      </w:pPr>
    </w:p>
    <w:p w14:paraId="71AFF9C4" w14:textId="2F9B6104" w:rsidR="00FE31D3" w:rsidRDefault="00FE31D3">
      <w:pPr>
        <w:rPr>
          <w:rFonts w:ascii="Times New Roman" w:hAnsi="Times New Roman" w:cs="Times New Roman"/>
          <w:b/>
          <w:bCs/>
        </w:rPr>
      </w:pPr>
      <w:r>
        <w:rPr>
          <w:rFonts w:ascii="Times New Roman" w:hAnsi="Times New Roman" w:cs="Times New Roman"/>
          <w:b/>
          <w:bCs/>
        </w:rPr>
        <w:br w:type="page"/>
      </w:r>
    </w:p>
    <w:p w14:paraId="7FBF66C1" w14:textId="35DB3CB6" w:rsidR="00FE31D3" w:rsidRPr="00BA5E6A" w:rsidRDefault="00FE31D3" w:rsidP="00FE31D3">
      <w:pPr>
        <w:spacing w:line="480" w:lineRule="auto"/>
        <w:ind w:left="720" w:hanging="720"/>
        <w:jc w:val="center"/>
        <w:rPr>
          <w:rFonts w:ascii="Times New Roman" w:hAnsi="Times New Roman" w:cs="Times New Roman"/>
          <w:b/>
          <w:bCs/>
        </w:rPr>
      </w:pPr>
      <w:r w:rsidRPr="00BA5E6A">
        <w:rPr>
          <w:rFonts w:ascii="Times New Roman" w:hAnsi="Times New Roman" w:cs="Times New Roman"/>
          <w:b/>
          <w:bCs/>
        </w:rPr>
        <w:lastRenderedPageBreak/>
        <w:t xml:space="preserve">Appendix </w:t>
      </w:r>
      <w:r>
        <w:rPr>
          <w:rFonts w:ascii="Times New Roman" w:hAnsi="Times New Roman" w:cs="Times New Roman"/>
          <w:b/>
          <w:bCs/>
        </w:rPr>
        <w:t>B</w:t>
      </w:r>
    </w:p>
    <w:p w14:paraId="6CD5EC4D" w14:textId="77777777" w:rsidR="00FE31D3" w:rsidRDefault="00FE31D3" w:rsidP="00FE31D3">
      <w:pPr>
        <w:spacing w:line="480" w:lineRule="auto"/>
        <w:ind w:left="720" w:hanging="720"/>
        <w:jc w:val="center"/>
        <w:rPr>
          <w:rFonts w:ascii="Times New Roman" w:hAnsi="Times New Roman" w:cs="Times New Roman"/>
        </w:rPr>
      </w:pPr>
      <w:r>
        <w:rPr>
          <w:rFonts w:ascii="Times New Roman" w:hAnsi="Times New Roman" w:cs="Times New Roman"/>
        </w:rPr>
        <w:t>Plan Do Study Act (PDSA) Framework</w:t>
      </w:r>
    </w:p>
    <w:p w14:paraId="0FABA233" w14:textId="574B5316" w:rsidR="00FE31D3" w:rsidRDefault="00FE31D3">
      <w:pPr>
        <w:rPr>
          <w:rFonts w:ascii="Times New Roman" w:hAnsi="Times New Roman" w:cs="Times New Roman"/>
          <w:b/>
          <w:bCs/>
        </w:rPr>
      </w:pPr>
    </w:p>
    <w:p w14:paraId="70336D53" w14:textId="77777777" w:rsidR="00FE31D3" w:rsidRDefault="00FE31D3" w:rsidP="00FE31D3">
      <w:pPr>
        <w:spacing w:line="480" w:lineRule="auto"/>
        <w:ind w:left="720" w:hanging="720"/>
        <w:rPr>
          <w:rFonts w:ascii="Times New Roman" w:hAnsi="Times New Roman" w:cs="Times New Roman"/>
        </w:rPr>
      </w:pPr>
      <w:r>
        <w:rPr>
          <w:rFonts w:ascii="Times New Roman" w:hAnsi="Times New Roman" w:cs="Times New Roman"/>
          <w:noProof/>
        </w:rPr>
        <w:drawing>
          <wp:inline distT="0" distB="0" distL="0" distR="0" wp14:anchorId="19F4BAB6" wp14:editId="5CAB9A47">
            <wp:extent cx="5943600" cy="3135630"/>
            <wp:effectExtent l="0" t="0" r="0" b="127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5943600" cy="3135630"/>
                    </a:xfrm>
                    <a:prstGeom prst="rect">
                      <a:avLst/>
                    </a:prstGeom>
                  </pic:spPr>
                </pic:pic>
              </a:graphicData>
            </a:graphic>
          </wp:inline>
        </w:drawing>
      </w:r>
    </w:p>
    <w:p w14:paraId="5816CAF5" w14:textId="548C201C" w:rsidR="00FE31D3" w:rsidRDefault="00FE31D3" w:rsidP="00FE31D3">
      <w:pPr>
        <w:spacing w:line="480" w:lineRule="auto"/>
        <w:ind w:left="720" w:hanging="720"/>
        <w:jc w:val="center"/>
        <w:rPr>
          <w:rFonts w:ascii="Times New Roman" w:hAnsi="Times New Roman" w:cs="Times New Roman"/>
          <w:b/>
          <w:bCs/>
        </w:rPr>
      </w:pPr>
      <w:r>
        <w:rPr>
          <w:rFonts w:ascii="Times New Roman" w:hAnsi="Times New Roman" w:cs="Times New Roman"/>
        </w:rPr>
        <w:t xml:space="preserve">Appendix </w:t>
      </w:r>
      <w:r w:rsidR="00740E83">
        <w:rPr>
          <w:rFonts w:ascii="Times New Roman" w:hAnsi="Times New Roman" w:cs="Times New Roman"/>
        </w:rPr>
        <w:t>B</w:t>
      </w:r>
      <w:r w:rsidRPr="0019121C">
        <w:rPr>
          <w:rFonts w:ascii="Times New Roman" w:hAnsi="Times New Roman" w:cs="Times New Roman"/>
          <w:i/>
          <w:iCs/>
        </w:rPr>
        <w:t>.</w:t>
      </w:r>
      <w:r>
        <w:rPr>
          <w:rFonts w:ascii="Times New Roman" w:hAnsi="Times New Roman" w:cs="Times New Roman"/>
        </w:rPr>
        <w:t xml:space="preserve"> Plan, Do, Study, Act Model. (Centers for Medicare and Medicaid Services, 2020).</w:t>
      </w:r>
    </w:p>
    <w:p w14:paraId="0CE25FA2" w14:textId="77777777" w:rsidR="00FE31D3" w:rsidRDefault="00FE31D3">
      <w:pPr>
        <w:rPr>
          <w:rFonts w:ascii="Times New Roman" w:hAnsi="Times New Roman" w:cs="Times New Roman"/>
          <w:b/>
          <w:bCs/>
        </w:rPr>
      </w:pPr>
      <w:r>
        <w:rPr>
          <w:rFonts w:ascii="Times New Roman" w:hAnsi="Times New Roman" w:cs="Times New Roman"/>
          <w:b/>
          <w:bCs/>
        </w:rPr>
        <w:br w:type="page"/>
      </w:r>
    </w:p>
    <w:p w14:paraId="292C96D6" w14:textId="747EB690" w:rsidR="00840CB8" w:rsidRDefault="00840CB8" w:rsidP="00840CB8">
      <w:pPr>
        <w:spacing w:line="480" w:lineRule="auto"/>
        <w:ind w:left="720" w:hanging="720"/>
        <w:jc w:val="center"/>
        <w:rPr>
          <w:rFonts w:ascii="Times New Roman" w:hAnsi="Times New Roman" w:cs="Times New Roman"/>
          <w:b/>
          <w:bCs/>
        </w:rPr>
      </w:pPr>
      <w:r>
        <w:rPr>
          <w:rFonts w:ascii="Times New Roman" w:hAnsi="Times New Roman" w:cs="Times New Roman"/>
          <w:b/>
          <w:bCs/>
        </w:rPr>
        <w:lastRenderedPageBreak/>
        <w:t>Appendix C</w:t>
      </w:r>
    </w:p>
    <w:p w14:paraId="2EA35234" w14:textId="77777777" w:rsidR="00840CB8" w:rsidRDefault="00840CB8" w:rsidP="00840CB8">
      <w:pPr>
        <w:spacing w:line="480" w:lineRule="auto"/>
        <w:ind w:left="720" w:hanging="720"/>
        <w:jc w:val="center"/>
        <w:rPr>
          <w:rFonts w:ascii="Times New Roman" w:hAnsi="Times New Roman" w:cs="Times New Roman"/>
        </w:rPr>
      </w:pPr>
      <w:r>
        <w:rPr>
          <w:rFonts w:ascii="Times New Roman" w:hAnsi="Times New Roman" w:cs="Times New Roman"/>
        </w:rPr>
        <w:t>Driver Diagram</w:t>
      </w:r>
    </w:p>
    <w:p w14:paraId="4A957326" w14:textId="77777777" w:rsidR="00840CB8" w:rsidRPr="00E963C5" w:rsidRDefault="00840CB8" w:rsidP="00840CB8">
      <w:pPr>
        <w:spacing w:line="480" w:lineRule="auto"/>
        <w:ind w:left="720" w:hanging="720"/>
        <w:jc w:val="center"/>
        <w:rPr>
          <w:rFonts w:ascii="Times New Roman" w:hAnsi="Times New Roman" w:cs="Times New Roman"/>
        </w:rPr>
      </w:pPr>
      <w:r w:rsidRPr="00E963C5">
        <w:rPr>
          <w:rFonts w:ascii="Times New Roman" w:hAnsi="Times New Roman" w:cs="Times New Roman"/>
          <w:noProof/>
        </w:rPr>
        <mc:AlternateContent>
          <mc:Choice Requires="wps">
            <w:drawing>
              <wp:anchor distT="0" distB="0" distL="114300" distR="114300" simplePos="0" relativeHeight="251717632" behindDoc="0" locked="0" layoutInCell="1" allowOverlap="1" wp14:anchorId="626F65F9" wp14:editId="4AD3EBAD">
                <wp:simplePos x="0" y="0"/>
                <wp:positionH relativeFrom="column">
                  <wp:posOffset>4854575</wp:posOffset>
                </wp:positionH>
                <wp:positionV relativeFrom="page">
                  <wp:posOffset>2110105</wp:posOffset>
                </wp:positionV>
                <wp:extent cx="1221105" cy="822960"/>
                <wp:effectExtent l="0" t="0" r="10795" b="15240"/>
                <wp:wrapNone/>
                <wp:docPr id="71" name="Text Box 71"/>
                <wp:cNvGraphicFramePr/>
                <a:graphic xmlns:a="http://schemas.openxmlformats.org/drawingml/2006/main">
                  <a:graphicData uri="http://schemas.microsoft.com/office/word/2010/wordprocessingShape">
                    <wps:wsp>
                      <wps:cNvSpPr txBox="1"/>
                      <wps:spPr>
                        <a:xfrm>
                          <a:off x="0" y="0"/>
                          <a:ext cx="1221105" cy="82296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41E18C10"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Specific ideas, actions, processes, or concepts to be changed</w:t>
                            </w:r>
                          </w:p>
                          <w:p w14:paraId="568524A7" w14:textId="77777777" w:rsidR="00840CB8" w:rsidRPr="00684C31" w:rsidRDefault="00840CB8" w:rsidP="00840CB8">
                            <w:pPr>
                              <w:jc w:val="center"/>
                              <w:rPr>
                                <w:rFonts w:ascii="Times New Roman" w:hAnsi="Times New Roman" w:cs="Times New Roman"/>
                                <w:b/>
                                <w:bCs/>
                                <w:color w:val="4472C4" w:themeColor="accent1"/>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6F65F9" id="_x0000_t202" coordsize="21600,21600" o:spt="202" path="m,l,21600r21600,l21600,xe">
                <v:stroke joinstyle="miter"/>
                <v:path gradientshapeok="t" o:connecttype="rect"/>
              </v:shapetype>
              <v:shape id="Text Box 71" o:spid="_x0000_s1026" type="#_x0000_t202" style="position:absolute;left:0;text-align:left;margin-left:382.25pt;margin-top:166.15pt;width:96.15pt;height:64.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" fillcolor="white [3201]" strokecolor="#4472c4 [3204]" strokeweight="1pt">
                <v:textbox>
                  <w:txbxContent>
                    <w:p w14:paraId="41E18C10"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Specific ideas, actions, processes, or concepts to be changed</w:t>
                      </w:r>
                    </w:p>
                    <w:p w14:paraId="568524A7" w14:textId="77777777" w:rsidR="00840CB8" w:rsidRPr="00684C31" w:rsidRDefault="00840CB8" w:rsidP="00840CB8">
                      <w:pPr>
                        <w:jc w:val="center"/>
                        <w:rPr>
                          <w:rFonts w:ascii="Times New Roman" w:hAnsi="Times New Roman" w:cs="Times New Roman"/>
                          <w:b/>
                          <w:bCs/>
                          <w:color w:val="4472C4" w:themeColor="accent1"/>
                          <w:sz w:val="20"/>
                          <w:szCs w:val="20"/>
                        </w:rPr>
                      </w:pPr>
                    </w:p>
                  </w:txbxContent>
                </v:textbox>
                <w10:wrap anchory="page"/>
              </v:shape>
            </w:pict>
          </mc:Fallback>
        </mc:AlternateContent>
      </w:r>
      <w:r w:rsidRPr="00E963C5">
        <w:rPr>
          <w:rFonts w:ascii="Times New Roman" w:hAnsi="Times New Roman" w:cs="Times New Roman"/>
          <w:noProof/>
        </w:rPr>
        <mc:AlternateContent>
          <mc:Choice Requires="wps">
            <w:drawing>
              <wp:anchor distT="0" distB="0" distL="114300" distR="114300" simplePos="0" relativeHeight="251718656" behindDoc="0" locked="0" layoutInCell="1" allowOverlap="1" wp14:anchorId="5451F937" wp14:editId="6B177C2B">
                <wp:simplePos x="0" y="0"/>
                <wp:positionH relativeFrom="column">
                  <wp:posOffset>3211426</wp:posOffset>
                </wp:positionH>
                <wp:positionV relativeFrom="page">
                  <wp:posOffset>2112645</wp:posOffset>
                </wp:positionV>
                <wp:extent cx="1221105" cy="822960"/>
                <wp:effectExtent l="0" t="0" r="10795" b="15240"/>
                <wp:wrapNone/>
                <wp:docPr id="73" name="Text Box 73"/>
                <wp:cNvGraphicFramePr/>
                <a:graphic xmlns:a="http://schemas.openxmlformats.org/drawingml/2006/main">
                  <a:graphicData uri="http://schemas.microsoft.com/office/word/2010/wordprocessingShape">
                    <wps:wsp>
                      <wps:cNvSpPr txBox="1"/>
                      <wps:spPr>
                        <a:xfrm>
                          <a:off x="0" y="0"/>
                          <a:ext cx="1221105" cy="82296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41453DDD"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Secondary</w:t>
                            </w:r>
                          </w:p>
                          <w:p w14:paraId="186320D4"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Drivers</w:t>
                            </w:r>
                          </w:p>
                          <w:p w14:paraId="306D6C4D" w14:textId="77777777" w:rsidR="00840CB8" w:rsidRPr="00684C31" w:rsidRDefault="00840CB8" w:rsidP="00840CB8">
                            <w:pPr>
                              <w:jc w:val="center"/>
                              <w:rPr>
                                <w:rFonts w:ascii="Times New Roman" w:hAnsi="Times New Roman" w:cs="Times New Roman"/>
                                <w:b/>
                                <w:bCs/>
                                <w:color w:val="4472C4" w:themeColor="accent1"/>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51F937" id="Text Box 73" o:spid="_x0000_s1027" type="#_x0000_t202" style="position:absolute;left:0;text-align:left;margin-left:252.85pt;margin-top:166.35pt;width:96.15pt;height:64.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" fillcolor="white [3201]" strokecolor="#4472c4 [3204]" strokeweight="1pt">
                <v:textbox>
                  <w:txbxContent>
                    <w:p w14:paraId="41453DDD"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Secondary</w:t>
                      </w:r>
                    </w:p>
                    <w:p w14:paraId="186320D4"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Drivers</w:t>
                      </w:r>
                    </w:p>
                    <w:p w14:paraId="306D6C4D" w14:textId="77777777" w:rsidR="00840CB8" w:rsidRPr="00684C31" w:rsidRDefault="00840CB8" w:rsidP="00840CB8">
                      <w:pPr>
                        <w:jc w:val="center"/>
                        <w:rPr>
                          <w:rFonts w:ascii="Times New Roman" w:hAnsi="Times New Roman" w:cs="Times New Roman"/>
                          <w:b/>
                          <w:bCs/>
                          <w:color w:val="4472C4" w:themeColor="accent1"/>
                          <w:sz w:val="20"/>
                          <w:szCs w:val="20"/>
                        </w:rPr>
                      </w:pPr>
                    </w:p>
                  </w:txbxContent>
                </v:textbox>
                <w10:wrap anchory="page"/>
              </v:shape>
            </w:pict>
          </mc:Fallback>
        </mc:AlternateContent>
      </w:r>
      <w:r w:rsidRPr="00E963C5">
        <w:rPr>
          <w:rFonts w:ascii="Times New Roman" w:hAnsi="Times New Roman" w:cs="Times New Roman"/>
          <w:noProof/>
        </w:rPr>
        <mc:AlternateContent>
          <mc:Choice Requires="wps">
            <w:drawing>
              <wp:anchor distT="0" distB="0" distL="114300" distR="114300" simplePos="0" relativeHeight="251720704" behindDoc="0" locked="0" layoutInCell="1" allowOverlap="1" wp14:anchorId="14B0379C" wp14:editId="354A7BB1">
                <wp:simplePos x="0" y="0"/>
                <wp:positionH relativeFrom="column">
                  <wp:posOffset>-121920</wp:posOffset>
                </wp:positionH>
                <wp:positionV relativeFrom="page">
                  <wp:posOffset>2112645</wp:posOffset>
                </wp:positionV>
                <wp:extent cx="1221105" cy="822960"/>
                <wp:effectExtent l="0" t="0" r="10795" b="15240"/>
                <wp:wrapNone/>
                <wp:docPr id="75" name="Text Box 75"/>
                <wp:cNvGraphicFramePr/>
                <a:graphic xmlns:a="http://schemas.openxmlformats.org/drawingml/2006/main">
                  <a:graphicData uri="http://schemas.microsoft.com/office/word/2010/wordprocessingShape">
                    <wps:wsp>
                      <wps:cNvSpPr txBox="1"/>
                      <wps:spPr>
                        <a:xfrm>
                          <a:off x="0" y="0"/>
                          <a:ext cx="1221105" cy="82296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11DCF0BA"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Aim</w:t>
                            </w:r>
                          </w:p>
                          <w:p w14:paraId="72013B85" w14:textId="77777777" w:rsidR="00840CB8" w:rsidRPr="00684C31" w:rsidRDefault="00840CB8" w:rsidP="00840CB8">
                            <w:pPr>
                              <w:jc w:val="center"/>
                              <w:rPr>
                                <w:rFonts w:ascii="Times New Roman" w:hAnsi="Times New Roman" w:cs="Times New Roman"/>
                                <w:b/>
                                <w:bCs/>
                                <w:color w:val="4472C4" w:themeColor="accent1"/>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B0379C" id="Text Box 75" o:spid="_x0000_s1028" type="#_x0000_t202" style="position:absolute;left:0;text-align:left;margin-left:-9.6pt;margin-top:166.35pt;width:96.15pt;height:64.8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" fillcolor="white [3201]" strokecolor="#4472c4 [3204]" strokeweight="1pt">
                <v:textbox>
                  <w:txbxContent>
                    <w:p w14:paraId="11DCF0BA"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Aim</w:t>
                      </w:r>
                    </w:p>
                    <w:p w14:paraId="72013B85" w14:textId="77777777" w:rsidR="00840CB8" w:rsidRPr="00684C31" w:rsidRDefault="00840CB8" w:rsidP="00840CB8">
                      <w:pPr>
                        <w:jc w:val="center"/>
                        <w:rPr>
                          <w:rFonts w:ascii="Times New Roman" w:hAnsi="Times New Roman" w:cs="Times New Roman"/>
                          <w:b/>
                          <w:bCs/>
                          <w:color w:val="4472C4" w:themeColor="accent1"/>
                          <w:sz w:val="20"/>
                          <w:szCs w:val="20"/>
                        </w:rPr>
                      </w:pPr>
                    </w:p>
                  </w:txbxContent>
                </v:textbox>
                <w10:wrap anchory="page"/>
              </v:shape>
            </w:pict>
          </mc:Fallback>
        </mc:AlternateContent>
      </w:r>
      <w:r w:rsidRPr="00E963C5">
        <w:rPr>
          <w:rFonts w:ascii="Times New Roman" w:hAnsi="Times New Roman" w:cs="Times New Roman"/>
          <w:noProof/>
        </w:rPr>
        <mc:AlternateContent>
          <mc:Choice Requires="wps">
            <w:drawing>
              <wp:anchor distT="0" distB="0" distL="114300" distR="114300" simplePos="0" relativeHeight="251719680" behindDoc="0" locked="0" layoutInCell="1" allowOverlap="1" wp14:anchorId="327AD236" wp14:editId="05781703">
                <wp:simplePos x="0" y="0"/>
                <wp:positionH relativeFrom="column">
                  <wp:posOffset>1490287</wp:posOffset>
                </wp:positionH>
                <wp:positionV relativeFrom="page">
                  <wp:posOffset>2113280</wp:posOffset>
                </wp:positionV>
                <wp:extent cx="1221105" cy="822960"/>
                <wp:effectExtent l="0" t="0" r="10795" b="15240"/>
                <wp:wrapNone/>
                <wp:docPr id="74" name="Text Box 74"/>
                <wp:cNvGraphicFramePr/>
                <a:graphic xmlns:a="http://schemas.openxmlformats.org/drawingml/2006/main">
                  <a:graphicData uri="http://schemas.microsoft.com/office/word/2010/wordprocessingShape">
                    <wps:wsp>
                      <wps:cNvSpPr txBox="1"/>
                      <wps:spPr>
                        <a:xfrm>
                          <a:off x="0" y="0"/>
                          <a:ext cx="1221105" cy="82296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674CB5DC"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Primary</w:t>
                            </w:r>
                          </w:p>
                          <w:p w14:paraId="04E9B532"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Drivers</w:t>
                            </w:r>
                          </w:p>
                          <w:p w14:paraId="47F79FD3" w14:textId="77777777" w:rsidR="00840CB8" w:rsidRPr="00684C31" w:rsidRDefault="00840CB8" w:rsidP="00840CB8">
                            <w:pPr>
                              <w:jc w:val="center"/>
                              <w:rPr>
                                <w:rFonts w:ascii="Times New Roman" w:hAnsi="Times New Roman" w:cs="Times New Roman"/>
                                <w:b/>
                                <w:bCs/>
                                <w:color w:val="4472C4" w:themeColor="accent1"/>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7AD236" id="Text Box 74" o:spid="_x0000_s1029" type="#_x0000_t202" style="position:absolute;left:0;text-align:left;margin-left:117.35pt;margin-top:166.4pt;width:96.15pt;height:64.8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" fillcolor="white [3201]" strokecolor="#4472c4 [3204]" strokeweight="1pt">
                <v:textbox>
                  <w:txbxContent>
                    <w:p w14:paraId="674CB5DC"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Primary</w:t>
                      </w:r>
                    </w:p>
                    <w:p w14:paraId="04E9B532" w14:textId="77777777" w:rsidR="00E963C5" w:rsidRPr="00684C31" w:rsidRDefault="00E963C5" w:rsidP="00E963C5">
                      <w:pPr>
                        <w:jc w:val="center"/>
                        <w:rPr>
                          <w:rFonts w:ascii="Times New Roman" w:hAnsi="Times New Roman" w:cs="Times New Roman"/>
                          <w:b/>
                          <w:bCs/>
                          <w:color w:val="4472C4" w:themeColor="accent1"/>
                          <w:sz w:val="20"/>
                          <w:szCs w:val="20"/>
                        </w:rPr>
                      </w:pPr>
                      <w:r w:rsidRPr="00684C31">
                        <w:rPr>
                          <w:rFonts w:ascii="Times New Roman" w:hAnsi="Times New Roman" w:cs="Times New Roman"/>
                          <w:b/>
                          <w:bCs/>
                          <w:color w:val="4472C4" w:themeColor="accent1"/>
                          <w:sz w:val="20"/>
                          <w:szCs w:val="20"/>
                        </w:rPr>
                        <w:t>Drivers</w:t>
                      </w:r>
                    </w:p>
                    <w:p w14:paraId="47F79FD3" w14:textId="77777777" w:rsidR="00840CB8" w:rsidRPr="00684C31" w:rsidRDefault="00840CB8" w:rsidP="00840CB8">
                      <w:pPr>
                        <w:jc w:val="center"/>
                        <w:rPr>
                          <w:rFonts w:ascii="Times New Roman" w:hAnsi="Times New Roman" w:cs="Times New Roman"/>
                          <w:b/>
                          <w:bCs/>
                          <w:color w:val="4472C4" w:themeColor="accent1"/>
                          <w:sz w:val="20"/>
                          <w:szCs w:val="20"/>
                        </w:rPr>
                      </w:pPr>
                    </w:p>
                  </w:txbxContent>
                </v:textbox>
                <w10:wrap anchory="page"/>
              </v:shape>
            </w:pict>
          </mc:Fallback>
        </mc:AlternateContent>
      </w:r>
      <w:r w:rsidRPr="00E963C5">
        <w:rPr>
          <w:rFonts w:ascii="Times New Roman" w:hAnsi="Times New Roman" w:cs="Times New Roman"/>
          <w:noProof/>
        </w:rPr>
        <w:drawing>
          <wp:anchor distT="0" distB="0" distL="114300" distR="114300" simplePos="0" relativeHeight="251716608" behindDoc="0" locked="0" layoutInCell="1" allowOverlap="1" wp14:anchorId="07C58E0A" wp14:editId="255E7F68">
            <wp:simplePos x="0" y="0"/>
            <wp:positionH relativeFrom="margin">
              <wp:posOffset>-177800</wp:posOffset>
            </wp:positionH>
            <wp:positionV relativeFrom="margin">
              <wp:posOffset>2157441</wp:posOffset>
            </wp:positionV>
            <wp:extent cx="6257925" cy="3100647"/>
            <wp:effectExtent l="0" t="0" r="53975" b="0"/>
            <wp:wrapSquare wrapText="bothSides"/>
            <wp:docPr id="63" name="Diagram 6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anchor>
        </w:drawing>
      </w:r>
    </w:p>
    <w:p w14:paraId="2E87B9D2" w14:textId="77777777" w:rsidR="00840CB8" w:rsidRPr="00E963C5" w:rsidRDefault="00840CB8" w:rsidP="00FE31D3">
      <w:pPr>
        <w:spacing w:line="480" w:lineRule="auto"/>
        <w:ind w:left="720" w:hanging="720"/>
        <w:jc w:val="center"/>
        <w:rPr>
          <w:rFonts w:ascii="Times New Roman" w:hAnsi="Times New Roman" w:cs="Times New Roman"/>
          <w:b/>
          <w:bCs/>
        </w:rPr>
      </w:pPr>
    </w:p>
    <w:p w14:paraId="4DBCB9DB" w14:textId="77777777" w:rsidR="00840CB8" w:rsidRPr="00E963C5" w:rsidRDefault="00840CB8">
      <w:pPr>
        <w:rPr>
          <w:rFonts w:ascii="Times New Roman" w:hAnsi="Times New Roman" w:cs="Times New Roman"/>
          <w:b/>
          <w:bCs/>
        </w:rPr>
      </w:pPr>
      <w:r w:rsidRPr="00E963C5">
        <w:rPr>
          <w:rFonts w:ascii="Times New Roman" w:hAnsi="Times New Roman" w:cs="Times New Roman"/>
          <w:b/>
          <w:bCs/>
        </w:rPr>
        <w:br w:type="page"/>
      </w:r>
    </w:p>
    <w:p w14:paraId="679ADE37" w14:textId="62B7AF69" w:rsidR="00FE31D3" w:rsidRDefault="00FE31D3" w:rsidP="00FE31D3">
      <w:pPr>
        <w:spacing w:line="480" w:lineRule="auto"/>
        <w:ind w:left="720" w:hanging="720"/>
        <w:jc w:val="center"/>
        <w:rPr>
          <w:rFonts w:ascii="Times New Roman" w:hAnsi="Times New Roman" w:cs="Times New Roman"/>
          <w:b/>
          <w:bCs/>
        </w:rPr>
      </w:pPr>
      <w:r>
        <w:rPr>
          <w:rFonts w:ascii="Times New Roman" w:hAnsi="Times New Roman" w:cs="Times New Roman"/>
          <w:b/>
          <w:bCs/>
        </w:rPr>
        <w:lastRenderedPageBreak/>
        <w:t xml:space="preserve">Appendix </w:t>
      </w:r>
      <w:r w:rsidR="00840CB8">
        <w:rPr>
          <w:rFonts w:ascii="Times New Roman" w:hAnsi="Times New Roman" w:cs="Times New Roman"/>
          <w:b/>
          <w:bCs/>
        </w:rPr>
        <w:t>D</w:t>
      </w:r>
    </w:p>
    <w:p w14:paraId="4AE571CA" w14:textId="3B4BCEFB" w:rsidR="00FE31D3" w:rsidRDefault="00FE31D3" w:rsidP="00FE31D3">
      <w:pPr>
        <w:spacing w:line="480" w:lineRule="auto"/>
        <w:ind w:left="720" w:hanging="720"/>
        <w:jc w:val="center"/>
        <w:rPr>
          <w:rFonts w:ascii="Times New Roman" w:hAnsi="Times New Roman" w:cs="Times New Roman"/>
          <w:b/>
          <w:bCs/>
        </w:rPr>
      </w:pPr>
      <w:r>
        <w:rPr>
          <w:rFonts w:ascii="Times New Roman" w:hAnsi="Times New Roman" w:cs="Times New Roman"/>
        </w:rPr>
        <w:t>Quick-reference Tool</w:t>
      </w:r>
    </w:p>
    <w:tbl>
      <w:tblPr>
        <w:tblpPr w:leftFromText="180" w:rightFromText="180" w:vertAnchor="text" w:tblpY="1"/>
        <w:tblOverlap w:val="never"/>
        <w:tblW w:w="0" w:type="auto"/>
        <w:tblCellMar>
          <w:top w:w="15" w:type="dxa"/>
          <w:left w:w="15" w:type="dxa"/>
          <w:bottom w:w="15" w:type="dxa"/>
          <w:right w:w="15" w:type="dxa"/>
        </w:tblCellMar>
        <w:tblLook w:val="04A0" w:firstRow="1" w:lastRow="0" w:firstColumn="1" w:lastColumn="0" w:noHBand="0" w:noVBand="1"/>
      </w:tblPr>
      <w:tblGrid>
        <w:gridCol w:w="3376"/>
        <w:gridCol w:w="4227"/>
        <w:gridCol w:w="1744"/>
      </w:tblGrid>
      <w:tr w:rsidR="00FE31D3" w:rsidRPr="00421E72" w14:paraId="5E20F341" w14:textId="77777777" w:rsidTr="00CB1516">
        <w:trPr>
          <w:trHeight w:val="1060"/>
        </w:trPr>
        <w:tc>
          <w:tcPr>
            <w:tcW w:w="0" w:type="auto"/>
            <w:tcBorders>
              <w:top w:val="single" w:sz="2" w:space="0" w:color="auto"/>
              <w:left w:val="single" w:sz="2" w:space="0" w:color="auto"/>
              <w:bottom w:val="single" w:sz="12" w:space="0" w:color="000000"/>
              <w:right w:val="single" w:sz="2" w:space="0" w:color="auto"/>
            </w:tcBorders>
            <w:tcMar>
              <w:top w:w="0" w:type="dxa"/>
              <w:left w:w="108" w:type="dxa"/>
              <w:bottom w:w="0" w:type="dxa"/>
              <w:right w:w="108" w:type="dxa"/>
            </w:tcMar>
            <w:hideMark/>
          </w:tcPr>
          <w:p w14:paraId="1BF28BAB" w14:textId="77777777" w:rsidR="00FE31D3" w:rsidRPr="00421E72" w:rsidRDefault="00FE31D3" w:rsidP="00CB1516">
            <w:pPr>
              <w:contextualSpacing/>
              <w:jc w:val="center"/>
              <w:rPr>
                <w:rFonts w:ascii="Calibri" w:eastAsia="Times New Roman" w:hAnsi="Calibri" w:cs="Times New Roman"/>
                <w:color w:val="000000"/>
                <w:sz w:val="28"/>
                <w:szCs w:val="28"/>
              </w:rPr>
            </w:pPr>
            <w:r w:rsidRPr="00421E72">
              <w:rPr>
                <w:rFonts w:ascii="Calibri" w:eastAsia="Times New Roman" w:hAnsi="Calibri" w:cs="Times New Roman"/>
                <w:b/>
                <w:bCs/>
                <w:color w:val="000000"/>
                <w:sz w:val="28"/>
                <w:szCs w:val="28"/>
              </w:rPr>
              <w:t xml:space="preserve">Target </w:t>
            </w:r>
            <w:r>
              <w:rPr>
                <w:rFonts w:ascii="Calibri" w:eastAsia="Times New Roman" w:hAnsi="Calibri" w:cs="Times New Roman"/>
                <w:b/>
                <w:bCs/>
                <w:color w:val="000000"/>
                <w:sz w:val="28"/>
                <w:szCs w:val="28"/>
              </w:rPr>
              <w:t>Medication</w:t>
            </w:r>
            <w:r w:rsidRPr="00421E72">
              <w:rPr>
                <w:rFonts w:ascii="Calibri" w:eastAsia="Times New Roman" w:hAnsi="Calibri" w:cs="Times New Roman"/>
                <w:b/>
                <w:bCs/>
                <w:color w:val="000000"/>
                <w:sz w:val="28"/>
                <w:szCs w:val="28"/>
              </w:rPr>
              <w:t xml:space="preserve"> </w:t>
            </w:r>
            <w:r>
              <w:rPr>
                <w:rFonts w:ascii="Calibri" w:eastAsia="Times New Roman" w:hAnsi="Calibri" w:cs="Times New Roman"/>
                <w:b/>
                <w:bCs/>
                <w:color w:val="000000"/>
                <w:sz w:val="28"/>
                <w:szCs w:val="28"/>
              </w:rPr>
              <w:t>L</w:t>
            </w:r>
            <w:r w:rsidRPr="00421E72">
              <w:rPr>
                <w:rFonts w:ascii="Calibri" w:eastAsia="Times New Roman" w:hAnsi="Calibri" w:cs="Times New Roman"/>
                <w:b/>
                <w:bCs/>
                <w:color w:val="000000"/>
                <w:sz w:val="28"/>
                <w:szCs w:val="28"/>
              </w:rPr>
              <w:t>ist </w:t>
            </w:r>
          </w:p>
        </w:tc>
        <w:tc>
          <w:tcPr>
            <w:tcW w:w="0" w:type="auto"/>
            <w:tcBorders>
              <w:top w:val="single" w:sz="8" w:space="0" w:color="999999"/>
              <w:left w:val="single" w:sz="2" w:space="0" w:color="auto"/>
              <w:bottom w:val="single" w:sz="12" w:space="0" w:color="666666"/>
              <w:right w:val="single" w:sz="8" w:space="0" w:color="999999"/>
            </w:tcBorders>
            <w:tcMar>
              <w:top w:w="0" w:type="dxa"/>
              <w:left w:w="108" w:type="dxa"/>
              <w:bottom w:w="0" w:type="dxa"/>
              <w:right w:w="108" w:type="dxa"/>
            </w:tcMar>
            <w:hideMark/>
          </w:tcPr>
          <w:p w14:paraId="42E4D897" w14:textId="77777777" w:rsidR="00FE31D3" w:rsidRPr="00421E72" w:rsidRDefault="00FE31D3" w:rsidP="00CB1516">
            <w:pPr>
              <w:contextualSpacing/>
              <w:jc w:val="center"/>
              <w:rPr>
                <w:rFonts w:ascii="Calibri" w:eastAsia="Times New Roman" w:hAnsi="Calibri" w:cs="Times New Roman"/>
                <w:color w:val="000000"/>
                <w:sz w:val="28"/>
                <w:szCs w:val="28"/>
              </w:rPr>
            </w:pPr>
            <w:r w:rsidRPr="00010EF7">
              <w:rPr>
                <w:rFonts w:ascii="Calibri" w:eastAsia="Times New Roman" w:hAnsi="Calibri" w:cs="Times New Roman"/>
                <w:b/>
                <w:bCs/>
                <w:color w:val="000000"/>
                <w:sz w:val="28"/>
                <w:szCs w:val="28"/>
              </w:rPr>
              <w:t xml:space="preserve">Desired </w:t>
            </w:r>
            <w:r w:rsidRPr="00421E72">
              <w:rPr>
                <w:rFonts w:ascii="Calibri" w:eastAsia="Times New Roman" w:hAnsi="Calibri" w:cs="Times New Roman"/>
                <w:b/>
                <w:bCs/>
                <w:color w:val="000000"/>
                <w:sz w:val="28"/>
                <w:szCs w:val="28"/>
              </w:rPr>
              <w:t>Formulary/Alternative Med</w:t>
            </w:r>
            <w:r w:rsidRPr="00010EF7">
              <w:rPr>
                <w:rFonts w:ascii="Calibri" w:eastAsia="Times New Roman" w:hAnsi="Calibri" w:cs="Times New Roman"/>
                <w:b/>
                <w:bCs/>
                <w:color w:val="000000"/>
                <w:sz w:val="28"/>
                <w:szCs w:val="28"/>
              </w:rPr>
              <w:t>ication</w:t>
            </w:r>
            <w:r w:rsidRPr="00421E72">
              <w:rPr>
                <w:rFonts w:ascii="Calibri" w:eastAsia="Times New Roman" w:hAnsi="Calibri" w:cs="Times New Roman"/>
                <w:b/>
                <w:bCs/>
                <w:color w:val="000000"/>
                <w:sz w:val="28"/>
                <w:szCs w:val="28"/>
              </w:rPr>
              <w:t>/</w:t>
            </w:r>
            <w:r>
              <w:rPr>
                <w:rFonts w:ascii="Calibri" w:eastAsia="Times New Roman" w:hAnsi="Calibri" w:cs="Times New Roman"/>
                <w:b/>
                <w:bCs/>
                <w:color w:val="000000"/>
                <w:sz w:val="28"/>
                <w:szCs w:val="28"/>
              </w:rPr>
              <w:t>D</w:t>
            </w:r>
            <w:r w:rsidRPr="00421E72">
              <w:rPr>
                <w:rFonts w:ascii="Calibri" w:eastAsia="Times New Roman" w:hAnsi="Calibri" w:cs="Times New Roman"/>
                <w:b/>
                <w:bCs/>
                <w:color w:val="000000"/>
                <w:sz w:val="28"/>
                <w:szCs w:val="28"/>
              </w:rPr>
              <w:t>ose </w:t>
            </w:r>
          </w:p>
        </w:tc>
        <w:tc>
          <w:tcPr>
            <w:tcW w:w="1124" w:type="dxa"/>
            <w:tcBorders>
              <w:top w:val="single" w:sz="8" w:space="0" w:color="999999"/>
              <w:left w:val="nil"/>
              <w:bottom w:val="single" w:sz="12" w:space="0" w:color="666666"/>
              <w:right w:val="single" w:sz="8" w:space="0" w:color="999999"/>
            </w:tcBorders>
            <w:tcMar>
              <w:top w:w="0" w:type="dxa"/>
              <w:left w:w="108" w:type="dxa"/>
              <w:bottom w:w="0" w:type="dxa"/>
              <w:right w:w="108" w:type="dxa"/>
            </w:tcMar>
            <w:hideMark/>
          </w:tcPr>
          <w:p w14:paraId="6055FEE8" w14:textId="77777777" w:rsidR="00FE31D3" w:rsidRPr="00421E72" w:rsidRDefault="00FE31D3" w:rsidP="00CB1516">
            <w:pPr>
              <w:contextualSpacing/>
              <w:jc w:val="center"/>
              <w:rPr>
                <w:rFonts w:ascii="Calibri" w:eastAsia="Times New Roman" w:hAnsi="Calibri" w:cs="Times New Roman"/>
                <w:color w:val="000000"/>
                <w:sz w:val="28"/>
                <w:szCs w:val="28"/>
              </w:rPr>
            </w:pPr>
            <w:r w:rsidRPr="00010EF7">
              <w:rPr>
                <w:rFonts w:ascii="Calibri" w:eastAsia="Times New Roman" w:hAnsi="Calibri" w:cs="Times New Roman"/>
                <w:b/>
                <w:bCs/>
                <w:color w:val="000000"/>
                <w:sz w:val="28"/>
                <w:szCs w:val="28"/>
              </w:rPr>
              <w:t xml:space="preserve">Estimated </w:t>
            </w:r>
            <w:r w:rsidRPr="00421E72">
              <w:rPr>
                <w:rFonts w:ascii="Calibri" w:eastAsia="Times New Roman" w:hAnsi="Calibri" w:cs="Times New Roman"/>
                <w:b/>
                <w:bCs/>
                <w:color w:val="000000"/>
                <w:sz w:val="28"/>
                <w:szCs w:val="28"/>
              </w:rPr>
              <w:t xml:space="preserve">$ </w:t>
            </w:r>
            <w:r w:rsidRPr="00010EF7">
              <w:rPr>
                <w:rFonts w:ascii="Calibri" w:eastAsia="Times New Roman" w:hAnsi="Calibri" w:cs="Times New Roman"/>
                <w:b/>
                <w:bCs/>
                <w:color w:val="000000"/>
                <w:sz w:val="28"/>
                <w:szCs w:val="28"/>
              </w:rPr>
              <w:t>SAVINGS</w:t>
            </w:r>
            <w:r w:rsidRPr="00421E72">
              <w:rPr>
                <w:rFonts w:ascii="Calibri" w:eastAsia="Times New Roman" w:hAnsi="Calibri" w:cs="Times New Roman"/>
                <w:b/>
                <w:bCs/>
                <w:color w:val="000000"/>
                <w:sz w:val="28"/>
                <w:szCs w:val="28"/>
              </w:rPr>
              <w:t>/15</w:t>
            </w:r>
            <w:r>
              <w:rPr>
                <w:rFonts w:ascii="Calibri" w:eastAsia="Times New Roman" w:hAnsi="Calibri" w:cs="Times New Roman"/>
                <w:b/>
                <w:bCs/>
                <w:color w:val="000000"/>
                <w:sz w:val="28"/>
                <w:szCs w:val="28"/>
              </w:rPr>
              <w:t>-</w:t>
            </w:r>
            <w:r w:rsidRPr="00421E72">
              <w:rPr>
                <w:rFonts w:ascii="Calibri" w:eastAsia="Times New Roman" w:hAnsi="Calibri" w:cs="Times New Roman"/>
                <w:b/>
                <w:bCs/>
                <w:color w:val="000000"/>
                <w:sz w:val="28"/>
                <w:szCs w:val="28"/>
              </w:rPr>
              <w:t>day RX </w:t>
            </w:r>
          </w:p>
        </w:tc>
      </w:tr>
      <w:tr w:rsidR="00FE31D3" w:rsidRPr="00421E72" w14:paraId="06AED5EE" w14:textId="77777777" w:rsidTr="00CB1516">
        <w:trPr>
          <w:trHeight w:val="976"/>
        </w:trPr>
        <w:tc>
          <w:tcPr>
            <w:tcW w:w="0" w:type="auto"/>
            <w:tcBorders>
              <w:top w:val="single" w:sz="12" w:space="0" w:color="000000"/>
              <w:left w:val="single" w:sz="2" w:space="0" w:color="auto"/>
              <w:bottom w:val="single" w:sz="2" w:space="0" w:color="auto"/>
              <w:right w:val="single" w:sz="2" w:space="0" w:color="auto"/>
            </w:tcBorders>
            <w:tcMar>
              <w:top w:w="0" w:type="dxa"/>
              <w:left w:w="108" w:type="dxa"/>
              <w:bottom w:w="0" w:type="dxa"/>
              <w:right w:w="108" w:type="dxa"/>
            </w:tcMar>
          </w:tcPr>
          <w:p w14:paraId="3120F0D0" w14:textId="77777777" w:rsidR="00FE31D3" w:rsidRPr="00041113" w:rsidRDefault="00FE31D3" w:rsidP="00CB1516">
            <w:pPr>
              <w:rPr>
                <w:rFonts w:ascii="Calibri" w:eastAsia="Times New Roman" w:hAnsi="Calibri" w:cs="Times New Roman"/>
                <w:b/>
                <w:bCs/>
              </w:rPr>
            </w:pPr>
            <w:r w:rsidRPr="00041113">
              <w:rPr>
                <w:rFonts w:ascii="Calibri" w:eastAsia="Times New Roman" w:hAnsi="Calibri" w:cs="Times New Roman"/>
                <w:b/>
                <w:bCs/>
              </w:rPr>
              <w:t xml:space="preserve">Albuterol Sulfate 90 mcg aerosol inhaler HFA (Proventil®, Ventolin®) </w:t>
            </w:r>
            <w:r w:rsidRPr="00041113">
              <w:rPr>
                <w:rFonts w:ascii="Calibri" w:eastAsia="Times New Roman" w:hAnsi="Calibri" w:cs="Times New Roman"/>
                <w:color w:val="FF0000"/>
              </w:rPr>
              <w:t>($60.26)</w:t>
            </w:r>
          </w:p>
          <w:p w14:paraId="57C31A20" w14:textId="77777777" w:rsidR="00FE31D3" w:rsidRPr="00041113" w:rsidRDefault="00FE31D3" w:rsidP="00CB1516">
            <w:pPr>
              <w:rPr>
                <w:rFonts w:ascii="Calibri" w:eastAsia="Times New Roman" w:hAnsi="Calibri" w:cs="Times New Roman"/>
                <w:b/>
                <w:bCs/>
              </w:rPr>
            </w:pPr>
          </w:p>
          <w:p w14:paraId="72CE3129" w14:textId="77777777" w:rsidR="00FE31D3" w:rsidRPr="00041113" w:rsidRDefault="00FE31D3" w:rsidP="00CB1516">
            <w:pPr>
              <w:rPr>
                <w:rFonts w:ascii="Calibri" w:eastAsia="Times New Roman" w:hAnsi="Calibri" w:cs="Times New Roman"/>
                <w:b/>
                <w:bCs/>
                <w:color w:val="000000"/>
              </w:rPr>
            </w:pPr>
            <w:r w:rsidRPr="00041113">
              <w:rPr>
                <w:rFonts w:ascii="Calibri" w:eastAsia="Times New Roman" w:hAnsi="Calibri" w:cs="Times New Roman"/>
                <w:b/>
                <w:bCs/>
              </w:rPr>
              <w:t xml:space="preserve">Albuterol Sulfate 2 mg tablets </w:t>
            </w:r>
            <w:r w:rsidRPr="00041113">
              <w:rPr>
                <w:rFonts w:ascii="Calibri" w:eastAsia="Times New Roman" w:hAnsi="Calibri" w:cs="Times New Roman"/>
                <w:color w:val="FF0000"/>
              </w:rPr>
              <w:t>($248.41)</w:t>
            </w:r>
          </w:p>
        </w:tc>
        <w:tc>
          <w:tcPr>
            <w:tcW w:w="0" w:type="auto"/>
            <w:tcBorders>
              <w:top w:val="nil"/>
              <w:left w:val="single" w:sz="2" w:space="0" w:color="auto"/>
              <w:bottom w:val="single" w:sz="8" w:space="0" w:color="999999"/>
              <w:right w:val="single" w:sz="8" w:space="0" w:color="999999"/>
            </w:tcBorders>
            <w:tcMar>
              <w:top w:w="0" w:type="dxa"/>
              <w:left w:w="108" w:type="dxa"/>
              <w:bottom w:w="0" w:type="dxa"/>
              <w:right w:w="108" w:type="dxa"/>
            </w:tcMar>
          </w:tcPr>
          <w:p w14:paraId="6B40F58B" w14:textId="77777777" w:rsidR="00FE31D3" w:rsidRPr="00041113" w:rsidRDefault="00FE31D3" w:rsidP="00CB1516">
            <w:pPr>
              <w:pStyle w:val="ListParagraph"/>
              <w:numPr>
                <w:ilvl w:val="0"/>
                <w:numId w:val="3"/>
              </w:numPr>
              <w:ind w:left="360"/>
              <w:rPr>
                <w:rFonts w:ascii="Calibri" w:eastAsia="Times New Roman" w:hAnsi="Calibri" w:cs="Times New Roman"/>
                <w:color w:val="000000"/>
              </w:rPr>
            </w:pPr>
            <w:r w:rsidRPr="00041113">
              <w:rPr>
                <w:rFonts w:ascii="Calibri" w:eastAsia="Times New Roman" w:hAnsi="Calibri" w:cs="Times New Roman"/>
                <w:color w:val="000000"/>
              </w:rPr>
              <w:t xml:space="preserve">Albuterol Sulfate 2.5 mg/3 ml (0.083 %) solution for nebulization (Proventil®), 30 vials </w:t>
            </w:r>
            <w:r w:rsidRPr="00041113">
              <w:rPr>
                <w:rFonts w:ascii="Calibri" w:eastAsia="Times New Roman" w:hAnsi="Calibri" w:cs="Times New Roman"/>
                <w:color w:val="00B050"/>
              </w:rPr>
              <w:t>($9.68)</w:t>
            </w:r>
          </w:p>
          <w:p w14:paraId="3618B4E1" w14:textId="77777777" w:rsidR="00FE31D3" w:rsidRPr="00041113" w:rsidRDefault="00FE31D3" w:rsidP="00CB1516">
            <w:pPr>
              <w:rPr>
                <w:rFonts w:ascii="Calibri" w:eastAsia="Times New Roman" w:hAnsi="Calibri" w:cs="Times New Roman"/>
              </w:rPr>
            </w:pPr>
          </w:p>
          <w:p w14:paraId="6CDFFE6B" w14:textId="77777777" w:rsidR="00FE31D3" w:rsidRPr="00041113" w:rsidRDefault="00FE31D3" w:rsidP="00CB1516">
            <w:pPr>
              <w:pStyle w:val="ListParagraph"/>
              <w:numPr>
                <w:ilvl w:val="0"/>
                <w:numId w:val="3"/>
              </w:numPr>
              <w:ind w:left="360"/>
              <w:rPr>
                <w:rFonts w:ascii="Calibri" w:eastAsia="Times New Roman" w:hAnsi="Calibri" w:cs="Times New Roman"/>
                <w:color w:val="000000"/>
              </w:rPr>
            </w:pPr>
            <w:r w:rsidRPr="00041113">
              <w:rPr>
                <w:rFonts w:ascii="Calibri" w:eastAsia="Times New Roman" w:hAnsi="Calibri" w:cs="Times New Roman"/>
              </w:rPr>
              <w:t xml:space="preserve">Albuterol Sulfate 2 mg/5 ml syrup </w:t>
            </w:r>
            <w:r w:rsidRPr="00041113">
              <w:rPr>
                <w:rFonts w:ascii="Calibri" w:eastAsia="Times New Roman" w:hAnsi="Calibri" w:cs="Times New Roman"/>
                <w:color w:val="00B050"/>
              </w:rPr>
              <w:t>($58.90)</w:t>
            </w:r>
          </w:p>
        </w:tc>
        <w:tc>
          <w:tcPr>
            <w:tcW w:w="1124" w:type="dxa"/>
            <w:tcBorders>
              <w:top w:val="nil"/>
              <w:left w:val="nil"/>
              <w:bottom w:val="single" w:sz="8" w:space="0" w:color="999999"/>
              <w:right w:val="single" w:sz="8" w:space="0" w:color="999999"/>
            </w:tcBorders>
            <w:tcMar>
              <w:top w:w="0" w:type="dxa"/>
              <w:left w:w="108" w:type="dxa"/>
              <w:bottom w:w="0" w:type="dxa"/>
              <w:right w:w="108" w:type="dxa"/>
            </w:tcMar>
          </w:tcPr>
          <w:p w14:paraId="6830312D"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$50.58</w:t>
            </w:r>
            <w:r w:rsidRPr="00041113">
              <w:rPr>
                <w:rFonts w:ascii="Calibri" w:eastAsia="Times New Roman" w:hAnsi="Calibri" w:cs="Times New Roman"/>
                <w:color w:val="000000"/>
              </w:rPr>
              <w:br/>
            </w:r>
          </w:p>
          <w:p w14:paraId="1BDB712E" w14:textId="77777777" w:rsidR="00FE31D3" w:rsidRPr="00041113" w:rsidRDefault="00FE31D3" w:rsidP="00CB1516">
            <w:pPr>
              <w:rPr>
                <w:rFonts w:ascii="Calibri" w:eastAsia="Times New Roman" w:hAnsi="Calibri" w:cs="Times New Roman"/>
                <w:color w:val="000000"/>
              </w:rPr>
            </w:pPr>
          </w:p>
          <w:p w14:paraId="4C919F6B" w14:textId="77777777" w:rsidR="00FE31D3" w:rsidRPr="00041113" w:rsidRDefault="00FE31D3" w:rsidP="00CB1516">
            <w:pPr>
              <w:rPr>
                <w:rFonts w:ascii="Calibri" w:eastAsia="Times New Roman" w:hAnsi="Calibri" w:cs="Times New Roman"/>
                <w:color w:val="000000"/>
              </w:rPr>
            </w:pPr>
          </w:p>
          <w:p w14:paraId="099D9E12" w14:textId="77777777" w:rsidR="00FE31D3" w:rsidRPr="00041113" w:rsidRDefault="00FE31D3" w:rsidP="00CB1516">
            <w:pPr>
              <w:rPr>
                <w:rFonts w:ascii="Calibri" w:eastAsia="Times New Roman" w:hAnsi="Calibri" w:cs="Times New Roman"/>
                <w:color w:val="000000"/>
              </w:rPr>
            </w:pPr>
          </w:p>
          <w:p w14:paraId="7EC5D5FA"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$189.51</w:t>
            </w:r>
          </w:p>
        </w:tc>
      </w:tr>
      <w:tr w:rsidR="00FE31D3" w:rsidRPr="00421E72" w14:paraId="3E489F8F" w14:textId="77777777" w:rsidTr="00CB1516">
        <w:trPr>
          <w:trHeight w:val="555"/>
        </w:trPr>
        <w:tc>
          <w:tcPr>
            <w:tcW w:w="0" w:type="auto"/>
            <w:tcBorders>
              <w:top w:val="single" w:sz="12" w:space="0" w:color="000000"/>
              <w:left w:val="single" w:sz="2" w:space="0" w:color="auto"/>
              <w:bottom w:val="single" w:sz="2" w:space="0" w:color="auto"/>
              <w:right w:val="single" w:sz="2" w:space="0" w:color="auto"/>
            </w:tcBorders>
            <w:tcMar>
              <w:top w:w="0" w:type="dxa"/>
              <w:left w:w="108" w:type="dxa"/>
              <w:bottom w:w="0" w:type="dxa"/>
              <w:right w:w="108" w:type="dxa"/>
            </w:tcMar>
          </w:tcPr>
          <w:p w14:paraId="7C51B38B"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b/>
                <w:bCs/>
                <w:color w:val="000000"/>
              </w:rPr>
              <w:t>Cephalexin (Keflex</w:t>
            </w:r>
            <w:r w:rsidRPr="00041113">
              <w:t>®)</w:t>
            </w:r>
          </w:p>
          <w:p w14:paraId="6561E284" w14:textId="77777777" w:rsidR="00FE31D3" w:rsidRPr="00041113" w:rsidRDefault="00FE31D3" w:rsidP="00CB1516">
            <w:pPr>
              <w:rPr>
                <w:rFonts w:ascii="Calibri" w:eastAsia="Times New Roman" w:hAnsi="Calibri" w:cs="Times New Roman"/>
                <w:b/>
                <w:bCs/>
              </w:rPr>
            </w:pPr>
            <w:r w:rsidRPr="00041113">
              <w:rPr>
                <w:rFonts w:ascii="Calibri" w:eastAsia="Times New Roman" w:hAnsi="Calibri" w:cs="Times New Roman"/>
                <w:b/>
                <w:bCs/>
                <w:color w:val="000000"/>
              </w:rPr>
              <w:t> </w:t>
            </w:r>
          </w:p>
        </w:tc>
        <w:tc>
          <w:tcPr>
            <w:tcW w:w="0" w:type="auto"/>
            <w:tcBorders>
              <w:top w:val="nil"/>
              <w:left w:val="single" w:sz="2" w:space="0" w:color="auto"/>
              <w:bottom w:val="single" w:sz="8" w:space="0" w:color="999999"/>
              <w:right w:val="single" w:sz="8" w:space="0" w:color="999999"/>
            </w:tcBorders>
            <w:tcMar>
              <w:top w:w="0" w:type="dxa"/>
              <w:left w:w="108" w:type="dxa"/>
              <w:bottom w:w="0" w:type="dxa"/>
              <w:right w:w="108" w:type="dxa"/>
            </w:tcMar>
          </w:tcPr>
          <w:p w14:paraId="773BC814" w14:textId="77777777" w:rsidR="00FE31D3" w:rsidRPr="00041113" w:rsidRDefault="00FE31D3" w:rsidP="00CB1516">
            <w:pPr>
              <w:pStyle w:val="ListParagraph"/>
              <w:numPr>
                <w:ilvl w:val="0"/>
                <w:numId w:val="2"/>
              </w:numPr>
              <w:rPr>
                <w:rFonts w:ascii="Calibri" w:eastAsia="Times New Roman" w:hAnsi="Calibri" w:cs="Times New Roman"/>
                <w:color w:val="000000"/>
              </w:rPr>
            </w:pPr>
            <w:r w:rsidRPr="00041113">
              <w:rPr>
                <w:rFonts w:ascii="Calibri" w:eastAsia="Times New Roman" w:hAnsi="Calibri" w:cs="Times New Roman"/>
                <w:color w:val="000000"/>
              </w:rPr>
              <w:t>Cephalexin (Keflex</w:t>
            </w:r>
            <w:r w:rsidRPr="00041113">
              <w:t>®)</w:t>
            </w:r>
            <w:r w:rsidRPr="00041113">
              <w:rPr>
                <w:rFonts w:ascii="Calibri" w:eastAsia="Times New Roman" w:hAnsi="Calibri" w:cs="Times New Roman"/>
                <w:color w:val="000000"/>
              </w:rPr>
              <w:t xml:space="preserve"> Capsule: 250mg, 500mg.  </w:t>
            </w:r>
          </w:p>
          <w:p w14:paraId="4B779735" w14:textId="77777777" w:rsidR="00FE31D3" w:rsidRPr="00041113" w:rsidRDefault="00FE31D3" w:rsidP="00CB1516">
            <w:pPr>
              <w:pStyle w:val="ListParagraph"/>
              <w:numPr>
                <w:ilvl w:val="0"/>
                <w:numId w:val="3"/>
              </w:numPr>
              <w:ind w:left="360"/>
              <w:rPr>
                <w:rFonts w:ascii="Calibri" w:eastAsia="Times New Roman" w:hAnsi="Calibri" w:cs="Times New Roman"/>
                <w:color w:val="000000"/>
              </w:rPr>
            </w:pPr>
            <w:r w:rsidRPr="00041113">
              <w:rPr>
                <w:rFonts w:ascii="Calibri" w:eastAsia="Times New Roman" w:hAnsi="Calibri" w:cs="Times New Roman"/>
                <w:color w:val="000000"/>
              </w:rPr>
              <w:t>Suspension: 125mg/5mL </w:t>
            </w:r>
          </w:p>
        </w:tc>
        <w:tc>
          <w:tcPr>
            <w:tcW w:w="1124" w:type="dxa"/>
            <w:tcBorders>
              <w:top w:val="nil"/>
              <w:left w:val="nil"/>
              <w:bottom w:val="single" w:sz="8" w:space="0" w:color="999999"/>
              <w:right w:val="single" w:sz="8" w:space="0" w:color="999999"/>
            </w:tcBorders>
            <w:tcMar>
              <w:top w:w="0" w:type="dxa"/>
              <w:left w:w="108" w:type="dxa"/>
              <w:bottom w:w="0" w:type="dxa"/>
              <w:right w:w="108" w:type="dxa"/>
            </w:tcMar>
          </w:tcPr>
          <w:p w14:paraId="45F0B47B"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w:t>
            </w:r>
          </w:p>
        </w:tc>
      </w:tr>
      <w:tr w:rsidR="00FE31D3" w:rsidRPr="00421E72" w14:paraId="20219E44" w14:textId="77777777" w:rsidTr="00CB1516">
        <w:trPr>
          <w:trHeight w:val="555"/>
        </w:trPr>
        <w:tc>
          <w:tcPr>
            <w:tcW w:w="0" w:type="auto"/>
            <w:tcBorders>
              <w:top w:val="single" w:sz="12" w:space="0" w:color="000000"/>
              <w:left w:val="single" w:sz="2" w:space="0" w:color="auto"/>
              <w:bottom w:val="single" w:sz="2" w:space="0" w:color="auto"/>
              <w:right w:val="single" w:sz="2" w:space="0" w:color="auto"/>
            </w:tcBorders>
            <w:tcMar>
              <w:top w:w="0" w:type="dxa"/>
              <w:left w:w="108" w:type="dxa"/>
              <w:bottom w:w="0" w:type="dxa"/>
              <w:right w:w="108" w:type="dxa"/>
            </w:tcMar>
          </w:tcPr>
          <w:p w14:paraId="031E18BB" w14:textId="77777777" w:rsidR="00FE31D3" w:rsidRPr="00041113" w:rsidRDefault="00FE31D3" w:rsidP="00CB1516">
            <w:pPr>
              <w:rPr>
                <w:rFonts w:ascii="Calibri" w:eastAsia="Times New Roman" w:hAnsi="Calibri" w:cs="Times New Roman"/>
                <w:b/>
                <w:bCs/>
              </w:rPr>
            </w:pPr>
            <w:r w:rsidRPr="00041113">
              <w:rPr>
                <w:rFonts w:ascii="Calibri" w:eastAsia="Times New Roman" w:hAnsi="Calibri" w:cs="Times New Roman"/>
                <w:b/>
                <w:bCs/>
              </w:rPr>
              <w:t xml:space="preserve">Dexamethasone 6mg tablets </w:t>
            </w:r>
            <w:r w:rsidRPr="00041113">
              <w:rPr>
                <w:rFonts w:ascii="Calibri" w:eastAsia="Times New Roman" w:hAnsi="Calibri" w:cs="Times New Roman"/>
                <w:color w:val="FF0000"/>
              </w:rPr>
              <w:t>($60.00)</w:t>
            </w:r>
          </w:p>
        </w:tc>
        <w:tc>
          <w:tcPr>
            <w:tcW w:w="0" w:type="auto"/>
            <w:tcBorders>
              <w:top w:val="nil"/>
              <w:left w:val="single" w:sz="2" w:space="0" w:color="auto"/>
              <w:bottom w:val="single" w:sz="8" w:space="0" w:color="999999"/>
              <w:right w:val="single" w:sz="8" w:space="0" w:color="999999"/>
            </w:tcBorders>
            <w:tcMar>
              <w:top w:w="0" w:type="dxa"/>
              <w:left w:w="108" w:type="dxa"/>
              <w:bottom w:w="0" w:type="dxa"/>
              <w:right w:w="108" w:type="dxa"/>
            </w:tcMar>
          </w:tcPr>
          <w:p w14:paraId="34A76100" w14:textId="77777777" w:rsidR="00FE31D3" w:rsidRPr="00041113" w:rsidRDefault="00FE31D3" w:rsidP="00CB1516">
            <w:pPr>
              <w:pStyle w:val="ListParagraph"/>
              <w:numPr>
                <w:ilvl w:val="0"/>
                <w:numId w:val="3"/>
              </w:numPr>
              <w:ind w:left="360"/>
              <w:rPr>
                <w:rFonts w:ascii="Calibri" w:eastAsia="Times New Roman" w:hAnsi="Calibri" w:cs="Times New Roman"/>
                <w:color w:val="000000"/>
              </w:rPr>
            </w:pPr>
            <w:r w:rsidRPr="00BB3472">
              <w:rPr>
                <w:rFonts w:ascii="Calibri" w:eastAsia="Times New Roman" w:hAnsi="Calibri" w:cs="Times New Roman"/>
                <w:color w:val="000000"/>
              </w:rPr>
              <w:t xml:space="preserve">Dexamethasone 2mg </w:t>
            </w:r>
            <w:r w:rsidRPr="00041113">
              <w:rPr>
                <w:rFonts w:ascii="Calibri" w:eastAsia="Times New Roman" w:hAnsi="Calibri" w:cs="Times New Roman"/>
                <w:color w:val="000000"/>
              </w:rPr>
              <w:t xml:space="preserve">TAB </w:t>
            </w:r>
            <w:r w:rsidRPr="00041113">
              <w:rPr>
                <w:rFonts w:ascii="Calibri" w:eastAsia="Times New Roman" w:hAnsi="Calibri" w:cs="Times New Roman"/>
                <w:color w:val="00B050"/>
              </w:rPr>
              <w:t>($23.00)</w:t>
            </w:r>
          </w:p>
        </w:tc>
        <w:tc>
          <w:tcPr>
            <w:tcW w:w="1124" w:type="dxa"/>
            <w:tcBorders>
              <w:top w:val="nil"/>
              <w:left w:val="nil"/>
              <w:bottom w:val="single" w:sz="8" w:space="0" w:color="999999"/>
              <w:right w:val="single" w:sz="8" w:space="0" w:color="999999"/>
            </w:tcBorders>
            <w:tcMar>
              <w:top w:w="0" w:type="dxa"/>
              <w:left w:w="108" w:type="dxa"/>
              <w:bottom w:w="0" w:type="dxa"/>
              <w:right w:w="108" w:type="dxa"/>
            </w:tcMar>
          </w:tcPr>
          <w:p w14:paraId="14411725"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$37.00</w:t>
            </w:r>
          </w:p>
        </w:tc>
      </w:tr>
      <w:tr w:rsidR="00FE31D3" w:rsidRPr="00421E72" w14:paraId="3501B799" w14:textId="77777777" w:rsidTr="00CB1516">
        <w:trPr>
          <w:trHeight w:val="976"/>
        </w:trPr>
        <w:tc>
          <w:tcPr>
            <w:tcW w:w="0" w:type="auto"/>
            <w:tcBorders>
              <w:top w:val="single" w:sz="12" w:space="0" w:color="000000"/>
              <w:left w:val="single" w:sz="2" w:space="0" w:color="auto"/>
              <w:bottom w:val="single" w:sz="2" w:space="0" w:color="auto"/>
              <w:right w:val="single" w:sz="2" w:space="0" w:color="auto"/>
            </w:tcBorders>
            <w:tcMar>
              <w:top w:w="0" w:type="dxa"/>
              <w:left w:w="108" w:type="dxa"/>
              <w:bottom w:w="0" w:type="dxa"/>
              <w:right w:w="108" w:type="dxa"/>
            </w:tcMar>
          </w:tcPr>
          <w:p w14:paraId="44C1568B" w14:textId="77777777" w:rsidR="00FE31D3" w:rsidRPr="00041113" w:rsidRDefault="00FE31D3" w:rsidP="00CB1516">
            <w:pPr>
              <w:rPr>
                <w:rFonts w:ascii="Calibri" w:eastAsia="Times New Roman" w:hAnsi="Calibri" w:cs="Times New Roman"/>
                <w:b/>
                <w:bCs/>
                <w:color w:val="000000"/>
              </w:rPr>
            </w:pPr>
            <w:r w:rsidRPr="00041113">
              <w:rPr>
                <w:rFonts w:ascii="Calibri" w:eastAsia="Times New Roman" w:hAnsi="Calibri" w:cs="Times New Roman"/>
                <w:b/>
                <w:bCs/>
                <w:color w:val="000000"/>
              </w:rPr>
              <w:t>Divalproex sprinkles 125 mg </w:t>
            </w:r>
            <w:r w:rsidRPr="00041113">
              <w:rPr>
                <w:rFonts w:ascii="Calibri" w:eastAsia="Times New Roman" w:hAnsi="Calibri" w:cs="Times New Roman"/>
                <w:color w:val="FF0000"/>
              </w:rPr>
              <w:t>($113.86)</w:t>
            </w:r>
          </w:p>
        </w:tc>
        <w:tc>
          <w:tcPr>
            <w:tcW w:w="0" w:type="auto"/>
            <w:tcBorders>
              <w:top w:val="nil"/>
              <w:left w:val="single" w:sz="2" w:space="0" w:color="auto"/>
              <w:bottom w:val="single" w:sz="8" w:space="0" w:color="999999"/>
              <w:right w:val="single" w:sz="8" w:space="0" w:color="999999"/>
            </w:tcBorders>
            <w:tcMar>
              <w:top w:w="0" w:type="dxa"/>
              <w:left w:w="108" w:type="dxa"/>
              <w:bottom w:w="0" w:type="dxa"/>
              <w:right w:w="108" w:type="dxa"/>
            </w:tcMar>
          </w:tcPr>
          <w:p w14:paraId="4821E30B" w14:textId="77777777" w:rsidR="00FE31D3" w:rsidRPr="00041113" w:rsidRDefault="00FE31D3" w:rsidP="00CB1516">
            <w:pPr>
              <w:pStyle w:val="ListParagraph"/>
              <w:numPr>
                <w:ilvl w:val="0"/>
                <w:numId w:val="2"/>
              </w:numPr>
              <w:rPr>
                <w:rFonts w:ascii="Calibri" w:eastAsia="Times New Roman" w:hAnsi="Calibri" w:cs="Times New Roman"/>
                <w:color w:val="000000"/>
              </w:rPr>
            </w:pPr>
            <w:r w:rsidRPr="00041113">
              <w:rPr>
                <w:rFonts w:ascii="Calibri" w:eastAsia="Times New Roman" w:hAnsi="Calibri" w:cs="Times New Roman"/>
                <w:color w:val="000000"/>
              </w:rPr>
              <w:t>Divalproex 125 mg TAB (DR/EC) (Depakote®</w:t>
            </w:r>
            <w:r w:rsidRPr="00041113">
              <w:rPr>
                <w:rFonts w:ascii="Calibri" w:eastAsia="Times New Roman" w:hAnsi="Calibri" w:cs="Times New Roman"/>
              </w:rPr>
              <w:t>)</w:t>
            </w:r>
            <w:r w:rsidRPr="00041113">
              <w:rPr>
                <w:rFonts w:ascii="Calibri" w:eastAsia="Times New Roman" w:hAnsi="Calibri" w:cs="Times New Roman"/>
                <w:color w:val="00B050"/>
              </w:rPr>
              <w:t xml:space="preserve"> ($14.83)</w:t>
            </w:r>
          </w:p>
          <w:p w14:paraId="571000F3" w14:textId="77777777" w:rsidR="00FE31D3" w:rsidRPr="00041113" w:rsidRDefault="00FE31D3" w:rsidP="00CB1516">
            <w:pPr>
              <w:pStyle w:val="ListParagraph"/>
              <w:numPr>
                <w:ilvl w:val="0"/>
                <w:numId w:val="2"/>
              </w:numPr>
              <w:rPr>
                <w:rFonts w:ascii="Calibri" w:eastAsia="Times New Roman" w:hAnsi="Calibri" w:cs="Times New Roman"/>
                <w:color w:val="000000"/>
              </w:rPr>
            </w:pPr>
            <w:r w:rsidRPr="00041113">
              <w:rPr>
                <w:rFonts w:ascii="Calibri" w:eastAsia="Times New Roman" w:hAnsi="Calibri" w:cs="Times New Roman"/>
                <w:color w:val="000000"/>
              </w:rPr>
              <w:t xml:space="preserve">Valproic Acid (Depakene®) Capsules 250mg </w:t>
            </w:r>
            <w:r w:rsidRPr="00041113">
              <w:rPr>
                <w:rFonts w:ascii="Calibri" w:eastAsia="Times New Roman" w:hAnsi="Calibri" w:cs="Times New Roman"/>
                <w:color w:val="00B050"/>
              </w:rPr>
              <w:t xml:space="preserve">($19.50) </w:t>
            </w:r>
          </w:p>
          <w:p w14:paraId="1C014FF5" w14:textId="77777777" w:rsidR="00FE31D3" w:rsidRPr="00041113" w:rsidRDefault="00FE31D3" w:rsidP="00CB1516">
            <w:pPr>
              <w:pStyle w:val="ListParagraph"/>
              <w:numPr>
                <w:ilvl w:val="0"/>
                <w:numId w:val="2"/>
              </w:numPr>
              <w:rPr>
                <w:rFonts w:ascii="Calibri" w:eastAsia="Times New Roman" w:hAnsi="Calibri" w:cs="Times New Roman"/>
                <w:color w:val="000000"/>
              </w:rPr>
            </w:pPr>
            <w:r w:rsidRPr="00041113">
              <w:rPr>
                <w:rFonts w:ascii="Calibri" w:eastAsia="Times New Roman" w:hAnsi="Calibri" w:cs="Times New Roman"/>
                <w:color w:val="000000"/>
              </w:rPr>
              <w:t>Valproic Acid (Depakene®) Solution 250mg/5mL </w:t>
            </w:r>
            <w:r w:rsidRPr="00041113">
              <w:rPr>
                <w:rFonts w:ascii="Calibri" w:eastAsia="Times New Roman" w:hAnsi="Calibri" w:cs="Times New Roman"/>
                <w:color w:val="00B050"/>
              </w:rPr>
              <w:t>($21.46)</w:t>
            </w:r>
          </w:p>
        </w:tc>
        <w:tc>
          <w:tcPr>
            <w:tcW w:w="1124" w:type="dxa"/>
            <w:tcBorders>
              <w:top w:val="nil"/>
              <w:left w:val="nil"/>
              <w:bottom w:val="single" w:sz="8" w:space="0" w:color="999999"/>
              <w:right w:val="single" w:sz="8" w:space="0" w:color="999999"/>
            </w:tcBorders>
            <w:tcMar>
              <w:top w:w="0" w:type="dxa"/>
              <w:left w:w="108" w:type="dxa"/>
              <w:bottom w:w="0" w:type="dxa"/>
              <w:right w:w="108" w:type="dxa"/>
            </w:tcMar>
          </w:tcPr>
          <w:p w14:paraId="79653022"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$99.03</w:t>
            </w:r>
          </w:p>
          <w:p w14:paraId="39F48927" w14:textId="77777777" w:rsidR="00FE31D3" w:rsidRPr="00041113" w:rsidRDefault="00FE31D3" w:rsidP="00CB1516">
            <w:pPr>
              <w:rPr>
                <w:rFonts w:ascii="Calibri" w:eastAsia="Times New Roman" w:hAnsi="Calibri" w:cs="Times New Roman"/>
                <w:color w:val="000000"/>
              </w:rPr>
            </w:pPr>
          </w:p>
          <w:p w14:paraId="753E804C"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$94.36 </w:t>
            </w:r>
          </w:p>
          <w:p w14:paraId="79CCC95C"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 </w:t>
            </w:r>
          </w:p>
          <w:p w14:paraId="4055C209"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$92.43</w:t>
            </w:r>
          </w:p>
        </w:tc>
      </w:tr>
      <w:tr w:rsidR="00FE31D3" w:rsidRPr="00421E72" w14:paraId="04CEAE38" w14:textId="77777777" w:rsidTr="00CB1516">
        <w:trPr>
          <w:trHeight w:val="870"/>
        </w:trPr>
        <w:tc>
          <w:tcPr>
            <w:tcW w:w="0" w:type="auto"/>
            <w:tcBorders>
              <w:top w:val="single" w:sz="12" w:space="0" w:color="000000"/>
              <w:left w:val="single" w:sz="2" w:space="0" w:color="auto"/>
              <w:bottom w:val="single" w:sz="2" w:space="0" w:color="auto"/>
              <w:right w:val="single" w:sz="2" w:space="0" w:color="auto"/>
            </w:tcBorders>
            <w:tcMar>
              <w:top w:w="0" w:type="dxa"/>
              <w:left w:w="108" w:type="dxa"/>
              <w:bottom w:w="0" w:type="dxa"/>
              <w:right w:w="108" w:type="dxa"/>
            </w:tcMar>
            <w:hideMark/>
          </w:tcPr>
          <w:p w14:paraId="1DED4ABE"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b/>
                <w:bCs/>
                <w:color w:val="000000"/>
              </w:rPr>
              <w:t>Ipratropium-albuterol 20 mcg-100 mcg/act HFA (Combivent</w:t>
            </w:r>
            <w:r w:rsidRPr="00041113">
              <w:rPr>
                <w:rFonts w:ascii="Calibri" w:eastAsia="Times New Roman" w:hAnsi="Calibri" w:cs="Times New Roman"/>
                <w:color w:val="000000"/>
              </w:rPr>
              <w:t>®</w:t>
            </w:r>
            <w:r w:rsidRPr="00041113">
              <w:rPr>
                <w:rFonts w:ascii="Calibri" w:eastAsia="Times New Roman" w:hAnsi="Calibri" w:cs="Times New Roman"/>
                <w:b/>
                <w:bCs/>
                <w:color w:val="000000"/>
              </w:rPr>
              <w:t xml:space="preserve"> Respimat</w:t>
            </w:r>
            <w:r w:rsidRPr="00041113">
              <w:rPr>
                <w:rFonts w:ascii="Calibri" w:eastAsia="Times New Roman" w:hAnsi="Calibri" w:cs="Times New Roman"/>
                <w:color w:val="000000"/>
              </w:rPr>
              <w:t>®</w:t>
            </w:r>
            <w:r w:rsidRPr="00041113">
              <w:rPr>
                <w:rFonts w:ascii="Calibri" w:eastAsia="Times New Roman" w:hAnsi="Calibri" w:cs="Times New Roman"/>
                <w:b/>
                <w:bCs/>
                <w:color w:val="000000"/>
              </w:rPr>
              <w:t xml:space="preserve">) </w:t>
            </w:r>
            <w:r w:rsidRPr="00041113">
              <w:rPr>
                <w:rFonts w:ascii="Calibri" w:eastAsia="Times New Roman" w:hAnsi="Calibri" w:cs="Times New Roman"/>
                <w:color w:val="FF0000"/>
              </w:rPr>
              <w:t>($462.45)</w:t>
            </w:r>
          </w:p>
        </w:tc>
        <w:tc>
          <w:tcPr>
            <w:tcW w:w="0" w:type="auto"/>
            <w:tcBorders>
              <w:top w:val="nil"/>
              <w:left w:val="single" w:sz="2" w:space="0" w:color="auto"/>
              <w:bottom w:val="single" w:sz="8" w:space="0" w:color="999999"/>
              <w:right w:val="single" w:sz="8" w:space="0" w:color="999999"/>
            </w:tcBorders>
            <w:tcMar>
              <w:top w:w="0" w:type="dxa"/>
              <w:left w:w="108" w:type="dxa"/>
              <w:bottom w:w="0" w:type="dxa"/>
              <w:right w:w="108" w:type="dxa"/>
            </w:tcMar>
            <w:hideMark/>
          </w:tcPr>
          <w:p w14:paraId="33590C8D" w14:textId="77777777" w:rsidR="00FE31D3" w:rsidRPr="00041113" w:rsidRDefault="00FE31D3" w:rsidP="00CB1516">
            <w:pPr>
              <w:pStyle w:val="ListParagraph"/>
              <w:numPr>
                <w:ilvl w:val="0"/>
                <w:numId w:val="2"/>
              </w:numPr>
              <w:rPr>
                <w:rFonts w:ascii="Calibri" w:eastAsia="Times New Roman" w:hAnsi="Calibri" w:cs="Times New Roman"/>
                <w:color w:val="000000"/>
              </w:rPr>
            </w:pPr>
            <w:r w:rsidRPr="00041113">
              <w:rPr>
                <w:rFonts w:ascii="Calibri" w:eastAsia="Times New Roman" w:hAnsi="Calibri" w:cs="Times New Roman"/>
                <w:color w:val="000000"/>
              </w:rPr>
              <w:t xml:space="preserve">Ipratropium-albuterol 0.5 mg-3 mg (2.5 mg base)/3 mL solution (DuoNeb®), QID </w:t>
            </w:r>
            <w:r w:rsidRPr="00041113">
              <w:rPr>
                <w:rFonts w:ascii="Calibri" w:eastAsia="Times New Roman" w:hAnsi="Calibri" w:cs="Times New Roman"/>
                <w:color w:val="00B050"/>
              </w:rPr>
              <w:t>($46.00)</w:t>
            </w:r>
          </w:p>
        </w:tc>
        <w:tc>
          <w:tcPr>
            <w:tcW w:w="1124" w:type="dxa"/>
            <w:tcBorders>
              <w:top w:val="nil"/>
              <w:left w:val="nil"/>
              <w:bottom w:val="single" w:sz="8" w:space="0" w:color="999999"/>
              <w:right w:val="single" w:sz="8" w:space="0" w:color="999999"/>
            </w:tcBorders>
            <w:tcMar>
              <w:top w:w="0" w:type="dxa"/>
              <w:left w:w="108" w:type="dxa"/>
              <w:bottom w:w="0" w:type="dxa"/>
              <w:right w:w="108" w:type="dxa"/>
            </w:tcMar>
            <w:hideMark/>
          </w:tcPr>
          <w:p w14:paraId="7A435988"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$416.45</w:t>
            </w:r>
          </w:p>
        </w:tc>
      </w:tr>
      <w:tr w:rsidR="00FE31D3" w:rsidRPr="00421E72" w14:paraId="7AC7209B" w14:textId="77777777" w:rsidTr="00CB1516">
        <w:trPr>
          <w:trHeight w:val="853"/>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07FE5EE8"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b/>
                <w:bCs/>
                <w:color w:val="000000"/>
              </w:rPr>
              <w:t>Guaifenesin </w:t>
            </w:r>
          </w:p>
          <w:p w14:paraId="448BA57A"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b/>
                <w:bCs/>
                <w:color w:val="000000"/>
              </w:rPr>
              <w:t>100mg/5mL</w:t>
            </w:r>
          </w:p>
          <w:p w14:paraId="3C57FFD4" w14:textId="77777777" w:rsidR="00FE31D3" w:rsidRPr="00041113" w:rsidRDefault="00FE31D3" w:rsidP="00CB1516">
            <w:pPr>
              <w:rPr>
                <w:rFonts w:ascii="Calibri" w:eastAsia="Times New Roman" w:hAnsi="Calibri" w:cs="Times New Roman"/>
                <w:b/>
                <w:bCs/>
                <w:color w:val="000000"/>
              </w:rPr>
            </w:pPr>
            <w:r w:rsidRPr="00041113">
              <w:rPr>
                <w:rFonts w:ascii="Calibri" w:eastAsia="Times New Roman" w:hAnsi="Calibri" w:cs="Times New Roman"/>
                <w:color w:val="FF0000"/>
              </w:rPr>
              <w:t>($61.73)</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16FE3EEF" w14:textId="77777777" w:rsidR="00FE31D3" w:rsidRPr="00041113" w:rsidRDefault="00FE31D3" w:rsidP="00CB1516">
            <w:pPr>
              <w:pStyle w:val="ListParagraph"/>
              <w:numPr>
                <w:ilvl w:val="0"/>
                <w:numId w:val="2"/>
              </w:numPr>
              <w:rPr>
                <w:rFonts w:ascii="Calibri" w:eastAsia="Times New Roman" w:hAnsi="Calibri" w:cs="Times New Roman"/>
                <w:color w:val="000000" w:themeColor="text1"/>
              </w:rPr>
            </w:pPr>
            <w:r w:rsidRPr="00041113">
              <w:rPr>
                <w:rFonts w:ascii="Calibri" w:eastAsia="Times New Roman" w:hAnsi="Calibri" w:cs="Times New Roman"/>
                <w:color w:val="000000" w:themeColor="text1"/>
              </w:rPr>
              <w:t xml:space="preserve">Mucinex ER 1200mg QD </w:t>
            </w:r>
            <w:r w:rsidRPr="00041113">
              <w:rPr>
                <w:rFonts w:ascii="Calibri" w:eastAsia="Times New Roman" w:hAnsi="Calibri" w:cs="Times New Roman"/>
                <w:color w:val="00B050"/>
              </w:rPr>
              <w:t>($15.19)</w:t>
            </w:r>
          </w:p>
          <w:p w14:paraId="32C12546" w14:textId="77777777" w:rsidR="00FE31D3" w:rsidRPr="00041113" w:rsidRDefault="00FE31D3" w:rsidP="00CB1516">
            <w:pPr>
              <w:pStyle w:val="ListParagraph"/>
              <w:numPr>
                <w:ilvl w:val="0"/>
                <w:numId w:val="2"/>
              </w:numPr>
              <w:rPr>
                <w:rFonts w:ascii="Calibri" w:eastAsia="Times New Roman" w:hAnsi="Calibri" w:cs="Times New Roman"/>
                <w:color w:val="000000" w:themeColor="text1"/>
              </w:rPr>
            </w:pPr>
            <w:r w:rsidRPr="00041113">
              <w:rPr>
                <w:rFonts w:ascii="Calibri" w:eastAsia="Times New Roman" w:hAnsi="Calibri" w:cs="Times New Roman"/>
                <w:color w:val="000000" w:themeColor="text1"/>
              </w:rPr>
              <w:t xml:space="preserve">Mucinex ER 600mg BID </w:t>
            </w:r>
            <w:r w:rsidRPr="00041113">
              <w:rPr>
                <w:rFonts w:ascii="Calibri" w:eastAsia="Times New Roman" w:hAnsi="Calibri" w:cs="Times New Roman"/>
                <w:color w:val="00B050"/>
              </w:rPr>
              <w:t>($18.25)</w:t>
            </w:r>
          </w:p>
          <w:p w14:paraId="36BFCF17" w14:textId="77777777" w:rsidR="00FE31D3" w:rsidRPr="00041113" w:rsidRDefault="00FE31D3" w:rsidP="00CB1516">
            <w:pPr>
              <w:pStyle w:val="ListParagraph"/>
              <w:numPr>
                <w:ilvl w:val="0"/>
                <w:numId w:val="2"/>
              </w:numPr>
              <w:rPr>
                <w:rFonts w:ascii="Calibri" w:eastAsia="Times New Roman" w:hAnsi="Calibri" w:cs="Times New Roman"/>
                <w:color w:val="000000"/>
              </w:rPr>
            </w:pPr>
            <w:r w:rsidRPr="00041113">
              <w:rPr>
                <w:rFonts w:ascii="Calibri" w:eastAsia="Times New Roman" w:hAnsi="Calibri" w:cs="Times New Roman"/>
                <w:color w:val="000000" w:themeColor="text1"/>
              </w:rPr>
              <w:t xml:space="preserve">Guaifenesin 400mg QID </w:t>
            </w:r>
            <w:r w:rsidRPr="00041113">
              <w:rPr>
                <w:rFonts w:ascii="Calibri" w:eastAsia="Times New Roman" w:hAnsi="Calibri" w:cs="Times New Roman"/>
                <w:color w:val="00B050"/>
              </w:rPr>
              <w:t>($9.01)</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777864F7"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$46.54</w:t>
            </w:r>
          </w:p>
          <w:p w14:paraId="60C66019"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 $43.48</w:t>
            </w:r>
          </w:p>
          <w:p w14:paraId="35618F67"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$52.72</w:t>
            </w:r>
          </w:p>
        </w:tc>
      </w:tr>
      <w:tr w:rsidR="00FE31D3" w:rsidRPr="00421E72" w14:paraId="36D115D5" w14:textId="77777777" w:rsidTr="00CB1516">
        <w:trPr>
          <w:trHeight w:val="844"/>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443AD15F" w14:textId="77777777" w:rsidR="00FE31D3" w:rsidRPr="00041113" w:rsidRDefault="00FE31D3" w:rsidP="00CB1516">
            <w:pPr>
              <w:rPr>
                <w:rFonts w:ascii="Calibri" w:eastAsia="Times New Roman" w:hAnsi="Calibri" w:cs="Times New Roman"/>
                <w:b/>
                <w:bCs/>
                <w:color w:val="000000"/>
              </w:rPr>
            </w:pPr>
            <w:r w:rsidRPr="00041113">
              <w:rPr>
                <w:rFonts w:ascii="Calibri" w:eastAsia="Times New Roman" w:hAnsi="Calibri" w:cs="Times New Roman"/>
                <w:b/>
                <w:bCs/>
                <w:color w:val="000000"/>
              </w:rPr>
              <w:t>Haldol</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1F7EF51E" w14:textId="77777777" w:rsidR="00FE31D3" w:rsidRPr="00041113" w:rsidRDefault="00FE31D3" w:rsidP="00CB1516">
            <w:pPr>
              <w:pStyle w:val="ListParagraph"/>
              <w:numPr>
                <w:ilvl w:val="0"/>
                <w:numId w:val="2"/>
              </w:numPr>
              <w:rPr>
                <w:rFonts w:ascii="Calibri" w:eastAsia="Times New Roman" w:hAnsi="Calibri" w:cs="Times New Roman"/>
                <w:color w:val="000000"/>
              </w:rPr>
            </w:pPr>
            <w:r w:rsidRPr="00041113">
              <w:rPr>
                <w:rFonts w:ascii="Calibri" w:eastAsia="Times New Roman" w:hAnsi="Calibri" w:cs="Times New Roman"/>
                <w:color w:val="000000"/>
              </w:rPr>
              <w:t>Haloperidol TAB: 0.5mg, 1mg, 2mg, 20mg</w:t>
            </w:r>
          </w:p>
          <w:p w14:paraId="648E3DF0" w14:textId="77777777" w:rsidR="00FE31D3" w:rsidRPr="00041113" w:rsidRDefault="00FE31D3" w:rsidP="00CB1516">
            <w:pPr>
              <w:pStyle w:val="ListParagraph"/>
              <w:numPr>
                <w:ilvl w:val="0"/>
                <w:numId w:val="2"/>
              </w:numPr>
              <w:rPr>
                <w:rFonts w:ascii="Calibri" w:eastAsia="Times New Roman" w:hAnsi="Calibri" w:cs="Times New Roman"/>
                <w:color w:val="000000" w:themeColor="text1"/>
              </w:rPr>
            </w:pPr>
            <w:r w:rsidRPr="00041113">
              <w:rPr>
                <w:rFonts w:ascii="Calibri" w:eastAsia="Times New Roman" w:hAnsi="Calibri" w:cs="Times New Roman"/>
                <w:color w:val="000000"/>
              </w:rPr>
              <w:t xml:space="preserve">ORAL CONC: 2mg/mL </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3FEB0950"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w:t>
            </w:r>
          </w:p>
        </w:tc>
      </w:tr>
      <w:tr w:rsidR="00FE31D3" w:rsidRPr="00421E72" w14:paraId="4B4D0FC7" w14:textId="77777777" w:rsidTr="00CB1516">
        <w:trPr>
          <w:trHeight w:val="1258"/>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0E3F6912" w14:textId="77777777" w:rsidR="00FE31D3" w:rsidRPr="00041113" w:rsidRDefault="00FE31D3" w:rsidP="00CB1516">
            <w:pPr>
              <w:rPr>
                <w:rFonts w:ascii="Calibri" w:eastAsia="Times New Roman" w:hAnsi="Calibri" w:cs="Times New Roman"/>
                <w:b/>
                <w:bCs/>
                <w:color w:val="000000"/>
              </w:rPr>
            </w:pPr>
            <w:r w:rsidRPr="00041113">
              <w:rPr>
                <w:rFonts w:ascii="Calibri" w:eastAsia="Times New Roman" w:hAnsi="Calibri" w:cs="Times New Roman"/>
                <w:b/>
                <w:bCs/>
                <w:color w:val="000000"/>
              </w:rPr>
              <w:t>Hydrocodone-chlorpheniramine 10 mg-8 mg/5 ml (Tussionex</w:t>
            </w:r>
            <w:r w:rsidRPr="00041113">
              <w:rPr>
                <w:rFonts w:ascii="Calibri" w:eastAsia="Times New Roman" w:hAnsi="Calibri" w:cs="Times New Roman"/>
                <w:color w:val="000000"/>
              </w:rPr>
              <w:t>®</w:t>
            </w:r>
            <w:r w:rsidRPr="00041113">
              <w:rPr>
                <w:rFonts w:ascii="Calibri" w:eastAsia="Times New Roman" w:hAnsi="Calibri" w:cs="Times New Roman"/>
                <w:b/>
                <w:bCs/>
                <w:color w:val="000000"/>
              </w:rPr>
              <w:t xml:space="preserve">) </w:t>
            </w:r>
            <w:r w:rsidRPr="00041113">
              <w:rPr>
                <w:rFonts w:ascii="Calibri" w:eastAsia="Times New Roman" w:hAnsi="Calibri" w:cs="Times New Roman"/>
                <w:color w:val="FF0000"/>
              </w:rPr>
              <w:t>($163.99)</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31AE7F1A" w14:textId="77777777" w:rsidR="00FE31D3" w:rsidRPr="00041113" w:rsidRDefault="00FE31D3" w:rsidP="00CB1516">
            <w:pPr>
              <w:pStyle w:val="ListParagraph"/>
              <w:numPr>
                <w:ilvl w:val="0"/>
                <w:numId w:val="4"/>
              </w:numPr>
              <w:rPr>
                <w:rFonts w:ascii="Calibri" w:eastAsia="Times New Roman" w:hAnsi="Calibri" w:cs="Times New Roman"/>
                <w:b/>
                <w:bCs/>
                <w:color w:val="000000"/>
              </w:rPr>
            </w:pPr>
            <w:r w:rsidRPr="00041113">
              <w:rPr>
                <w:rFonts w:ascii="Calibri" w:eastAsia="Times New Roman" w:hAnsi="Calibri" w:cs="Times New Roman"/>
                <w:color w:val="000000"/>
              </w:rPr>
              <w:t>Hydrocodone-homatropine (</w:t>
            </w:r>
            <w:proofErr w:type="spellStart"/>
            <w:r w:rsidRPr="00041113">
              <w:rPr>
                <w:rFonts w:ascii="Calibri" w:eastAsia="Times New Roman" w:hAnsi="Calibri" w:cs="Times New Roman"/>
                <w:color w:val="000000"/>
              </w:rPr>
              <w:t>Hycodan</w:t>
            </w:r>
            <w:proofErr w:type="spellEnd"/>
            <w:r w:rsidRPr="00041113">
              <w:rPr>
                <w:rFonts w:ascii="Calibri" w:eastAsia="Times New Roman" w:hAnsi="Calibri" w:cs="Times New Roman"/>
                <w:color w:val="000000"/>
              </w:rPr>
              <w:t>®) 5 mg-1.5 mg/5 mL Syrup</w:t>
            </w:r>
            <w:r w:rsidRPr="00041113">
              <w:rPr>
                <w:rFonts w:ascii="Calibri" w:eastAsia="Times New Roman" w:hAnsi="Calibri" w:cs="Times New Roman"/>
                <w:b/>
                <w:bCs/>
                <w:color w:val="000000"/>
              </w:rPr>
              <w:t xml:space="preserve"> </w:t>
            </w:r>
            <w:r w:rsidRPr="00041113">
              <w:rPr>
                <w:rFonts w:ascii="Calibri" w:eastAsia="Times New Roman" w:hAnsi="Calibri" w:cs="Times New Roman"/>
                <w:color w:val="00B050"/>
              </w:rPr>
              <w:t>($60)</w:t>
            </w:r>
          </w:p>
          <w:p w14:paraId="0E4EDEB1" w14:textId="77777777" w:rsidR="00FE31D3" w:rsidRPr="00041113" w:rsidRDefault="00FE31D3" w:rsidP="00CB1516">
            <w:pPr>
              <w:pStyle w:val="ListParagraph"/>
              <w:numPr>
                <w:ilvl w:val="0"/>
                <w:numId w:val="2"/>
              </w:numPr>
            </w:pPr>
            <w:r w:rsidRPr="00041113">
              <w:t xml:space="preserve">Promethazine-codeine (Phenergan® with Codeine) SYRP: 10mg-6.25mg/5mL </w:t>
            </w:r>
            <w:r w:rsidRPr="00041113">
              <w:rPr>
                <w:color w:val="00B050"/>
              </w:rPr>
              <w:t>($30)</w:t>
            </w:r>
          </w:p>
          <w:p w14:paraId="02C1E267" w14:textId="77777777" w:rsidR="00FE31D3" w:rsidRPr="00041113" w:rsidRDefault="00FE31D3" w:rsidP="00CB1516">
            <w:pPr>
              <w:pStyle w:val="ListParagraph"/>
              <w:numPr>
                <w:ilvl w:val="0"/>
                <w:numId w:val="2"/>
              </w:numPr>
              <w:rPr>
                <w:rFonts w:ascii="Calibri" w:eastAsia="Times New Roman" w:hAnsi="Calibri" w:cs="Times New Roman"/>
                <w:color w:val="000000" w:themeColor="text1"/>
              </w:rPr>
            </w:pPr>
            <w:r w:rsidRPr="00041113">
              <w:t xml:space="preserve">Promethazine-dextromethorphan (Phenergan® DM) SYRP: 15mg-6.25mg/5mL </w:t>
            </w:r>
            <w:r w:rsidRPr="00041113">
              <w:rPr>
                <w:color w:val="00B050"/>
              </w:rPr>
              <w:t>($25.50)</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63174270"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$103.99</w:t>
            </w:r>
          </w:p>
          <w:p w14:paraId="0E5CA54D" w14:textId="77777777" w:rsidR="00FE31D3" w:rsidRPr="00041113" w:rsidRDefault="00FE31D3" w:rsidP="00CB1516">
            <w:pPr>
              <w:rPr>
                <w:rFonts w:ascii="Calibri" w:eastAsia="Times New Roman" w:hAnsi="Calibri" w:cs="Times New Roman"/>
                <w:color w:val="000000"/>
              </w:rPr>
            </w:pPr>
          </w:p>
          <w:p w14:paraId="133E2097" w14:textId="77777777" w:rsidR="00FE31D3" w:rsidRPr="00041113" w:rsidRDefault="00FE31D3" w:rsidP="00CB1516">
            <w:pPr>
              <w:rPr>
                <w:rFonts w:ascii="Calibri" w:eastAsia="Times New Roman" w:hAnsi="Calibri" w:cs="Times New Roman"/>
                <w:color w:val="000000"/>
              </w:rPr>
            </w:pPr>
          </w:p>
          <w:p w14:paraId="5174FB60"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$133.00</w:t>
            </w:r>
          </w:p>
          <w:p w14:paraId="0FDC6666" w14:textId="77777777" w:rsidR="00FE31D3" w:rsidRPr="00041113" w:rsidRDefault="00FE31D3" w:rsidP="00CB1516">
            <w:pPr>
              <w:rPr>
                <w:rFonts w:ascii="Calibri" w:eastAsia="Times New Roman" w:hAnsi="Calibri" w:cs="Times New Roman"/>
                <w:color w:val="000000"/>
              </w:rPr>
            </w:pPr>
          </w:p>
          <w:p w14:paraId="15510656" w14:textId="77777777" w:rsidR="00FE31D3" w:rsidRPr="00041113" w:rsidRDefault="00FE31D3" w:rsidP="00CB1516">
            <w:pPr>
              <w:rPr>
                <w:rFonts w:ascii="Calibri" w:eastAsia="Times New Roman" w:hAnsi="Calibri" w:cs="Times New Roman"/>
                <w:color w:val="000000"/>
              </w:rPr>
            </w:pPr>
          </w:p>
          <w:p w14:paraId="606CDC52" w14:textId="77777777" w:rsidR="00FE31D3" w:rsidRPr="00041113" w:rsidRDefault="00FE31D3" w:rsidP="00CB1516">
            <w:pPr>
              <w:rPr>
                <w:rFonts w:ascii="Calibri" w:eastAsia="Times New Roman" w:hAnsi="Calibri" w:cs="Times New Roman"/>
                <w:color w:val="000000"/>
              </w:rPr>
            </w:pPr>
            <w:r w:rsidRPr="00041113">
              <w:rPr>
                <w:rFonts w:ascii="Calibri" w:eastAsia="Times New Roman" w:hAnsi="Calibri" w:cs="Times New Roman"/>
                <w:color w:val="000000"/>
              </w:rPr>
              <w:t>$138.49</w:t>
            </w:r>
          </w:p>
        </w:tc>
      </w:tr>
      <w:tr w:rsidR="00FE31D3" w:rsidRPr="00421E72" w14:paraId="556325EA" w14:textId="77777777" w:rsidTr="00CB1516">
        <w:trPr>
          <w:trHeight w:val="880"/>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666324E6" w14:textId="77777777" w:rsidR="00FE31D3" w:rsidRPr="00421E72" w:rsidRDefault="00FE31D3" w:rsidP="00CB1516">
            <w:pPr>
              <w:snapToGrid w:val="0"/>
              <w:rPr>
                <w:rFonts w:ascii="Calibri" w:eastAsia="Times New Roman" w:hAnsi="Calibri" w:cs="Times New Roman"/>
                <w:b/>
                <w:bCs/>
                <w:color w:val="000000"/>
              </w:rPr>
            </w:pPr>
            <w:r w:rsidRPr="00421E72">
              <w:rPr>
                <w:rFonts w:ascii="Calibri" w:eastAsia="Times New Roman" w:hAnsi="Calibri" w:cs="Times New Roman"/>
                <w:b/>
                <w:bCs/>
                <w:color w:val="000000"/>
              </w:rPr>
              <w:lastRenderedPageBreak/>
              <w:t>Hyoscyamine</w:t>
            </w:r>
          </w:p>
          <w:p w14:paraId="048B8312" w14:textId="77777777" w:rsidR="00FE31D3" w:rsidRPr="00421E72" w:rsidRDefault="00FE31D3" w:rsidP="00CB1516">
            <w:pPr>
              <w:snapToGrid w:val="0"/>
              <w:rPr>
                <w:rFonts w:ascii="Calibri" w:eastAsia="Times New Roman" w:hAnsi="Calibri" w:cs="Times New Roman"/>
                <w:color w:val="000000"/>
              </w:rPr>
            </w:pPr>
          </w:p>
          <w:p w14:paraId="772FF226" w14:textId="77777777" w:rsidR="00FE31D3" w:rsidRPr="00421E72" w:rsidRDefault="00FE31D3" w:rsidP="00CB1516">
            <w:pPr>
              <w:rPr>
                <w:rFonts w:ascii="Calibri" w:eastAsia="Times New Roman" w:hAnsi="Calibri" w:cs="Times New Roman"/>
                <w:b/>
                <w:bCs/>
                <w:color w:val="000000"/>
              </w:rPr>
            </w:pPr>
            <w:r w:rsidRPr="00421E72">
              <w:rPr>
                <w:rFonts w:ascii="Calibri" w:eastAsia="Times New Roman" w:hAnsi="Calibri" w:cs="Times New Roman"/>
                <w:b/>
                <w:bCs/>
                <w:color w:val="000000"/>
              </w:rPr>
              <w:t> </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056986E2" w14:textId="77777777" w:rsidR="00FE31D3" w:rsidRPr="00010EF7" w:rsidRDefault="00FE31D3" w:rsidP="00CB1516">
            <w:pPr>
              <w:pStyle w:val="ListParagraph"/>
              <w:numPr>
                <w:ilvl w:val="0"/>
                <w:numId w:val="2"/>
              </w:numPr>
              <w:snapToGrid w:val="0"/>
            </w:pPr>
            <w:r w:rsidRPr="00507A9E">
              <w:rPr>
                <w:rFonts w:ascii="Calibri" w:eastAsia="Times New Roman" w:hAnsi="Calibri" w:cs="Times New Roman"/>
              </w:rPr>
              <w:t>Hyoscyamine </w:t>
            </w:r>
            <w:r w:rsidRPr="00010EF7">
              <w:t xml:space="preserve">SL TAB: 0.125mg </w:t>
            </w:r>
            <w:r w:rsidRPr="00507A9E">
              <w:rPr>
                <w:color w:val="00B050"/>
              </w:rPr>
              <w:t>($51.47)</w:t>
            </w:r>
          </w:p>
          <w:p w14:paraId="3C682EF2" w14:textId="77777777" w:rsidR="00FE31D3" w:rsidRPr="00010EF7" w:rsidRDefault="00FE31D3" w:rsidP="00CB1516">
            <w:pPr>
              <w:pStyle w:val="ListParagraph"/>
              <w:numPr>
                <w:ilvl w:val="0"/>
                <w:numId w:val="2"/>
              </w:numPr>
              <w:snapToGrid w:val="0"/>
            </w:pPr>
            <w:r w:rsidRPr="00010EF7">
              <w:t xml:space="preserve">ELIX: 125mcg/5mL </w:t>
            </w:r>
            <w:r w:rsidRPr="00507A9E">
              <w:rPr>
                <w:color w:val="00B050"/>
              </w:rPr>
              <w:t>($54.34)</w:t>
            </w:r>
          </w:p>
          <w:p w14:paraId="03DDBF27"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r w:rsidRPr="00D311A2">
              <w:rPr>
                <w:rFonts w:ascii="Calibri" w:eastAsia="Times New Roman" w:hAnsi="Calibri" w:cs="Times New Roman"/>
              </w:rPr>
              <w:t xml:space="preserve">COMPOUNDED Atropine (via Enclara mail order only) 1% suspension </w:t>
            </w:r>
            <w:r w:rsidRPr="00D311A2">
              <w:rPr>
                <w:rFonts w:ascii="Calibri" w:eastAsia="Times New Roman" w:hAnsi="Calibri" w:cs="Times New Roman"/>
                <w:color w:val="00B050"/>
              </w:rPr>
              <w:t>($8.99)</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6CFAE859" w14:textId="77777777" w:rsidR="00FE31D3" w:rsidRDefault="00FE31D3" w:rsidP="00CB1516">
            <w:pPr>
              <w:snapToGrid w:val="0"/>
              <w:rPr>
                <w:rFonts w:ascii="Calibri" w:eastAsia="Times New Roman" w:hAnsi="Calibri" w:cs="Times New Roman"/>
                <w:color w:val="000000"/>
              </w:rPr>
            </w:pPr>
            <w:r w:rsidRPr="00421E72">
              <w:rPr>
                <w:rFonts w:ascii="Calibri" w:eastAsia="Times New Roman" w:hAnsi="Calibri" w:cs="Times New Roman"/>
                <w:color w:val="000000"/>
              </w:rPr>
              <w:t> </w:t>
            </w:r>
            <w:r>
              <w:rPr>
                <w:rFonts w:ascii="Calibri" w:eastAsia="Times New Roman" w:hAnsi="Calibri" w:cs="Times New Roman"/>
                <w:color w:val="000000"/>
              </w:rPr>
              <w:t>---</w:t>
            </w:r>
          </w:p>
          <w:p w14:paraId="70B08C79" w14:textId="77777777" w:rsidR="00FE31D3" w:rsidRDefault="00FE31D3" w:rsidP="00CB1516">
            <w:pPr>
              <w:snapToGrid w:val="0"/>
              <w:rPr>
                <w:rFonts w:ascii="Calibri" w:eastAsia="Times New Roman" w:hAnsi="Calibri" w:cs="Times New Roman"/>
                <w:color w:val="000000"/>
              </w:rPr>
            </w:pPr>
          </w:p>
          <w:p w14:paraId="4009FEC2" w14:textId="77777777" w:rsidR="00FE31D3" w:rsidRDefault="00FE31D3" w:rsidP="00CB1516">
            <w:pPr>
              <w:rPr>
                <w:rFonts w:ascii="Calibri" w:eastAsia="Times New Roman" w:hAnsi="Calibri" w:cs="Times New Roman"/>
                <w:color w:val="000000"/>
              </w:rPr>
            </w:pPr>
          </w:p>
          <w:p w14:paraId="5A7F3B9B" w14:textId="77777777" w:rsidR="00FE31D3" w:rsidRDefault="00FE31D3" w:rsidP="00CB1516">
            <w:pPr>
              <w:rPr>
                <w:rFonts w:ascii="Calibri" w:eastAsia="Times New Roman" w:hAnsi="Calibri" w:cs="Times New Roman"/>
                <w:color w:val="000000"/>
              </w:rPr>
            </w:pPr>
          </w:p>
          <w:p w14:paraId="5E1E8F0F" w14:textId="77777777" w:rsidR="00FE31D3" w:rsidRPr="00421E72" w:rsidRDefault="00FE31D3" w:rsidP="00CB1516">
            <w:pPr>
              <w:rPr>
                <w:rFonts w:ascii="Calibri" w:eastAsia="Times New Roman" w:hAnsi="Calibri" w:cs="Times New Roman"/>
                <w:color w:val="000000"/>
              </w:rPr>
            </w:pPr>
            <w:r>
              <w:rPr>
                <w:rFonts w:ascii="Calibri" w:eastAsia="Times New Roman" w:hAnsi="Calibri" w:cs="Times New Roman"/>
                <w:color w:val="000000"/>
              </w:rPr>
              <w:t>$42.48</w:t>
            </w:r>
          </w:p>
        </w:tc>
      </w:tr>
      <w:tr w:rsidR="00FE31D3" w:rsidRPr="00421E72" w14:paraId="0403CF43" w14:textId="77777777" w:rsidTr="00CB1516">
        <w:trPr>
          <w:trHeight w:val="574"/>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57B25853" w14:textId="77777777" w:rsidR="00FE31D3" w:rsidRPr="00421E72" w:rsidRDefault="00FE31D3" w:rsidP="00CB1516">
            <w:pPr>
              <w:rPr>
                <w:rFonts w:ascii="Calibri" w:eastAsia="Times New Roman" w:hAnsi="Calibri" w:cs="Times New Roman"/>
                <w:b/>
                <w:bCs/>
                <w:color w:val="000000"/>
              </w:rPr>
            </w:pPr>
            <w:r w:rsidRPr="00790EBA">
              <w:rPr>
                <w:rFonts w:ascii="Calibri" w:eastAsia="Times New Roman" w:hAnsi="Calibri" w:cs="Times New Roman"/>
                <w:b/>
                <w:bCs/>
                <w:color w:val="000000"/>
              </w:rPr>
              <w:t>Ketoprofen gel 5%</w:t>
            </w:r>
            <w:r>
              <w:rPr>
                <w:rFonts w:ascii="Calibri" w:eastAsia="Times New Roman" w:hAnsi="Calibri" w:cs="Times New Roman"/>
                <w:b/>
                <w:bCs/>
                <w:color w:val="000000"/>
              </w:rPr>
              <w:t xml:space="preserve"> Topical </w:t>
            </w:r>
            <w:r w:rsidRPr="003B7577">
              <w:rPr>
                <w:rFonts w:ascii="Calibri" w:eastAsia="Times New Roman" w:hAnsi="Calibri" w:cs="Times New Roman"/>
                <w:color w:val="FF0000"/>
              </w:rPr>
              <w:t>($25.39)</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6FF34B94" w14:textId="77777777" w:rsidR="00FE31D3" w:rsidRPr="00507A9E" w:rsidRDefault="00FE31D3" w:rsidP="00CB1516">
            <w:pPr>
              <w:pStyle w:val="ListParagraph"/>
              <w:numPr>
                <w:ilvl w:val="0"/>
                <w:numId w:val="2"/>
              </w:numPr>
              <w:rPr>
                <w:rFonts w:ascii="Calibri" w:eastAsia="Times New Roman" w:hAnsi="Calibri" w:cs="Times New Roman"/>
              </w:rPr>
            </w:pPr>
            <w:r w:rsidRPr="00507A9E">
              <w:rPr>
                <w:rFonts w:ascii="Calibri" w:eastAsia="Times New Roman" w:hAnsi="Calibri" w:cs="Times New Roman"/>
              </w:rPr>
              <w:t xml:space="preserve">Diclofenac gel 1% </w:t>
            </w:r>
            <w:r w:rsidRPr="00507A9E">
              <w:rPr>
                <w:rFonts w:ascii="Calibri" w:eastAsia="Times New Roman" w:hAnsi="Calibri" w:cs="Times New Roman"/>
                <w:color w:val="00B050"/>
              </w:rPr>
              <w:t>($10.92)</w:t>
            </w:r>
          </w:p>
          <w:p w14:paraId="63A76E64"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r w:rsidRPr="00507A9E">
              <w:rPr>
                <w:rFonts w:ascii="Calibri" w:eastAsia="Times New Roman" w:hAnsi="Calibri" w:cs="Times New Roman"/>
              </w:rPr>
              <w:t>OTC Voltaren</w:t>
            </w:r>
            <w:r w:rsidRPr="00507A9E">
              <w:rPr>
                <w:rFonts w:ascii="Calibri" w:eastAsia="Times New Roman" w:hAnsi="Calibri" w:cs="Times New Roman"/>
                <w:color w:val="000000"/>
              </w:rPr>
              <w:t>®</w:t>
            </w:r>
            <w:r w:rsidRPr="00507A9E">
              <w:rPr>
                <w:rFonts w:ascii="Calibri" w:eastAsia="Times New Roman" w:hAnsi="Calibri" w:cs="Times New Roman"/>
              </w:rPr>
              <w:t xml:space="preserve"> gel 1% </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2942D576" w14:textId="77777777" w:rsidR="00FE31D3" w:rsidRPr="00421E72" w:rsidRDefault="00FE31D3" w:rsidP="00CB1516">
            <w:pPr>
              <w:rPr>
                <w:rFonts w:ascii="Calibri" w:eastAsia="Times New Roman" w:hAnsi="Calibri" w:cs="Times New Roman"/>
                <w:color w:val="000000"/>
              </w:rPr>
            </w:pPr>
            <w:r>
              <w:rPr>
                <w:rFonts w:ascii="Calibri" w:eastAsia="Times New Roman" w:hAnsi="Calibri" w:cs="Times New Roman"/>
                <w:color w:val="000000"/>
              </w:rPr>
              <w:t>$14.47</w:t>
            </w:r>
          </w:p>
        </w:tc>
      </w:tr>
      <w:tr w:rsidR="00FE31D3" w:rsidRPr="00421E72" w14:paraId="243CF63D" w14:textId="77777777" w:rsidTr="00CB1516">
        <w:trPr>
          <w:trHeight w:val="1258"/>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2132E414" w14:textId="77777777" w:rsidR="00FE31D3" w:rsidRPr="00421E72" w:rsidRDefault="00FE31D3" w:rsidP="00CB1516">
            <w:pPr>
              <w:rPr>
                <w:rFonts w:ascii="Calibri" w:eastAsia="Times New Roman" w:hAnsi="Calibri" w:cs="Times New Roman"/>
                <w:color w:val="000000"/>
              </w:rPr>
            </w:pPr>
            <w:r w:rsidRPr="00421E72">
              <w:rPr>
                <w:rFonts w:ascii="Calibri" w:eastAsia="Times New Roman" w:hAnsi="Calibri" w:cs="Times New Roman"/>
                <w:b/>
                <w:bCs/>
                <w:color w:val="000000"/>
              </w:rPr>
              <w:t>Lidocaine Patch 5% </w:t>
            </w:r>
          </w:p>
          <w:p w14:paraId="3864A995" w14:textId="77777777" w:rsidR="00FE31D3" w:rsidRPr="00421E72" w:rsidRDefault="00FE31D3" w:rsidP="00CB1516">
            <w:pPr>
              <w:rPr>
                <w:rFonts w:ascii="Calibri" w:eastAsia="Times New Roman" w:hAnsi="Calibri" w:cs="Times New Roman"/>
                <w:b/>
                <w:bCs/>
                <w:color w:val="000000"/>
              </w:rPr>
            </w:pPr>
            <w:r w:rsidRPr="00421E72">
              <w:rPr>
                <w:rFonts w:ascii="Calibri" w:eastAsia="Times New Roman" w:hAnsi="Calibri" w:cs="Times New Roman"/>
                <w:color w:val="FF0000"/>
              </w:rPr>
              <w:t>($110.30)</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08CA9C90"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r w:rsidRPr="00507A9E">
              <w:rPr>
                <w:rFonts w:ascii="Calibri" w:eastAsia="Times New Roman" w:hAnsi="Calibri" w:cs="Times New Roman"/>
                <w:color w:val="000000" w:themeColor="text1"/>
              </w:rPr>
              <w:t>Lidocaine 4% cream </w:t>
            </w:r>
            <w:r w:rsidRPr="00507A9E">
              <w:rPr>
                <w:rFonts w:ascii="Calibri" w:eastAsia="Times New Roman" w:hAnsi="Calibri" w:cs="Times New Roman"/>
                <w:color w:val="00B050"/>
              </w:rPr>
              <w:t>($16.34)</w:t>
            </w:r>
          </w:p>
          <w:p w14:paraId="5FE4F536"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r w:rsidRPr="00507A9E">
              <w:rPr>
                <w:rFonts w:ascii="Calibri" w:eastAsia="Times New Roman" w:hAnsi="Calibri" w:cs="Times New Roman"/>
                <w:color w:val="000000" w:themeColor="text1"/>
              </w:rPr>
              <w:t xml:space="preserve">Lidocaine 5% cream </w:t>
            </w:r>
            <w:r w:rsidRPr="00507A9E">
              <w:rPr>
                <w:rFonts w:ascii="Calibri" w:eastAsia="Times New Roman" w:hAnsi="Calibri" w:cs="Times New Roman"/>
                <w:color w:val="00B050"/>
              </w:rPr>
              <w:t>($21.40)</w:t>
            </w:r>
          </w:p>
          <w:p w14:paraId="6D9FFB98"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proofErr w:type="spellStart"/>
            <w:r w:rsidRPr="00507A9E">
              <w:rPr>
                <w:rFonts w:ascii="Calibri" w:eastAsia="Times New Roman" w:hAnsi="Calibri" w:cs="Times New Roman"/>
                <w:color w:val="000000" w:themeColor="text1"/>
              </w:rPr>
              <w:t>Aspercreme</w:t>
            </w:r>
            <w:proofErr w:type="spellEnd"/>
            <w:r w:rsidRPr="00507A9E">
              <w:rPr>
                <w:rFonts w:ascii="Calibri" w:eastAsia="Times New Roman" w:hAnsi="Calibri" w:cs="Times New Roman"/>
                <w:color w:val="000000" w:themeColor="text1"/>
              </w:rPr>
              <w:t xml:space="preserve"> Lidocaine 4% patch </w:t>
            </w:r>
            <w:r w:rsidRPr="00507A9E">
              <w:rPr>
                <w:rFonts w:ascii="Calibri" w:eastAsia="Times New Roman" w:hAnsi="Calibri" w:cs="Times New Roman"/>
                <w:color w:val="00B050"/>
              </w:rPr>
              <w:t>($29.50)</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2D83F466" w14:textId="77777777" w:rsidR="00FE31D3" w:rsidRPr="00421E72" w:rsidRDefault="00FE31D3" w:rsidP="00CB1516">
            <w:pPr>
              <w:rPr>
                <w:rFonts w:ascii="Calibri" w:eastAsia="Times New Roman" w:hAnsi="Calibri" w:cs="Times New Roman"/>
                <w:color w:val="000000"/>
              </w:rPr>
            </w:pPr>
            <w:r w:rsidRPr="00421E72">
              <w:rPr>
                <w:rFonts w:ascii="Calibri" w:eastAsia="Times New Roman" w:hAnsi="Calibri" w:cs="Times New Roman"/>
                <w:color w:val="000000"/>
              </w:rPr>
              <w:t>$</w:t>
            </w:r>
            <w:r>
              <w:rPr>
                <w:rFonts w:ascii="Calibri" w:eastAsia="Times New Roman" w:hAnsi="Calibri" w:cs="Times New Roman"/>
                <w:color w:val="000000"/>
              </w:rPr>
              <w:t>93.96</w:t>
            </w:r>
          </w:p>
          <w:p w14:paraId="3A43C266" w14:textId="77777777" w:rsidR="00FE31D3" w:rsidRPr="00421E72" w:rsidRDefault="00FE31D3" w:rsidP="00CB1516">
            <w:pPr>
              <w:rPr>
                <w:rFonts w:ascii="Calibri" w:eastAsia="Times New Roman" w:hAnsi="Calibri" w:cs="Times New Roman"/>
                <w:color w:val="000000"/>
              </w:rPr>
            </w:pPr>
            <w:r w:rsidRPr="00421E72">
              <w:rPr>
                <w:rFonts w:ascii="Calibri" w:eastAsia="Times New Roman" w:hAnsi="Calibri" w:cs="Times New Roman"/>
                <w:color w:val="000000"/>
              </w:rPr>
              <w:t>$</w:t>
            </w:r>
            <w:r>
              <w:rPr>
                <w:rFonts w:ascii="Calibri" w:eastAsia="Times New Roman" w:hAnsi="Calibri" w:cs="Times New Roman"/>
                <w:color w:val="000000"/>
              </w:rPr>
              <w:t>88.90</w:t>
            </w:r>
          </w:p>
          <w:p w14:paraId="5485989F" w14:textId="77777777" w:rsidR="00FE31D3" w:rsidRPr="00421E72" w:rsidRDefault="00FE31D3" w:rsidP="00CB1516">
            <w:pPr>
              <w:rPr>
                <w:rFonts w:ascii="Calibri" w:eastAsia="Times New Roman" w:hAnsi="Calibri" w:cs="Times New Roman"/>
                <w:color w:val="000000"/>
              </w:rPr>
            </w:pPr>
            <w:r w:rsidRPr="00421E72">
              <w:rPr>
                <w:rFonts w:ascii="Calibri" w:eastAsia="Times New Roman" w:hAnsi="Calibri" w:cs="Times New Roman"/>
                <w:color w:val="000000"/>
              </w:rPr>
              <w:t>$</w:t>
            </w:r>
            <w:r>
              <w:rPr>
                <w:rFonts w:ascii="Calibri" w:eastAsia="Times New Roman" w:hAnsi="Calibri" w:cs="Times New Roman"/>
                <w:color w:val="000000"/>
              </w:rPr>
              <w:t>80.80</w:t>
            </w:r>
          </w:p>
        </w:tc>
      </w:tr>
      <w:tr w:rsidR="00FE31D3" w:rsidRPr="00421E72" w14:paraId="13B3A1E2" w14:textId="77777777" w:rsidTr="00CB1516">
        <w:trPr>
          <w:trHeight w:val="628"/>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51BF39E8" w14:textId="77777777" w:rsidR="00FE31D3" w:rsidRPr="00421E72" w:rsidRDefault="00FE31D3" w:rsidP="00CB1516">
            <w:pPr>
              <w:rPr>
                <w:rFonts w:ascii="Calibri" w:eastAsia="Times New Roman" w:hAnsi="Calibri" w:cs="Times New Roman"/>
                <w:b/>
                <w:bCs/>
                <w:color w:val="000000"/>
              </w:rPr>
            </w:pPr>
            <w:r w:rsidRPr="00421E72">
              <w:rPr>
                <w:rFonts w:ascii="Calibri" w:eastAsia="Times New Roman" w:hAnsi="Calibri" w:cs="Times New Roman"/>
                <w:b/>
                <w:bCs/>
                <w:color w:val="000000"/>
              </w:rPr>
              <w:t>Lorazepam </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301D5884" w14:textId="77777777" w:rsidR="00FE31D3" w:rsidRDefault="00FE31D3" w:rsidP="00CB1516">
            <w:pPr>
              <w:pStyle w:val="ListParagraph"/>
              <w:numPr>
                <w:ilvl w:val="0"/>
                <w:numId w:val="2"/>
              </w:numPr>
              <w:rPr>
                <w:rFonts w:ascii="Calibri" w:eastAsia="Times New Roman" w:hAnsi="Calibri" w:cs="Times New Roman"/>
                <w:color w:val="000000"/>
              </w:rPr>
            </w:pPr>
            <w:r w:rsidRPr="00507A9E">
              <w:rPr>
                <w:rFonts w:ascii="Calibri" w:eastAsia="Times New Roman" w:hAnsi="Calibri" w:cs="Times New Roman"/>
                <w:color w:val="000000"/>
              </w:rPr>
              <w:t>Lorazepam 0.5mg tab, 1mg, 2mg</w:t>
            </w:r>
          </w:p>
          <w:p w14:paraId="70D9949F"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r>
              <w:rPr>
                <w:rFonts w:ascii="Calibri" w:eastAsia="Times New Roman" w:hAnsi="Calibri" w:cs="Times New Roman"/>
                <w:color w:val="000000"/>
              </w:rPr>
              <w:t xml:space="preserve">ORAL CONC. 1mg/mL or 2mg/ml </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66277B57" w14:textId="77777777" w:rsidR="00FE31D3" w:rsidRPr="00421E72" w:rsidRDefault="00FE31D3" w:rsidP="00CB1516">
            <w:pPr>
              <w:rPr>
                <w:rFonts w:ascii="Calibri" w:eastAsia="Times New Roman" w:hAnsi="Calibri" w:cs="Times New Roman"/>
                <w:color w:val="000000"/>
              </w:rPr>
            </w:pPr>
            <w:r w:rsidRPr="00421E72">
              <w:rPr>
                <w:rFonts w:ascii="Calibri" w:eastAsia="Times New Roman" w:hAnsi="Calibri" w:cs="Times New Roman"/>
                <w:color w:val="000000"/>
              </w:rPr>
              <w:t>--- </w:t>
            </w:r>
          </w:p>
        </w:tc>
      </w:tr>
      <w:tr w:rsidR="00FE31D3" w:rsidRPr="00421E72" w14:paraId="73C5B3D3" w14:textId="77777777" w:rsidTr="00CB1516">
        <w:trPr>
          <w:trHeight w:val="1258"/>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6D561671" w14:textId="77777777" w:rsidR="00FE31D3" w:rsidRPr="00010EF7" w:rsidRDefault="00FE31D3" w:rsidP="00CB1516">
            <w:pPr>
              <w:rPr>
                <w:rFonts w:ascii="Calibri" w:eastAsia="Times New Roman" w:hAnsi="Calibri" w:cs="Times New Roman"/>
                <w:b/>
                <w:bCs/>
                <w:color w:val="000000"/>
              </w:rPr>
            </w:pPr>
            <w:r w:rsidRPr="00421E72">
              <w:rPr>
                <w:rFonts w:ascii="Calibri" w:eastAsia="Times New Roman" w:hAnsi="Calibri" w:cs="Times New Roman"/>
                <w:b/>
                <w:bCs/>
                <w:color w:val="000000"/>
              </w:rPr>
              <w:t>Morphine</w:t>
            </w:r>
          </w:p>
          <w:p w14:paraId="1AA7E7DC" w14:textId="77777777" w:rsidR="00FE31D3" w:rsidRDefault="00FE31D3" w:rsidP="00CB1516">
            <w:pPr>
              <w:rPr>
                <w:rFonts w:ascii="Calibri" w:eastAsia="Times New Roman" w:hAnsi="Calibri" w:cs="Times New Roman"/>
                <w:color w:val="000000"/>
              </w:rPr>
            </w:pPr>
          </w:p>
          <w:p w14:paraId="3676B1AC" w14:textId="77777777" w:rsidR="00FE31D3" w:rsidRPr="00421E72" w:rsidRDefault="00FE31D3" w:rsidP="00CB1516">
            <w:pPr>
              <w:rPr>
                <w:rFonts w:ascii="Calibri" w:eastAsia="Times New Roman" w:hAnsi="Calibri" w:cs="Times New Roman"/>
                <w:b/>
                <w:bCs/>
                <w:color w:val="000000"/>
              </w:rPr>
            </w:pPr>
            <w:r>
              <w:rPr>
                <w:rFonts w:ascii="Calibri" w:eastAsia="Times New Roman" w:hAnsi="Calibri" w:cs="Times New Roman"/>
                <w:color w:val="000000"/>
              </w:rPr>
              <w:t>For extended-release options, see “Oxycodone”</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028AE9A8" w14:textId="77777777" w:rsidR="00FE31D3" w:rsidRPr="00507A9E" w:rsidRDefault="00FE31D3" w:rsidP="00CB1516">
            <w:pPr>
              <w:pStyle w:val="ListParagraph"/>
              <w:numPr>
                <w:ilvl w:val="0"/>
                <w:numId w:val="2"/>
              </w:numPr>
              <w:rPr>
                <w:rFonts w:ascii="Calibri" w:eastAsia="Times New Roman" w:hAnsi="Calibri" w:cs="Times New Roman"/>
                <w:color w:val="000000"/>
              </w:rPr>
            </w:pPr>
            <w:r>
              <w:rPr>
                <w:rFonts w:ascii="Calibri" w:eastAsia="Times New Roman" w:hAnsi="Calibri" w:cs="Times New Roman"/>
                <w:color w:val="000000"/>
              </w:rPr>
              <w:t>Morphine CONC. (</w:t>
            </w:r>
            <w:r w:rsidRPr="00507A9E">
              <w:rPr>
                <w:rFonts w:ascii="Calibri" w:eastAsia="Times New Roman" w:hAnsi="Calibri" w:cs="Times New Roman"/>
                <w:color w:val="000000"/>
              </w:rPr>
              <w:t>Roxanol</w:t>
            </w:r>
            <w:r w:rsidRPr="00010EF7">
              <w:rPr>
                <w:rFonts w:ascii="Calibri" w:eastAsia="Times New Roman" w:hAnsi="Calibri" w:cs="Times New Roman"/>
                <w:color w:val="000000"/>
              </w:rPr>
              <w:t>®</w:t>
            </w:r>
            <w:r>
              <w:rPr>
                <w:rFonts w:ascii="Calibri" w:eastAsia="Times New Roman" w:hAnsi="Calibri" w:cs="Times New Roman"/>
                <w:color w:val="000000"/>
              </w:rPr>
              <w:t>)</w:t>
            </w:r>
            <w:r w:rsidRPr="00507A9E">
              <w:rPr>
                <w:rFonts w:ascii="Calibri" w:eastAsia="Times New Roman" w:hAnsi="Calibri" w:cs="Times New Roman"/>
                <w:color w:val="000000"/>
              </w:rPr>
              <w:t xml:space="preserve"> 100 mg/5 mL (20 mg/mL)</w:t>
            </w:r>
            <w:r>
              <w:rPr>
                <w:rFonts w:ascii="Calibri" w:eastAsia="Times New Roman" w:hAnsi="Calibri" w:cs="Times New Roman"/>
                <w:color w:val="000000"/>
              </w:rPr>
              <w:t xml:space="preserve">, 30 mL bottle </w:t>
            </w:r>
            <w:r w:rsidRPr="00507A9E">
              <w:rPr>
                <w:rFonts w:ascii="Calibri" w:eastAsia="Times New Roman" w:hAnsi="Calibri" w:cs="Times New Roman"/>
                <w:color w:val="00B050"/>
              </w:rPr>
              <w:t>($28.91)</w:t>
            </w:r>
          </w:p>
          <w:p w14:paraId="2632812A" w14:textId="77777777" w:rsidR="00FE31D3" w:rsidRDefault="00FE31D3" w:rsidP="00CB1516">
            <w:pPr>
              <w:pStyle w:val="ListParagraph"/>
              <w:numPr>
                <w:ilvl w:val="0"/>
                <w:numId w:val="2"/>
              </w:numPr>
            </w:pPr>
            <w:r>
              <w:t xml:space="preserve">Morphine (MSIR®) TAB: 15mg </w:t>
            </w:r>
            <w:r w:rsidRPr="00507A9E">
              <w:rPr>
                <w:color w:val="00B050"/>
              </w:rPr>
              <w:t>($28.08)</w:t>
            </w:r>
            <w:r>
              <w:t xml:space="preserve">, 30mg </w:t>
            </w:r>
            <w:r w:rsidRPr="00507A9E">
              <w:rPr>
                <w:color w:val="00B050"/>
              </w:rPr>
              <w:t>($24.60)</w:t>
            </w:r>
          </w:p>
          <w:p w14:paraId="7A91E566"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r>
              <w:t xml:space="preserve">Morphine CONC. 40mg/mL, 30 mL bottle </w:t>
            </w:r>
            <w:r w:rsidRPr="00507A9E">
              <w:rPr>
                <w:color w:val="00B050"/>
              </w:rPr>
              <w:t>($20.08)</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4A1A734A" w14:textId="77777777" w:rsidR="00FE31D3" w:rsidRPr="00421E72" w:rsidRDefault="00FE31D3" w:rsidP="00CB1516">
            <w:pPr>
              <w:rPr>
                <w:rFonts w:ascii="Calibri" w:eastAsia="Times New Roman" w:hAnsi="Calibri" w:cs="Times New Roman"/>
                <w:color w:val="000000"/>
              </w:rPr>
            </w:pPr>
            <w:r w:rsidRPr="00421E72">
              <w:rPr>
                <w:rFonts w:ascii="Calibri" w:eastAsia="Times New Roman" w:hAnsi="Calibri" w:cs="Times New Roman"/>
                <w:color w:val="000000"/>
              </w:rPr>
              <w:t>--- </w:t>
            </w:r>
          </w:p>
        </w:tc>
      </w:tr>
      <w:tr w:rsidR="00FE31D3" w:rsidRPr="00421E72" w14:paraId="120EA4BD" w14:textId="77777777" w:rsidTr="00CB1516">
        <w:trPr>
          <w:trHeight w:val="583"/>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02908C9C" w14:textId="77777777" w:rsidR="00FE31D3" w:rsidRPr="00421E72" w:rsidRDefault="00FE31D3" w:rsidP="00CB1516">
            <w:pPr>
              <w:rPr>
                <w:rFonts w:ascii="Calibri" w:eastAsia="Times New Roman" w:hAnsi="Calibri" w:cs="Times New Roman"/>
                <w:b/>
                <w:bCs/>
                <w:color w:val="000000"/>
              </w:rPr>
            </w:pPr>
            <w:r w:rsidRPr="00421E72">
              <w:rPr>
                <w:rFonts w:ascii="Calibri" w:eastAsia="Times New Roman" w:hAnsi="Calibri" w:cs="Times New Roman"/>
                <w:b/>
                <w:bCs/>
                <w:color w:val="000000"/>
              </w:rPr>
              <w:t>Oxycodone 20mg ER 12</w:t>
            </w:r>
            <w:r>
              <w:rPr>
                <w:rFonts w:ascii="Calibri" w:eastAsia="Times New Roman" w:hAnsi="Calibri" w:cs="Times New Roman"/>
                <w:b/>
                <w:bCs/>
                <w:color w:val="000000"/>
              </w:rPr>
              <w:t>H (Oxycontin</w:t>
            </w:r>
            <w:r w:rsidRPr="00010EF7">
              <w:rPr>
                <w:rFonts w:ascii="Calibri" w:eastAsia="Times New Roman" w:hAnsi="Calibri" w:cs="Times New Roman"/>
                <w:color w:val="000000"/>
              </w:rPr>
              <w:t>®</w:t>
            </w:r>
            <w:r>
              <w:rPr>
                <w:rFonts w:ascii="Calibri" w:eastAsia="Times New Roman" w:hAnsi="Calibri" w:cs="Times New Roman"/>
                <w:b/>
                <w:bCs/>
                <w:color w:val="000000"/>
              </w:rPr>
              <w:t xml:space="preserve">) </w:t>
            </w:r>
            <w:r w:rsidRPr="00421E72">
              <w:rPr>
                <w:rFonts w:ascii="Calibri" w:eastAsia="Times New Roman" w:hAnsi="Calibri" w:cs="Times New Roman"/>
                <w:color w:val="FF0000"/>
              </w:rPr>
              <w:t>($186.24)</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7E6EDFF6" w14:textId="77777777" w:rsidR="00FE31D3" w:rsidRPr="00BB3472" w:rsidRDefault="00FE31D3" w:rsidP="00CB1516">
            <w:pPr>
              <w:pStyle w:val="ListParagraph"/>
              <w:numPr>
                <w:ilvl w:val="0"/>
                <w:numId w:val="2"/>
              </w:numPr>
              <w:rPr>
                <w:rFonts w:ascii="Calibri" w:eastAsia="Times New Roman" w:hAnsi="Calibri" w:cs="Times New Roman"/>
                <w:color w:val="000000" w:themeColor="text1"/>
              </w:rPr>
            </w:pPr>
            <w:r>
              <w:t xml:space="preserve">Morphine (MS Contin®) 15mg TAB </w:t>
            </w:r>
            <w:r w:rsidRPr="00507A9E">
              <w:rPr>
                <w:color w:val="00B050"/>
              </w:rPr>
              <w:t>($53.24)</w:t>
            </w:r>
          </w:p>
          <w:p w14:paraId="7E92CF69" w14:textId="77777777" w:rsidR="00FE31D3" w:rsidRPr="00BB3472" w:rsidRDefault="00FE31D3" w:rsidP="00CB1516">
            <w:pPr>
              <w:pStyle w:val="ListParagraph"/>
              <w:numPr>
                <w:ilvl w:val="0"/>
                <w:numId w:val="2"/>
              </w:numPr>
              <w:rPr>
                <w:rFonts w:ascii="Calibri" w:eastAsia="Times New Roman" w:hAnsi="Calibri" w:cs="Times New Roman"/>
                <w:color w:val="000000" w:themeColor="text1"/>
              </w:rPr>
            </w:pPr>
            <w:r w:rsidRPr="00BB3472">
              <w:rPr>
                <w:rFonts w:ascii="Calibri" w:eastAsia="Times New Roman" w:hAnsi="Calibri" w:cs="Times New Roman"/>
                <w:color w:val="000000" w:themeColor="text1"/>
              </w:rPr>
              <w:t>Fentanyl transdermal 25mcg</w:t>
            </w:r>
            <w:r>
              <w:rPr>
                <w:rFonts w:ascii="Calibri" w:eastAsia="Times New Roman" w:hAnsi="Calibri" w:cs="Times New Roman"/>
                <w:color w:val="000000" w:themeColor="text1"/>
              </w:rPr>
              <w:t>/</w:t>
            </w:r>
            <w:proofErr w:type="spellStart"/>
            <w:r>
              <w:rPr>
                <w:rFonts w:ascii="Calibri" w:eastAsia="Times New Roman" w:hAnsi="Calibri" w:cs="Times New Roman"/>
                <w:color w:val="000000" w:themeColor="text1"/>
              </w:rPr>
              <w:t>hr</w:t>
            </w:r>
            <w:proofErr w:type="spellEnd"/>
            <w:r w:rsidRPr="00BB3472">
              <w:rPr>
                <w:rFonts w:ascii="Calibri" w:eastAsia="Times New Roman" w:hAnsi="Calibri" w:cs="Times New Roman"/>
                <w:color w:val="000000" w:themeColor="text1"/>
              </w:rPr>
              <w:t xml:space="preserve"> patch</w:t>
            </w:r>
            <w:r>
              <w:rPr>
                <w:rFonts w:ascii="Calibri" w:eastAsia="Times New Roman" w:hAnsi="Calibri" w:cs="Times New Roman"/>
                <w:color w:val="000000" w:themeColor="text1"/>
              </w:rPr>
              <w:t xml:space="preserve"> </w:t>
            </w:r>
            <w:r w:rsidRPr="00BB3472">
              <w:rPr>
                <w:rFonts w:ascii="Calibri" w:eastAsia="Times New Roman" w:hAnsi="Calibri" w:cs="Times New Roman"/>
                <w:color w:val="000000" w:themeColor="text1"/>
              </w:rPr>
              <w:t>(</w:t>
            </w:r>
            <w:r>
              <w:rPr>
                <w:rFonts w:ascii="Calibri" w:eastAsia="Times New Roman" w:hAnsi="Calibri" w:cs="Times New Roman"/>
                <w:color w:val="000000" w:themeColor="text1"/>
              </w:rPr>
              <w:t>D</w:t>
            </w:r>
            <w:r w:rsidRPr="00BB3472">
              <w:rPr>
                <w:rFonts w:ascii="Calibri" w:eastAsia="Times New Roman" w:hAnsi="Calibri" w:cs="Times New Roman"/>
                <w:color w:val="000000" w:themeColor="text1"/>
              </w:rPr>
              <w:t>uragesic</w:t>
            </w:r>
            <w:r>
              <w:t>®</w:t>
            </w:r>
            <w:r w:rsidRPr="00BB3472">
              <w:rPr>
                <w:rFonts w:ascii="Calibri" w:eastAsia="Times New Roman" w:hAnsi="Calibri" w:cs="Times New Roman"/>
                <w:color w:val="000000" w:themeColor="text1"/>
              </w:rPr>
              <w:t xml:space="preserve">) </w:t>
            </w:r>
            <w:r w:rsidRPr="00BB3472">
              <w:rPr>
                <w:rFonts w:ascii="Calibri" w:eastAsia="Times New Roman" w:hAnsi="Calibri" w:cs="Times New Roman"/>
                <w:color w:val="00B050"/>
              </w:rPr>
              <w:t>($</w:t>
            </w:r>
            <w:r>
              <w:rPr>
                <w:rFonts w:ascii="Calibri" w:eastAsia="Times New Roman" w:hAnsi="Calibri" w:cs="Times New Roman"/>
                <w:color w:val="00B050"/>
              </w:rPr>
              <w:t>30</w:t>
            </w:r>
            <w:r w:rsidRPr="00BB3472">
              <w:rPr>
                <w:rFonts w:ascii="Calibri" w:eastAsia="Times New Roman" w:hAnsi="Calibri" w:cs="Times New Roman"/>
                <w:color w:val="00B050"/>
              </w:rPr>
              <w:t>.00)</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612BE767" w14:textId="77777777" w:rsidR="00FE31D3" w:rsidRDefault="00FE31D3" w:rsidP="00CB1516">
            <w:pPr>
              <w:rPr>
                <w:rFonts w:ascii="Calibri" w:eastAsia="Times New Roman" w:hAnsi="Calibri" w:cs="Times New Roman"/>
                <w:color w:val="000000"/>
              </w:rPr>
            </w:pPr>
            <w:r w:rsidRPr="00421E72">
              <w:rPr>
                <w:rFonts w:ascii="Calibri" w:eastAsia="Times New Roman" w:hAnsi="Calibri" w:cs="Times New Roman"/>
                <w:color w:val="000000"/>
              </w:rPr>
              <w:t>$133.</w:t>
            </w:r>
            <w:r>
              <w:rPr>
                <w:rFonts w:ascii="Calibri" w:eastAsia="Times New Roman" w:hAnsi="Calibri" w:cs="Times New Roman"/>
                <w:color w:val="000000"/>
              </w:rPr>
              <w:t>00</w:t>
            </w:r>
            <w:r w:rsidRPr="00421E72">
              <w:rPr>
                <w:rFonts w:ascii="Calibri" w:eastAsia="Times New Roman" w:hAnsi="Calibri" w:cs="Times New Roman"/>
                <w:color w:val="000000"/>
              </w:rPr>
              <w:t> </w:t>
            </w:r>
          </w:p>
          <w:p w14:paraId="6C5948C9" w14:textId="77777777" w:rsidR="00FE31D3" w:rsidRDefault="00FE31D3" w:rsidP="00CB1516">
            <w:pPr>
              <w:rPr>
                <w:rFonts w:ascii="Calibri" w:eastAsia="Times New Roman" w:hAnsi="Calibri" w:cs="Times New Roman"/>
                <w:color w:val="000000"/>
              </w:rPr>
            </w:pPr>
          </w:p>
          <w:p w14:paraId="384A3637" w14:textId="77777777" w:rsidR="00FE31D3" w:rsidRPr="00421E72" w:rsidRDefault="00FE31D3" w:rsidP="00CB1516">
            <w:pPr>
              <w:rPr>
                <w:rFonts w:ascii="Calibri" w:eastAsia="Times New Roman" w:hAnsi="Calibri" w:cs="Times New Roman"/>
                <w:color w:val="000000"/>
              </w:rPr>
            </w:pPr>
            <w:r>
              <w:rPr>
                <w:rFonts w:ascii="Calibri" w:eastAsia="Times New Roman" w:hAnsi="Calibri" w:cs="Times New Roman"/>
                <w:color w:val="000000"/>
              </w:rPr>
              <w:t>$156.24</w:t>
            </w:r>
          </w:p>
        </w:tc>
      </w:tr>
      <w:tr w:rsidR="00FE31D3" w:rsidRPr="00421E72" w14:paraId="2745F3CB" w14:textId="77777777" w:rsidTr="00CB1516">
        <w:trPr>
          <w:trHeight w:val="1258"/>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56D2A872" w14:textId="77777777" w:rsidR="00FE31D3" w:rsidRPr="00421E72" w:rsidRDefault="00FE31D3" w:rsidP="00CB1516">
            <w:pPr>
              <w:rPr>
                <w:rFonts w:ascii="Calibri" w:eastAsia="Times New Roman" w:hAnsi="Calibri" w:cs="Times New Roman"/>
                <w:color w:val="000000"/>
              </w:rPr>
            </w:pPr>
            <w:r w:rsidRPr="00421E72">
              <w:rPr>
                <w:rFonts w:ascii="Calibri" w:eastAsia="Times New Roman" w:hAnsi="Calibri" w:cs="Times New Roman"/>
                <w:b/>
                <w:bCs/>
                <w:color w:val="000000"/>
              </w:rPr>
              <w:t>Potassium chloride 20 mEq/15mL </w:t>
            </w:r>
          </w:p>
          <w:p w14:paraId="6A9509AF" w14:textId="77777777" w:rsidR="00FE31D3" w:rsidRPr="00421E72" w:rsidRDefault="00FE31D3" w:rsidP="00CB1516">
            <w:pPr>
              <w:rPr>
                <w:rFonts w:ascii="Calibri" w:eastAsia="Times New Roman" w:hAnsi="Calibri" w:cs="Times New Roman"/>
                <w:b/>
                <w:bCs/>
                <w:color w:val="000000"/>
              </w:rPr>
            </w:pPr>
            <w:r w:rsidRPr="00421E72">
              <w:rPr>
                <w:rFonts w:ascii="Calibri" w:eastAsia="Times New Roman" w:hAnsi="Calibri" w:cs="Times New Roman"/>
                <w:color w:val="FF0000"/>
              </w:rPr>
              <w:t>($</w:t>
            </w:r>
            <w:r>
              <w:rPr>
                <w:rFonts w:ascii="Calibri" w:eastAsia="Times New Roman" w:hAnsi="Calibri" w:cs="Times New Roman"/>
                <w:color w:val="FF0000"/>
              </w:rPr>
              <w:t>214.44</w:t>
            </w:r>
            <w:r w:rsidRPr="00421E72">
              <w:rPr>
                <w:rFonts w:ascii="Calibri" w:eastAsia="Times New Roman" w:hAnsi="Calibri" w:cs="Times New Roman"/>
                <w:color w:val="FF0000"/>
              </w:rPr>
              <w:t>)</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72A16A78" w14:textId="77777777" w:rsidR="00FE31D3" w:rsidRPr="00507A9E" w:rsidRDefault="00FE31D3" w:rsidP="00CB1516">
            <w:pPr>
              <w:pStyle w:val="ListParagraph"/>
              <w:numPr>
                <w:ilvl w:val="0"/>
                <w:numId w:val="2"/>
              </w:numPr>
              <w:rPr>
                <w:rFonts w:ascii="Calibri" w:eastAsia="Times New Roman" w:hAnsi="Calibri" w:cs="Times New Roman"/>
                <w:color w:val="000000"/>
              </w:rPr>
            </w:pPr>
            <w:r w:rsidRPr="00507A9E">
              <w:rPr>
                <w:rFonts w:ascii="Calibri" w:eastAsia="Times New Roman" w:hAnsi="Calibri" w:cs="Times New Roman"/>
                <w:color w:val="000000"/>
              </w:rPr>
              <w:t xml:space="preserve">Potassium 10 mEq capsule, ER (Micro-K) *NO GTube* </w:t>
            </w:r>
            <w:r w:rsidRPr="00507A9E">
              <w:rPr>
                <w:rFonts w:ascii="Calibri" w:eastAsia="Times New Roman" w:hAnsi="Calibri" w:cs="Times New Roman"/>
                <w:color w:val="00B050"/>
              </w:rPr>
              <w:t>($</w:t>
            </w:r>
            <w:r>
              <w:rPr>
                <w:rFonts w:ascii="Calibri" w:eastAsia="Times New Roman" w:hAnsi="Calibri" w:cs="Times New Roman"/>
                <w:color w:val="00B050"/>
              </w:rPr>
              <w:t>33.16</w:t>
            </w:r>
            <w:r w:rsidRPr="00507A9E">
              <w:rPr>
                <w:rFonts w:ascii="Calibri" w:eastAsia="Times New Roman" w:hAnsi="Calibri" w:cs="Times New Roman"/>
                <w:color w:val="00B050"/>
              </w:rPr>
              <w:t>)</w:t>
            </w:r>
          </w:p>
          <w:p w14:paraId="357E6D03"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proofErr w:type="spellStart"/>
            <w:r w:rsidRPr="00507A9E">
              <w:rPr>
                <w:rFonts w:ascii="Calibri" w:eastAsia="Times New Roman" w:hAnsi="Calibri" w:cs="Times New Roman"/>
                <w:color w:val="000000"/>
              </w:rPr>
              <w:t>Klor</w:t>
            </w:r>
            <w:proofErr w:type="spellEnd"/>
            <w:r w:rsidRPr="00507A9E">
              <w:rPr>
                <w:rFonts w:ascii="Calibri" w:eastAsia="Times New Roman" w:hAnsi="Calibri" w:cs="Times New Roman"/>
                <w:color w:val="000000"/>
              </w:rPr>
              <w:t>-con 10mEq ER tablet </w:t>
            </w:r>
            <w:r>
              <w:rPr>
                <w:rFonts w:ascii="Calibri" w:eastAsia="Times New Roman" w:hAnsi="Calibri" w:cs="Times New Roman"/>
                <w:color w:val="000000"/>
              </w:rPr>
              <w:t xml:space="preserve">*OK w/ GTube* </w:t>
            </w:r>
            <w:r w:rsidRPr="00507A9E">
              <w:rPr>
                <w:rFonts w:ascii="Calibri" w:eastAsia="Times New Roman" w:hAnsi="Calibri" w:cs="Times New Roman"/>
                <w:color w:val="00B050"/>
              </w:rPr>
              <w:t>($</w:t>
            </w:r>
            <w:r>
              <w:rPr>
                <w:rFonts w:ascii="Calibri" w:eastAsia="Times New Roman" w:hAnsi="Calibri" w:cs="Times New Roman"/>
                <w:color w:val="00B050"/>
              </w:rPr>
              <w:t>19.18</w:t>
            </w:r>
            <w:r w:rsidRPr="00507A9E">
              <w:rPr>
                <w:rFonts w:ascii="Calibri" w:eastAsia="Times New Roman" w:hAnsi="Calibri" w:cs="Times New Roman"/>
                <w:color w:val="00B050"/>
              </w:rPr>
              <w:t>)</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4E28E9D3" w14:textId="77777777" w:rsidR="00FE31D3" w:rsidRDefault="00FE31D3" w:rsidP="00CB1516">
            <w:pPr>
              <w:rPr>
                <w:rFonts w:ascii="Calibri" w:eastAsia="Times New Roman" w:hAnsi="Calibri" w:cs="Times New Roman"/>
                <w:color w:val="000000"/>
              </w:rPr>
            </w:pPr>
            <w:r>
              <w:rPr>
                <w:rFonts w:ascii="Calibri" w:eastAsia="Times New Roman" w:hAnsi="Calibri" w:cs="Times New Roman"/>
                <w:color w:val="000000"/>
              </w:rPr>
              <w:t>$181.28</w:t>
            </w:r>
          </w:p>
          <w:p w14:paraId="129F2669" w14:textId="77777777" w:rsidR="00FE31D3" w:rsidRDefault="00FE31D3" w:rsidP="00CB1516">
            <w:pPr>
              <w:rPr>
                <w:rFonts w:ascii="Calibri" w:eastAsia="Times New Roman" w:hAnsi="Calibri" w:cs="Times New Roman"/>
                <w:color w:val="000000"/>
              </w:rPr>
            </w:pPr>
          </w:p>
          <w:p w14:paraId="7E914D0D" w14:textId="77777777" w:rsidR="00FE31D3" w:rsidRPr="00421E72" w:rsidRDefault="00FE31D3" w:rsidP="00CB1516">
            <w:pPr>
              <w:rPr>
                <w:rFonts w:ascii="Calibri" w:eastAsia="Times New Roman" w:hAnsi="Calibri" w:cs="Times New Roman"/>
                <w:color w:val="000000"/>
              </w:rPr>
            </w:pPr>
            <w:r>
              <w:rPr>
                <w:rFonts w:ascii="Calibri" w:eastAsia="Times New Roman" w:hAnsi="Calibri" w:cs="Times New Roman"/>
                <w:color w:val="000000"/>
              </w:rPr>
              <w:t>$195.26</w:t>
            </w:r>
          </w:p>
        </w:tc>
      </w:tr>
      <w:tr w:rsidR="00FE31D3" w:rsidRPr="00421E72" w14:paraId="366E9BEE" w14:textId="77777777" w:rsidTr="00CB1516">
        <w:trPr>
          <w:trHeight w:val="709"/>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41A68731" w14:textId="77777777" w:rsidR="00FE31D3" w:rsidRPr="00421E72" w:rsidRDefault="00FE31D3" w:rsidP="00CB1516">
            <w:pPr>
              <w:rPr>
                <w:rFonts w:ascii="Calibri" w:eastAsia="Times New Roman" w:hAnsi="Calibri" w:cs="Times New Roman"/>
                <w:b/>
                <w:bCs/>
                <w:color w:val="000000"/>
              </w:rPr>
            </w:pPr>
            <w:r w:rsidRPr="00421E72">
              <w:rPr>
                <w:rFonts w:ascii="Calibri" w:eastAsia="Times New Roman" w:hAnsi="Calibri" w:cs="Times New Roman"/>
                <w:b/>
                <w:bCs/>
                <w:color w:val="000000"/>
              </w:rPr>
              <w:t>Pyridium 200mg TID x2days </w:t>
            </w:r>
            <w:r w:rsidRPr="003B7577">
              <w:rPr>
                <w:rFonts w:ascii="Calibri" w:eastAsia="Times New Roman" w:hAnsi="Calibri" w:cs="Times New Roman"/>
                <w:color w:val="FF0000"/>
              </w:rPr>
              <w:t>(24.06)</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2C9D317A"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r w:rsidRPr="00507A9E">
              <w:rPr>
                <w:rFonts w:ascii="Calibri" w:eastAsia="Times New Roman" w:hAnsi="Calibri" w:cs="Times New Roman"/>
                <w:color w:val="000000"/>
              </w:rPr>
              <w:t xml:space="preserve">Uristat® 95mg PO, 2 tabs TID x2 days </w:t>
            </w:r>
            <w:r w:rsidRPr="00507A9E">
              <w:rPr>
                <w:rFonts w:ascii="Calibri" w:eastAsia="Times New Roman" w:hAnsi="Calibri" w:cs="Times New Roman"/>
                <w:color w:val="00B050"/>
              </w:rPr>
              <w:t>($7.63)</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257FE485" w14:textId="77777777" w:rsidR="00FE31D3" w:rsidRPr="00421E72" w:rsidRDefault="00FE31D3" w:rsidP="00CB1516">
            <w:pPr>
              <w:rPr>
                <w:rFonts w:ascii="Calibri" w:eastAsia="Times New Roman" w:hAnsi="Calibri" w:cs="Times New Roman"/>
                <w:color w:val="000000"/>
              </w:rPr>
            </w:pPr>
            <w:r w:rsidRPr="00421E72">
              <w:rPr>
                <w:rFonts w:ascii="Calibri" w:eastAsia="Times New Roman" w:hAnsi="Calibri" w:cs="Times New Roman"/>
                <w:color w:val="000000"/>
              </w:rPr>
              <w:t>$16.43 </w:t>
            </w:r>
          </w:p>
        </w:tc>
      </w:tr>
      <w:tr w:rsidR="00FE31D3" w:rsidRPr="00421E72" w14:paraId="6E6D1D50" w14:textId="77777777" w:rsidTr="00CB1516">
        <w:trPr>
          <w:trHeight w:val="610"/>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4C60DC97" w14:textId="77777777" w:rsidR="00FE31D3" w:rsidRPr="00BB3472" w:rsidRDefault="00FE31D3" w:rsidP="00CB1516">
            <w:pPr>
              <w:rPr>
                <w:b/>
                <w:bCs/>
              </w:rPr>
            </w:pPr>
            <w:r w:rsidRPr="00BB3472">
              <w:rPr>
                <w:rFonts w:ascii="Calibri" w:hAnsi="Calibri"/>
                <w:b/>
                <w:bCs/>
                <w:color w:val="201F1E"/>
                <w:sz w:val="22"/>
                <w:szCs w:val="22"/>
                <w:shd w:val="clear" w:color="auto" w:fill="FFFFFF"/>
              </w:rPr>
              <w:t>Rifaximin (Xifaxan</w:t>
            </w:r>
            <w:r>
              <w:t>®</w:t>
            </w:r>
            <w:r w:rsidRPr="00BB3472">
              <w:rPr>
                <w:rFonts w:ascii="Calibri" w:hAnsi="Calibri"/>
                <w:b/>
                <w:bCs/>
                <w:color w:val="201F1E"/>
                <w:sz w:val="22"/>
                <w:szCs w:val="22"/>
                <w:shd w:val="clear" w:color="auto" w:fill="FFFFFF"/>
              </w:rPr>
              <w:t xml:space="preserve">) 550mg </w:t>
            </w:r>
          </w:p>
          <w:p w14:paraId="3AFB729C" w14:textId="77777777" w:rsidR="00FE31D3" w:rsidRPr="00421E72" w:rsidRDefault="00FE31D3" w:rsidP="00CB1516">
            <w:pPr>
              <w:rPr>
                <w:rFonts w:ascii="Calibri" w:eastAsia="Times New Roman" w:hAnsi="Calibri" w:cs="Times New Roman"/>
                <w:b/>
                <w:bCs/>
                <w:color w:val="000000"/>
              </w:rPr>
            </w:pPr>
            <w:r w:rsidRPr="00BB3472">
              <w:rPr>
                <w:rFonts w:ascii="Calibri" w:eastAsia="Times New Roman" w:hAnsi="Calibri" w:cs="Times New Roman"/>
                <w:color w:val="FF0000"/>
              </w:rPr>
              <w:t>($1427.61)</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5B6897C6"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r w:rsidRPr="00BB3472">
              <w:rPr>
                <w:rFonts w:ascii="Calibri" w:eastAsia="Times New Roman" w:hAnsi="Calibri" w:cs="Times New Roman"/>
                <w:color w:val="000000"/>
              </w:rPr>
              <w:t>neomycin 500 mg tablet (tablet)</w:t>
            </w:r>
            <w:r>
              <w:rPr>
                <w:rFonts w:ascii="Calibri" w:eastAsia="Times New Roman" w:hAnsi="Calibri" w:cs="Times New Roman"/>
                <w:color w:val="000000"/>
              </w:rPr>
              <w:t xml:space="preserve"> ($183.00)</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56935D3F" w14:textId="77777777" w:rsidR="00FE31D3" w:rsidRPr="00421E72" w:rsidRDefault="00FE31D3" w:rsidP="00CB1516">
            <w:pPr>
              <w:rPr>
                <w:rFonts w:ascii="Calibri" w:eastAsia="Times New Roman" w:hAnsi="Calibri" w:cs="Times New Roman"/>
                <w:color w:val="000000"/>
              </w:rPr>
            </w:pPr>
            <w:r>
              <w:rPr>
                <w:rFonts w:ascii="Calibri" w:eastAsia="Times New Roman" w:hAnsi="Calibri" w:cs="Times New Roman"/>
                <w:color w:val="000000"/>
              </w:rPr>
              <w:t>$1244.61</w:t>
            </w:r>
          </w:p>
        </w:tc>
      </w:tr>
      <w:tr w:rsidR="00FE31D3" w:rsidRPr="00421E72" w14:paraId="2711281F" w14:textId="77777777" w:rsidTr="00CB1516">
        <w:trPr>
          <w:trHeight w:val="1258"/>
        </w:trPr>
        <w:tc>
          <w:tcPr>
            <w:tcW w:w="0" w:type="auto"/>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14:paraId="6B0A87B0" w14:textId="77777777" w:rsidR="00FE31D3" w:rsidRPr="00421E72" w:rsidRDefault="00FE31D3" w:rsidP="00CB1516">
            <w:pPr>
              <w:rPr>
                <w:rFonts w:ascii="Calibri" w:eastAsia="Times New Roman" w:hAnsi="Calibri" w:cs="Times New Roman"/>
                <w:b/>
                <w:bCs/>
                <w:color w:val="000000"/>
              </w:rPr>
            </w:pPr>
            <w:r>
              <w:rPr>
                <w:rFonts w:ascii="Calibri" w:eastAsia="Times New Roman" w:hAnsi="Calibri" w:cs="Times New Roman"/>
                <w:b/>
                <w:bCs/>
                <w:color w:val="000000"/>
              </w:rPr>
              <w:t>S</w:t>
            </w:r>
            <w:r w:rsidRPr="00507A9E">
              <w:rPr>
                <w:rFonts w:ascii="Calibri" w:eastAsia="Times New Roman" w:hAnsi="Calibri" w:cs="Times New Roman"/>
                <w:b/>
                <w:bCs/>
                <w:color w:val="000000"/>
              </w:rPr>
              <w:t>ulfamethoxazole-</w:t>
            </w:r>
            <w:r>
              <w:rPr>
                <w:rFonts w:ascii="Calibri" w:eastAsia="Times New Roman" w:hAnsi="Calibri" w:cs="Times New Roman"/>
                <w:b/>
                <w:bCs/>
                <w:color w:val="000000"/>
              </w:rPr>
              <w:t>T</w:t>
            </w:r>
            <w:r w:rsidRPr="00507A9E">
              <w:rPr>
                <w:rFonts w:ascii="Calibri" w:eastAsia="Times New Roman" w:hAnsi="Calibri" w:cs="Times New Roman"/>
                <w:b/>
                <w:bCs/>
                <w:color w:val="000000"/>
              </w:rPr>
              <w:t>rimethoprim</w:t>
            </w:r>
            <w:r>
              <w:rPr>
                <w:rFonts w:ascii="Calibri" w:eastAsia="Times New Roman" w:hAnsi="Calibri" w:cs="Times New Roman"/>
                <w:b/>
                <w:bCs/>
                <w:color w:val="000000"/>
              </w:rPr>
              <w:t xml:space="preserve"> (</w:t>
            </w:r>
            <w:r w:rsidRPr="00421E72">
              <w:rPr>
                <w:rFonts w:ascii="Calibri" w:eastAsia="Times New Roman" w:hAnsi="Calibri" w:cs="Times New Roman"/>
                <w:b/>
                <w:bCs/>
                <w:color w:val="000000"/>
              </w:rPr>
              <w:t>Bactrim</w:t>
            </w:r>
            <w:r w:rsidRPr="00507A9E">
              <w:rPr>
                <w:rFonts w:ascii="Calibri" w:eastAsia="Times New Roman" w:hAnsi="Calibri" w:cs="Times New Roman"/>
                <w:color w:val="000000"/>
              </w:rPr>
              <w:t>®</w:t>
            </w:r>
            <w:r>
              <w:rPr>
                <w:rFonts w:ascii="Calibri" w:eastAsia="Times New Roman" w:hAnsi="Calibri" w:cs="Times New Roman"/>
                <w:color w:val="000000"/>
              </w:rPr>
              <w:t>)</w:t>
            </w:r>
            <w:r w:rsidRPr="00421E72">
              <w:rPr>
                <w:rFonts w:ascii="Calibri" w:eastAsia="Times New Roman" w:hAnsi="Calibri" w:cs="Times New Roman"/>
                <w:b/>
                <w:bCs/>
                <w:color w:val="000000"/>
              </w:rPr>
              <w:t xml:space="preserve">  </w:t>
            </w:r>
          </w:p>
        </w:tc>
        <w:tc>
          <w:tcPr>
            <w:tcW w:w="0" w:type="auto"/>
            <w:tcBorders>
              <w:top w:val="single" w:sz="8" w:space="0" w:color="999999"/>
              <w:left w:val="single" w:sz="2" w:space="0" w:color="auto"/>
              <w:bottom w:val="single" w:sz="8" w:space="0" w:color="999999"/>
              <w:right w:val="single" w:sz="8" w:space="0" w:color="999999"/>
            </w:tcBorders>
            <w:tcMar>
              <w:top w:w="0" w:type="dxa"/>
              <w:left w:w="108" w:type="dxa"/>
              <w:bottom w:w="0" w:type="dxa"/>
              <w:right w:w="108" w:type="dxa"/>
            </w:tcMar>
          </w:tcPr>
          <w:p w14:paraId="0E044E12" w14:textId="77777777" w:rsidR="00FE31D3" w:rsidRDefault="00FE31D3" w:rsidP="00CB1516">
            <w:pPr>
              <w:pStyle w:val="ListParagraph"/>
              <w:numPr>
                <w:ilvl w:val="0"/>
                <w:numId w:val="2"/>
              </w:numPr>
              <w:rPr>
                <w:rFonts w:ascii="Calibri" w:eastAsia="Times New Roman" w:hAnsi="Calibri" w:cs="Times New Roman"/>
                <w:color w:val="000000"/>
              </w:rPr>
            </w:pPr>
            <w:r w:rsidRPr="00507A9E">
              <w:rPr>
                <w:rFonts w:ascii="Calibri" w:eastAsia="Times New Roman" w:hAnsi="Calibri" w:cs="Times New Roman"/>
                <w:color w:val="000000"/>
              </w:rPr>
              <w:t>Sulfamethoxazole-Trimethoprim</w:t>
            </w:r>
            <w:r>
              <w:rPr>
                <w:rFonts w:ascii="Calibri" w:eastAsia="Times New Roman" w:hAnsi="Calibri" w:cs="Times New Roman"/>
                <w:color w:val="000000"/>
              </w:rPr>
              <w:t xml:space="preserve"> </w:t>
            </w:r>
            <w:r w:rsidRPr="00507A9E">
              <w:rPr>
                <w:rFonts w:ascii="Calibri" w:eastAsia="Times New Roman" w:hAnsi="Calibri" w:cs="Times New Roman"/>
                <w:color w:val="000000"/>
              </w:rPr>
              <w:t>(</w:t>
            </w:r>
            <w:r w:rsidRPr="00421E72">
              <w:rPr>
                <w:rFonts w:ascii="Calibri" w:eastAsia="Times New Roman" w:hAnsi="Calibri" w:cs="Times New Roman"/>
                <w:color w:val="000000"/>
              </w:rPr>
              <w:t>Bactrim</w:t>
            </w:r>
            <w:r w:rsidRPr="00507A9E">
              <w:rPr>
                <w:rFonts w:ascii="Calibri" w:eastAsia="Times New Roman" w:hAnsi="Calibri" w:cs="Times New Roman"/>
                <w:color w:val="000000"/>
              </w:rPr>
              <w:t>®)</w:t>
            </w:r>
            <w:r>
              <w:rPr>
                <w:rFonts w:ascii="Calibri" w:eastAsia="Times New Roman" w:hAnsi="Calibri" w:cs="Times New Roman"/>
                <w:color w:val="000000"/>
              </w:rPr>
              <w:t xml:space="preserve">: </w:t>
            </w:r>
            <w:r w:rsidRPr="00507A9E">
              <w:rPr>
                <w:rFonts w:ascii="Calibri" w:eastAsia="Times New Roman" w:hAnsi="Calibri" w:cs="Times New Roman"/>
                <w:color w:val="000000"/>
              </w:rPr>
              <w:t>400mg-80mg</w:t>
            </w:r>
            <w:r>
              <w:rPr>
                <w:rFonts w:ascii="Calibri" w:eastAsia="Times New Roman" w:hAnsi="Calibri" w:cs="Times New Roman"/>
                <w:color w:val="000000"/>
              </w:rPr>
              <w:t xml:space="preserve"> tab</w:t>
            </w:r>
          </w:p>
          <w:p w14:paraId="5633C801" w14:textId="77777777" w:rsidR="00FE31D3" w:rsidRPr="00507A9E" w:rsidRDefault="00FE31D3" w:rsidP="00CB1516">
            <w:pPr>
              <w:pStyle w:val="ListParagraph"/>
              <w:numPr>
                <w:ilvl w:val="0"/>
                <w:numId w:val="2"/>
              </w:numPr>
              <w:rPr>
                <w:rFonts w:ascii="Calibri" w:eastAsia="Times New Roman" w:hAnsi="Calibri" w:cs="Times New Roman"/>
                <w:color w:val="000000"/>
              </w:rPr>
            </w:pPr>
            <w:r w:rsidRPr="00507A9E">
              <w:rPr>
                <w:rFonts w:ascii="Calibri" w:eastAsia="Times New Roman" w:hAnsi="Calibri" w:cs="Times New Roman"/>
                <w:color w:val="000000"/>
              </w:rPr>
              <w:t>Sulfamethoxazole-Trimethoprim</w:t>
            </w:r>
            <w:r>
              <w:rPr>
                <w:rFonts w:ascii="Calibri" w:eastAsia="Times New Roman" w:hAnsi="Calibri" w:cs="Times New Roman"/>
                <w:color w:val="000000"/>
              </w:rPr>
              <w:t xml:space="preserve"> </w:t>
            </w:r>
            <w:r w:rsidRPr="00507A9E">
              <w:rPr>
                <w:rFonts w:ascii="Calibri" w:eastAsia="Times New Roman" w:hAnsi="Calibri" w:cs="Times New Roman"/>
                <w:color w:val="000000"/>
              </w:rPr>
              <w:t>(</w:t>
            </w:r>
            <w:r w:rsidRPr="00421E72">
              <w:rPr>
                <w:rFonts w:ascii="Calibri" w:eastAsia="Times New Roman" w:hAnsi="Calibri" w:cs="Times New Roman"/>
                <w:color w:val="000000"/>
              </w:rPr>
              <w:t>Bactrim</w:t>
            </w:r>
            <w:r>
              <w:rPr>
                <w:rFonts w:ascii="Calibri" w:eastAsia="Times New Roman" w:hAnsi="Calibri" w:cs="Times New Roman"/>
                <w:color w:val="000000"/>
              </w:rPr>
              <w:t xml:space="preserve"> DS</w:t>
            </w:r>
            <w:r w:rsidRPr="00507A9E">
              <w:rPr>
                <w:rFonts w:ascii="Calibri" w:eastAsia="Times New Roman" w:hAnsi="Calibri" w:cs="Times New Roman"/>
                <w:color w:val="000000"/>
              </w:rPr>
              <w:t>®)</w:t>
            </w:r>
            <w:r>
              <w:rPr>
                <w:rFonts w:ascii="Calibri" w:eastAsia="Times New Roman" w:hAnsi="Calibri" w:cs="Times New Roman"/>
                <w:color w:val="000000"/>
              </w:rPr>
              <w:t xml:space="preserve"> </w:t>
            </w:r>
            <w:r w:rsidRPr="00507A9E">
              <w:rPr>
                <w:rFonts w:ascii="Calibri" w:eastAsia="Times New Roman" w:hAnsi="Calibri" w:cs="Times New Roman"/>
                <w:color w:val="000000"/>
              </w:rPr>
              <w:t>800mg-160mg</w:t>
            </w:r>
            <w:r>
              <w:rPr>
                <w:rFonts w:ascii="Calibri" w:eastAsia="Times New Roman" w:hAnsi="Calibri" w:cs="Times New Roman"/>
                <w:color w:val="000000"/>
              </w:rPr>
              <w:t xml:space="preserve"> tab</w:t>
            </w:r>
          </w:p>
          <w:p w14:paraId="1B8CA26F" w14:textId="77777777" w:rsidR="00FE31D3" w:rsidRPr="00507A9E" w:rsidRDefault="00FE31D3" w:rsidP="00CB1516">
            <w:pPr>
              <w:pStyle w:val="ListParagraph"/>
              <w:numPr>
                <w:ilvl w:val="0"/>
                <w:numId w:val="2"/>
              </w:numPr>
              <w:rPr>
                <w:rFonts w:ascii="Calibri" w:eastAsia="Times New Roman" w:hAnsi="Calibri" w:cs="Times New Roman"/>
                <w:color w:val="000000" w:themeColor="text1"/>
              </w:rPr>
            </w:pPr>
            <w:r w:rsidRPr="00507A9E">
              <w:rPr>
                <w:rFonts w:ascii="Calibri" w:eastAsia="Times New Roman" w:hAnsi="Calibri" w:cs="Times New Roman"/>
                <w:color w:val="000000"/>
              </w:rPr>
              <w:t>Suspension: 200 mg-40 mg/5 mL </w:t>
            </w:r>
          </w:p>
        </w:tc>
        <w:tc>
          <w:tcPr>
            <w:tcW w:w="1124" w:type="dxa"/>
            <w:tcBorders>
              <w:top w:val="single" w:sz="8" w:space="0" w:color="999999"/>
              <w:left w:val="nil"/>
              <w:bottom w:val="single" w:sz="8" w:space="0" w:color="999999"/>
              <w:right w:val="single" w:sz="8" w:space="0" w:color="999999"/>
            </w:tcBorders>
            <w:tcMar>
              <w:top w:w="0" w:type="dxa"/>
              <w:left w:w="108" w:type="dxa"/>
              <w:bottom w:w="0" w:type="dxa"/>
              <w:right w:w="108" w:type="dxa"/>
            </w:tcMar>
          </w:tcPr>
          <w:p w14:paraId="7D404E84" w14:textId="77777777" w:rsidR="00FE31D3" w:rsidRPr="00421E72" w:rsidRDefault="00FE31D3" w:rsidP="00CB1516">
            <w:pPr>
              <w:rPr>
                <w:rFonts w:ascii="Calibri" w:eastAsia="Times New Roman" w:hAnsi="Calibri" w:cs="Times New Roman"/>
                <w:color w:val="000000"/>
              </w:rPr>
            </w:pPr>
            <w:r w:rsidRPr="00421E72">
              <w:rPr>
                <w:rFonts w:ascii="Calibri" w:eastAsia="Times New Roman" w:hAnsi="Calibri" w:cs="Times New Roman"/>
                <w:color w:val="000000"/>
              </w:rPr>
              <w:t>--- </w:t>
            </w:r>
          </w:p>
        </w:tc>
      </w:tr>
    </w:tbl>
    <w:p w14:paraId="5FB0521D" w14:textId="4BAF378A" w:rsidR="00FE31D3" w:rsidRDefault="00FE31D3">
      <w:pPr>
        <w:rPr>
          <w:rFonts w:ascii="Times New Roman" w:hAnsi="Times New Roman" w:cs="Times New Roman"/>
          <w:b/>
          <w:bCs/>
        </w:rPr>
      </w:pPr>
    </w:p>
    <w:p w14:paraId="0AADBF65" w14:textId="583D0500" w:rsidR="00FE31D3" w:rsidRDefault="00FE31D3">
      <w:pPr>
        <w:rPr>
          <w:rFonts w:ascii="Times New Roman" w:hAnsi="Times New Roman" w:cs="Times New Roman"/>
          <w:b/>
          <w:bCs/>
        </w:rPr>
      </w:pPr>
    </w:p>
    <w:p w14:paraId="6AAFBD59" w14:textId="77777777" w:rsidR="00FE31D3" w:rsidRDefault="00FE31D3" w:rsidP="00B713F7">
      <w:pPr>
        <w:spacing w:line="480" w:lineRule="auto"/>
        <w:ind w:left="720" w:hanging="720"/>
        <w:jc w:val="center"/>
        <w:rPr>
          <w:rFonts w:ascii="Times New Roman" w:hAnsi="Times New Roman" w:cs="Times New Roman"/>
          <w:b/>
          <w:bCs/>
        </w:rPr>
      </w:pPr>
    </w:p>
    <w:p w14:paraId="32902846" w14:textId="64DE5D88" w:rsidR="00B713F7" w:rsidRDefault="00B713F7" w:rsidP="00B713F7">
      <w:pPr>
        <w:spacing w:line="480" w:lineRule="auto"/>
        <w:ind w:left="720" w:hanging="720"/>
        <w:jc w:val="center"/>
        <w:rPr>
          <w:rFonts w:ascii="Times New Roman" w:hAnsi="Times New Roman" w:cs="Times New Roman"/>
          <w:b/>
          <w:bCs/>
        </w:rPr>
      </w:pPr>
      <w:r w:rsidRPr="00B713F7">
        <w:rPr>
          <w:rFonts w:ascii="Times New Roman" w:hAnsi="Times New Roman" w:cs="Times New Roman"/>
          <w:b/>
          <w:bCs/>
        </w:rPr>
        <w:lastRenderedPageBreak/>
        <w:t xml:space="preserve">Appendix </w:t>
      </w:r>
      <w:r w:rsidR="00840CB8">
        <w:rPr>
          <w:rFonts w:ascii="Times New Roman" w:hAnsi="Times New Roman" w:cs="Times New Roman"/>
          <w:b/>
          <w:bCs/>
        </w:rPr>
        <w:t>E</w:t>
      </w:r>
    </w:p>
    <w:p w14:paraId="3A0E0808" w14:textId="034AD315" w:rsidR="00B713F7" w:rsidRPr="00A21D41" w:rsidRDefault="00A21D41" w:rsidP="00A21D41">
      <w:pPr>
        <w:spacing w:line="480" w:lineRule="auto"/>
        <w:ind w:left="720" w:hanging="720"/>
        <w:jc w:val="center"/>
        <w:rPr>
          <w:rFonts w:ascii="Times New Roman" w:hAnsi="Times New Roman" w:cs="Times New Roman"/>
        </w:rPr>
      </w:pPr>
      <w:r>
        <w:rPr>
          <w:rFonts w:ascii="Times New Roman" w:hAnsi="Times New Roman" w:cs="Times New Roman"/>
        </w:rPr>
        <w:t>Project Timeline</w:t>
      </w:r>
    </w:p>
    <w:p w14:paraId="09213E04" w14:textId="3792578A" w:rsidR="00BF5F29" w:rsidRDefault="009901CD" w:rsidP="00A153FA">
      <w:pPr>
        <w:spacing w:line="480" w:lineRule="auto"/>
        <w:ind w:left="720" w:hanging="720"/>
        <w:rPr>
          <w:rFonts w:ascii="Times New Roman" w:hAnsi="Times New Roman" w:cs="Times New Roman"/>
        </w:rPr>
      </w:pPr>
      <w:r>
        <w:rPr>
          <w:rFonts w:ascii="Times New Roman" w:hAnsi="Times New Roman" w:cs="Times New Roman"/>
          <w:noProof/>
        </w:rPr>
        <w:drawing>
          <wp:inline distT="0" distB="0" distL="0" distR="0" wp14:anchorId="63EEF77B" wp14:editId="56939866">
            <wp:extent cx="5486400" cy="3200400"/>
            <wp:effectExtent l="0" t="0" r="12700" b="127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14:paraId="04352047" w14:textId="77777777" w:rsidR="00BF5F29" w:rsidRDefault="00BF5F29">
      <w:pPr>
        <w:rPr>
          <w:rFonts w:ascii="Times New Roman" w:hAnsi="Times New Roman" w:cs="Times New Roman"/>
        </w:rPr>
      </w:pPr>
      <w:r>
        <w:rPr>
          <w:rFonts w:ascii="Times New Roman" w:hAnsi="Times New Roman" w:cs="Times New Roman"/>
        </w:rPr>
        <w:br w:type="page"/>
      </w:r>
    </w:p>
    <w:p w14:paraId="5BB24895" w14:textId="2904AA34" w:rsidR="00FE31D3" w:rsidRDefault="00FE31D3" w:rsidP="00FE31D3">
      <w:pPr>
        <w:spacing w:line="480" w:lineRule="auto"/>
        <w:ind w:left="720" w:hanging="720"/>
        <w:jc w:val="center"/>
        <w:rPr>
          <w:rFonts w:ascii="Times New Roman" w:hAnsi="Times New Roman" w:cs="Times New Roman"/>
          <w:b/>
          <w:bCs/>
        </w:rPr>
      </w:pPr>
      <w:r>
        <w:rPr>
          <w:rFonts w:ascii="Times New Roman" w:hAnsi="Times New Roman" w:cs="Times New Roman"/>
          <w:b/>
          <w:bCs/>
        </w:rPr>
        <w:lastRenderedPageBreak/>
        <w:t xml:space="preserve">Appendix </w:t>
      </w:r>
      <w:r w:rsidR="00840CB8">
        <w:rPr>
          <w:rFonts w:ascii="Times New Roman" w:hAnsi="Times New Roman" w:cs="Times New Roman"/>
          <w:b/>
          <w:bCs/>
        </w:rPr>
        <w:t>F</w:t>
      </w:r>
    </w:p>
    <w:p w14:paraId="619759A3" w14:textId="77777777" w:rsidR="00FE31D3" w:rsidRPr="006663B7" w:rsidRDefault="00FE31D3" w:rsidP="00FE31D3">
      <w:pPr>
        <w:spacing w:line="480" w:lineRule="auto"/>
        <w:ind w:left="720" w:hanging="720"/>
        <w:jc w:val="center"/>
        <w:rPr>
          <w:rFonts w:ascii="Times New Roman" w:hAnsi="Times New Roman" w:cs="Times New Roman"/>
        </w:rPr>
      </w:pPr>
      <w:r>
        <w:rPr>
          <w:rFonts w:ascii="Times New Roman" w:hAnsi="Times New Roman" w:cs="Times New Roman"/>
        </w:rPr>
        <w:t>Project Results Data</w:t>
      </w:r>
    </w:p>
    <w:p w14:paraId="68758F03" w14:textId="77777777" w:rsidR="00FE31D3" w:rsidRDefault="00FE31D3" w:rsidP="00FE31D3">
      <w:pPr>
        <w:spacing w:line="480" w:lineRule="auto"/>
        <w:ind w:left="720" w:hanging="720"/>
        <w:jc w:val="center"/>
        <w:rPr>
          <w:rFonts w:ascii="Times New Roman" w:hAnsi="Times New Roman" w:cs="Times New Roman"/>
        </w:rPr>
      </w:pPr>
      <w:r>
        <w:rPr>
          <w:rFonts w:ascii="Times New Roman" w:hAnsi="Times New Roman" w:cs="Times New Roman"/>
          <w:noProof/>
        </w:rPr>
        <w:drawing>
          <wp:inline distT="0" distB="0" distL="0" distR="0" wp14:anchorId="6E0F9B5D" wp14:editId="3FFDBE9B">
            <wp:extent cx="5486400" cy="3200400"/>
            <wp:effectExtent l="0" t="0" r="12700" b="1270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67FC03CA" w14:textId="080EF2C4" w:rsidR="007A72E9" w:rsidRPr="002D77CE" w:rsidRDefault="0062072F" w:rsidP="0062072F">
      <w:pPr>
        <w:rPr>
          <w:rFonts w:ascii="Times New Roman" w:hAnsi="Times New Roman" w:cs="Times New Roman"/>
          <w:color w:val="000000" w:themeColor="text1"/>
        </w:rPr>
      </w:pPr>
      <w:r w:rsidRPr="002D77CE">
        <w:rPr>
          <w:rFonts w:ascii="Times New Roman" w:hAnsi="Times New Roman" w:cs="Times New Roman"/>
          <w:color w:val="000000" w:themeColor="text1"/>
        </w:rPr>
        <w:t>Figure</w:t>
      </w:r>
      <w:r w:rsidR="00FE31D3" w:rsidRPr="002D77CE">
        <w:rPr>
          <w:rFonts w:ascii="Times New Roman" w:hAnsi="Times New Roman" w:cs="Times New Roman"/>
          <w:color w:val="000000" w:themeColor="text1"/>
        </w:rPr>
        <w:t xml:space="preserve"> </w:t>
      </w:r>
      <w:r w:rsidR="00684C31">
        <w:rPr>
          <w:rFonts w:ascii="Times New Roman" w:hAnsi="Times New Roman" w:cs="Times New Roman"/>
          <w:color w:val="000000" w:themeColor="text1"/>
        </w:rPr>
        <w:t>F</w:t>
      </w:r>
      <w:r w:rsidR="00FE31D3" w:rsidRPr="002D77CE">
        <w:rPr>
          <w:rFonts w:ascii="Times New Roman" w:hAnsi="Times New Roman" w:cs="Times New Roman"/>
          <w:color w:val="000000" w:themeColor="text1"/>
        </w:rPr>
        <w:t xml:space="preserve">. Pre-intervention data </w:t>
      </w:r>
      <w:r w:rsidR="00B32E91" w:rsidRPr="002D77CE">
        <w:rPr>
          <w:rFonts w:ascii="Times New Roman" w:hAnsi="Times New Roman" w:cs="Times New Roman"/>
          <w:color w:val="000000" w:themeColor="text1"/>
        </w:rPr>
        <w:t>was collected for the months of</w:t>
      </w:r>
      <w:r w:rsidR="00FE31D3" w:rsidRPr="002D77CE">
        <w:rPr>
          <w:rFonts w:ascii="Times New Roman" w:hAnsi="Times New Roman" w:cs="Times New Roman"/>
          <w:color w:val="000000" w:themeColor="text1"/>
        </w:rPr>
        <w:t xml:space="preserve"> May, June, and June of 2021. Research, staff education, and project implementation took place during the months of August and September. Data from October, November, and December </w:t>
      </w:r>
      <w:r w:rsidR="00B32E91" w:rsidRPr="002D77CE">
        <w:rPr>
          <w:rFonts w:ascii="Times New Roman" w:hAnsi="Times New Roman" w:cs="Times New Roman"/>
          <w:color w:val="000000" w:themeColor="text1"/>
        </w:rPr>
        <w:t xml:space="preserve">of 2021 </w:t>
      </w:r>
      <w:r w:rsidR="00FE31D3" w:rsidRPr="002D77CE">
        <w:rPr>
          <w:rFonts w:ascii="Times New Roman" w:hAnsi="Times New Roman" w:cs="Times New Roman"/>
          <w:color w:val="000000" w:themeColor="text1"/>
        </w:rPr>
        <w:t xml:space="preserve">represent </w:t>
      </w:r>
      <w:r w:rsidR="00B32E91" w:rsidRPr="002D77CE">
        <w:rPr>
          <w:rFonts w:ascii="Times New Roman" w:hAnsi="Times New Roman" w:cs="Times New Roman"/>
          <w:color w:val="000000" w:themeColor="text1"/>
        </w:rPr>
        <w:t xml:space="preserve">the </w:t>
      </w:r>
      <w:r w:rsidR="00FE31D3" w:rsidRPr="002D77CE">
        <w:rPr>
          <w:rFonts w:ascii="Times New Roman" w:hAnsi="Times New Roman" w:cs="Times New Roman"/>
          <w:color w:val="000000" w:themeColor="text1"/>
        </w:rPr>
        <w:t xml:space="preserve">post-intervention project data which demonstrates a desired decline in overall medication cost. </w:t>
      </w:r>
    </w:p>
    <w:p w14:paraId="3F72C81B" w14:textId="77777777" w:rsidR="0062072F" w:rsidRDefault="0062072F" w:rsidP="0062072F">
      <w:pPr>
        <w:rPr>
          <w:rFonts w:ascii="Times New Roman" w:hAnsi="Times New Roman" w:cs="Times New Roman"/>
        </w:rPr>
      </w:pPr>
    </w:p>
    <w:p w14:paraId="5A54AEB2" w14:textId="7DBECC62" w:rsidR="0062072F" w:rsidRPr="00840CB8" w:rsidRDefault="00840CB8" w:rsidP="00840CB8">
      <w:pPr>
        <w:rPr>
          <w:rFonts w:ascii="Times New Roman" w:hAnsi="Times New Roman" w:cs="Times New Roman"/>
        </w:rPr>
      </w:pPr>
      <w:r>
        <w:rPr>
          <w:rFonts w:ascii="Times New Roman" w:hAnsi="Times New Roman" w:cs="Times New Roman"/>
        </w:rPr>
        <w:br w:type="page"/>
      </w:r>
    </w:p>
    <w:p w14:paraId="1D74EC5A" w14:textId="3C58B072" w:rsidR="00840CB8" w:rsidRDefault="00840CB8" w:rsidP="00840CB8">
      <w:pPr>
        <w:spacing w:line="480" w:lineRule="auto"/>
        <w:jc w:val="center"/>
        <w:rPr>
          <w:rFonts w:ascii="Times New Roman" w:hAnsi="Times New Roman" w:cs="Times New Roman"/>
          <w:b/>
          <w:bCs/>
        </w:rPr>
      </w:pPr>
      <w:r w:rsidRPr="00840CB8">
        <w:rPr>
          <w:rFonts w:ascii="Times New Roman" w:hAnsi="Times New Roman" w:cs="Times New Roman"/>
          <w:b/>
          <w:bCs/>
        </w:rPr>
        <w:lastRenderedPageBreak/>
        <w:t xml:space="preserve">Appendix </w:t>
      </w:r>
      <w:r>
        <w:rPr>
          <w:rFonts w:ascii="Times New Roman" w:hAnsi="Times New Roman" w:cs="Times New Roman"/>
          <w:b/>
          <w:bCs/>
        </w:rPr>
        <w:t>G</w:t>
      </w:r>
    </w:p>
    <w:p w14:paraId="03E5B3A1" w14:textId="58B055B9" w:rsidR="00840CB8" w:rsidRPr="00840CB8" w:rsidRDefault="00840CB8" w:rsidP="00840CB8">
      <w:pPr>
        <w:spacing w:line="480" w:lineRule="auto"/>
        <w:jc w:val="center"/>
        <w:rPr>
          <w:rFonts w:ascii="Times New Roman" w:hAnsi="Times New Roman" w:cs="Times New Roman"/>
        </w:rPr>
      </w:pPr>
      <w:r w:rsidRPr="00840CB8">
        <w:rPr>
          <w:rFonts w:ascii="Times New Roman" w:hAnsi="Times New Roman" w:cs="Times New Roman"/>
        </w:rPr>
        <w:t xml:space="preserve">Project Results </w:t>
      </w:r>
      <w:r>
        <w:rPr>
          <w:rFonts w:ascii="Times New Roman" w:hAnsi="Times New Roman" w:cs="Times New Roman"/>
        </w:rPr>
        <w:t>Comparisons</w:t>
      </w:r>
    </w:p>
    <w:p w14:paraId="1D0C03B7" w14:textId="02ACD6D9" w:rsidR="000344C9" w:rsidRDefault="000344C9" w:rsidP="007A72E9">
      <w:pPr>
        <w:jc w:val="center"/>
        <w:rPr>
          <w:rFonts w:ascii="Times New Roman" w:hAnsi="Times New Roman" w:cs="Times New Roman"/>
        </w:rPr>
      </w:pPr>
      <w:r>
        <w:rPr>
          <w:rFonts w:ascii="Times New Roman" w:hAnsi="Times New Roman" w:cs="Times New Roman"/>
          <w:noProof/>
        </w:rPr>
        <w:drawing>
          <wp:inline distT="0" distB="0" distL="0" distR="0" wp14:anchorId="2B828BCE" wp14:editId="18D1E76E">
            <wp:extent cx="5143500" cy="2743200"/>
            <wp:effectExtent l="0" t="0" r="12700" b="12700"/>
            <wp:docPr id="108" name="Chart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03066C79" w14:textId="095FE193" w:rsidR="005D637B" w:rsidRDefault="005D637B" w:rsidP="00840CB8">
      <w:pPr>
        <w:rPr>
          <w:rFonts w:ascii="Times New Roman" w:hAnsi="Times New Roman" w:cs="Times New Roman"/>
        </w:rPr>
      </w:pPr>
    </w:p>
    <w:p w14:paraId="3C2B5030" w14:textId="3CB3D112" w:rsidR="005D637B" w:rsidRDefault="00BD7D28" w:rsidP="00BD7D28">
      <w:pPr>
        <w:rPr>
          <w:rFonts w:ascii="Times New Roman" w:hAnsi="Times New Roman" w:cs="Times New Roman"/>
        </w:rPr>
      </w:pPr>
      <w:r>
        <w:rPr>
          <w:rFonts w:ascii="Times New Roman" w:hAnsi="Times New Roman" w:cs="Times New Roman"/>
        </w:rPr>
        <w:t xml:space="preserve">Figure </w:t>
      </w:r>
      <w:r w:rsidR="00684C31">
        <w:rPr>
          <w:rFonts w:ascii="Times New Roman" w:hAnsi="Times New Roman" w:cs="Times New Roman"/>
        </w:rPr>
        <w:t>G1</w:t>
      </w:r>
      <w:r>
        <w:rPr>
          <w:rFonts w:ascii="Times New Roman" w:hAnsi="Times New Roman" w:cs="Times New Roman"/>
        </w:rPr>
        <w:t>. Post-intervention year to year comparison demonstrates an average of 34% cost reduction in overall medication costs from 2020</w:t>
      </w:r>
      <w:r w:rsidR="00840CB8">
        <w:rPr>
          <w:rFonts w:ascii="Times New Roman" w:hAnsi="Times New Roman" w:cs="Times New Roman"/>
        </w:rPr>
        <w:t xml:space="preserve"> to </w:t>
      </w:r>
      <w:r>
        <w:rPr>
          <w:rFonts w:ascii="Times New Roman" w:hAnsi="Times New Roman" w:cs="Times New Roman"/>
        </w:rPr>
        <w:t>2021</w:t>
      </w:r>
      <w:r w:rsidR="00840CB8">
        <w:rPr>
          <w:rFonts w:ascii="Times New Roman" w:hAnsi="Times New Roman" w:cs="Times New Roman"/>
        </w:rPr>
        <w:t>.</w:t>
      </w:r>
    </w:p>
    <w:p w14:paraId="50E87D6D" w14:textId="6D2A2B80" w:rsidR="005D637B" w:rsidRDefault="00840CB8" w:rsidP="005D637B">
      <w:pPr>
        <w:spacing w:line="480" w:lineRule="auto"/>
        <w:ind w:left="720" w:hanging="720"/>
        <w:jc w:val="center"/>
        <w:rPr>
          <w:rFonts w:ascii="Times New Roman" w:hAnsi="Times New Roman" w:cs="Times New Roman"/>
        </w:rPr>
      </w:pPr>
      <w:r>
        <w:rPr>
          <w:rFonts w:ascii="Times New Roman" w:hAnsi="Times New Roman" w:cs="Times New Roman"/>
          <w:noProof/>
        </w:rPr>
        <w:drawing>
          <wp:anchor distT="0" distB="0" distL="114300" distR="114300" simplePos="0" relativeHeight="251714560" behindDoc="0" locked="0" layoutInCell="1" allowOverlap="1" wp14:anchorId="41B10502" wp14:editId="50ECB2C9">
            <wp:simplePos x="0" y="0"/>
            <wp:positionH relativeFrom="column">
              <wp:posOffset>391795</wp:posOffset>
            </wp:positionH>
            <wp:positionV relativeFrom="page">
              <wp:posOffset>4982210</wp:posOffset>
            </wp:positionV>
            <wp:extent cx="5147945" cy="2743200"/>
            <wp:effectExtent l="0" t="0" r="8255" b="12700"/>
            <wp:wrapThrough wrapText="bothSides">
              <wp:wrapPolygon edited="0">
                <wp:start x="0" y="0"/>
                <wp:lineTo x="0" y="21600"/>
                <wp:lineTo x="21581" y="21600"/>
                <wp:lineTo x="21581" y="0"/>
                <wp:lineTo x="0" y="0"/>
              </wp:wrapPolygon>
            </wp:wrapThrough>
            <wp:docPr id="109" name="Chart 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margin">
              <wp14:pctWidth>0</wp14:pctWidth>
            </wp14:sizeRelH>
            <wp14:sizeRelV relativeFrom="margin">
              <wp14:pctHeight>0</wp14:pctHeight>
            </wp14:sizeRelV>
          </wp:anchor>
        </w:drawing>
      </w:r>
    </w:p>
    <w:p w14:paraId="19DB4000" w14:textId="0B33041D" w:rsidR="00BD7D28" w:rsidRDefault="00BD7D28" w:rsidP="005D637B">
      <w:pPr>
        <w:spacing w:line="480" w:lineRule="auto"/>
        <w:ind w:left="720" w:hanging="720"/>
        <w:jc w:val="center"/>
        <w:rPr>
          <w:rFonts w:ascii="Times New Roman" w:hAnsi="Times New Roman" w:cs="Times New Roman"/>
        </w:rPr>
      </w:pPr>
    </w:p>
    <w:p w14:paraId="3F318448" w14:textId="69AC9D63" w:rsidR="00BD7D28" w:rsidRDefault="00BD7D28" w:rsidP="005D637B">
      <w:pPr>
        <w:spacing w:line="480" w:lineRule="auto"/>
        <w:ind w:left="720" w:hanging="720"/>
        <w:jc w:val="center"/>
        <w:rPr>
          <w:rFonts w:ascii="Times New Roman" w:hAnsi="Times New Roman" w:cs="Times New Roman"/>
        </w:rPr>
      </w:pPr>
    </w:p>
    <w:p w14:paraId="1E1EDA00" w14:textId="209DEF38" w:rsidR="00BD7D28" w:rsidRDefault="00BD7D28" w:rsidP="005D637B">
      <w:pPr>
        <w:spacing w:line="480" w:lineRule="auto"/>
        <w:ind w:left="720" w:hanging="720"/>
        <w:jc w:val="center"/>
        <w:rPr>
          <w:rFonts w:ascii="Times New Roman" w:hAnsi="Times New Roman" w:cs="Times New Roman"/>
        </w:rPr>
      </w:pPr>
    </w:p>
    <w:p w14:paraId="65EEFA2E" w14:textId="1C009174" w:rsidR="00BD7D28" w:rsidRDefault="00BD7D28" w:rsidP="005D637B">
      <w:pPr>
        <w:spacing w:line="480" w:lineRule="auto"/>
        <w:ind w:left="720" w:hanging="720"/>
        <w:jc w:val="center"/>
        <w:rPr>
          <w:rFonts w:ascii="Times New Roman" w:hAnsi="Times New Roman" w:cs="Times New Roman"/>
        </w:rPr>
      </w:pPr>
    </w:p>
    <w:p w14:paraId="5CD8C157" w14:textId="027E1B46" w:rsidR="00BD7D28" w:rsidRDefault="00BD7D28" w:rsidP="005D637B">
      <w:pPr>
        <w:spacing w:line="480" w:lineRule="auto"/>
        <w:ind w:left="720" w:hanging="720"/>
        <w:jc w:val="center"/>
        <w:rPr>
          <w:rFonts w:ascii="Times New Roman" w:hAnsi="Times New Roman" w:cs="Times New Roman"/>
        </w:rPr>
      </w:pPr>
    </w:p>
    <w:p w14:paraId="3AE8F8CA" w14:textId="169D253F" w:rsidR="00BD7D28" w:rsidRDefault="00BD7D28" w:rsidP="005D637B">
      <w:pPr>
        <w:spacing w:line="480" w:lineRule="auto"/>
        <w:ind w:left="720" w:hanging="720"/>
        <w:jc w:val="center"/>
        <w:rPr>
          <w:rFonts w:ascii="Times New Roman" w:hAnsi="Times New Roman" w:cs="Times New Roman"/>
        </w:rPr>
      </w:pPr>
    </w:p>
    <w:p w14:paraId="25AA8D6C" w14:textId="1B00302B" w:rsidR="00BD7D28" w:rsidRDefault="00BD7D28" w:rsidP="005D637B">
      <w:pPr>
        <w:spacing w:line="480" w:lineRule="auto"/>
        <w:ind w:left="720" w:hanging="720"/>
        <w:jc w:val="center"/>
        <w:rPr>
          <w:rFonts w:ascii="Times New Roman" w:hAnsi="Times New Roman" w:cs="Times New Roman"/>
        </w:rPr>
      </w:pPr>
    </w:p>
    <w:p w14:paraId="56377DA9" w14:textId="29DC93D6" w:rsidR="00BD7D28" w:rsidRDefault="00BD7D28" w:rsidP="00840CB8">
      <w:pPr>
        <w:spacing w:line="480" w:lineRule="auto"/>
        <w:rPr>
          <w:rFonts w:ascii="Times New Roman" w:hAnsi="Times New Roman" w:cs="Times New Roman"/>
        </w:rPr>
      </w:pPr>
    </w:p>
    <w:p w14:paraId="1D53F6B6" w14:textId="45FCA33B" w:rsidR="00BA5E6A" w:rsidRDefault="00BD7D28" w:rsidP="00840CB8">
      <w:pPr>
        <w:rPr>
          <w:rFonts w:ascii="Times New Roman" w:hAnsi="Times New Roman" w:cs="Times New Roman"/>
        </w:rPr>
      </w:pPr>
      <w:r>
        <w:rPr>
          <w:rFonts w:ascii="Times New Roman" w:hAnsi="Times New Roman" w:cs="Times New Roman"/>
        </w:rPr>
        <w:t xml:space="preserve">Figure </w:t>
      </w:r>
      <w:r w:rsidR="00684C31">
        <w:rPr>
          <w:rFonts w:ascii="Times New Roman" w:hAnsi="Times New Roman" w:cs="Times New Roman"/>
        </w:rPr>
        <w:t>G2</w:t>
      </w:r>
      <w:r>
        <w:rPr>
          <w:rFonts w:ascii="Times New Roman" w:hAnsi="Times New Roman" w:cs="Times New Roman"/>
        </w:rPr>
        <w:t>. Post-intervention year-to-year comparison demonstrated an average of 41.3% reduction in the non-formulary medication costs f</w:t>
      </w:r>
      <w:r w:rsidR="00840CB8">
        <w:rPr>
          <w:rFonts w:ascii="Times New Roman" w:hAnsi="Times New Roman" w:cs="Times New Roman"/>
        </w:rPr>
        <w:t xml:space="preserve">rom 2020 to 2021. </w:t>
      </w:r>
    </w:p>
    <w:p w14:paraId="268D5133" w14:textId="77777777" w:rsidR="00840CB8" w:rsidRDefault="00840CB8" w:rsidP="00840CB8">
      <w:pPr>
        <w:rPr>
          <w:rFonts w:ascii="Times New Roman" w:hAnsi="Times New Roman" w:cs="Times New Roman"/>
        </w:rPr>
      </w:pPr>
    </w:p>
    <w:p w14:paraId="0DE42DC0" w14:textId="77777777" w:rsidR="00840CB8" w:rsidRDefault="00840CB8" w:rsidP="00840CB8">
      <w:pPr>
        <w:spacing w:line="480" w:lineRule="auto"/>
        <w:rPr>
          <w:rFonts w:ascii="Times New Roman" w:hAnsi="Times New Roman" w:cs="Times New Roman"/>
          <w:b/>
          <w:bCs/>
        </w:rPr>
      </w:pPr>
    </w:p>
    <w:p w14:paraId="18166056" w14:textId="77777777" w:rsidR="00840CB8" w:rsidRDefault="00840CB8" w:rsidP="00840CB8">
      <w:pPr>
        <w:spacing w:line="480" w:lineRule="auto"/>
        <w:jc w:val="center"/>
        <w:rPr>
          <w:rFonts w:ascii="Times New Roman" w:hAnsi="Times New Roman" w:cs="Times New Roman"/>
          <w:b/>
          <w:bCs/>
        </w:rPr>
      </w:pPr>
    </w:p>
    <w:p w14:paraId="02743EC5" w14:textId="0E763B28" w:rsidR="0019121C" w:rsidRDefault="00D84351" w:rsidP="00840CB8">
      <w:pPr>
        <w:spacing w:line="480" w:lineRule="auto"/>
        <w:jc w:val="center"/>
        <w:rPr>
          <w:rFonts w:ascii="Times New Roman" w:hAnsi="Times New Roman" w:cs="Times New Roman"/>
          <w:b/>
          <w:bCs/>
        </w:rPr>
      </w:pPr>
      <w:r>
        <w:rPr>
          <w:rFonts w:ascii="Times New Roman" w:hAnsi="Times New Roman" w:cs="Times New Roman"/>
          <w:b/>
          <w:bCs/>
        </w:rPr>
        <w:lastRenderedPageBreak/>
        <w:t xml:space="preserve">Appendix </w:t>
      </w:r>
      <w:r w:rsidR="00840CB8">
        <w:rPr>
          <w:rFonts w:ascii="Times New Roman" w:hAnsi="Times New Roman" w:cs="Times New Roman"/>
          <w:b/>
          <w:bCs/>
        </w:rPr>
        <w:t>H</w:t>
      </w:r>
    </w:p>
    <w:p w14:paraId="5DECC6FC" w14:textId="4AE015B7" w:rsidR="00D84351" w:rsidRDefault="00D84351" w:rsidP="00D84351">
      <w:pPr>
        <w:spacing w:line="480" w:lineRule="auto"/>
        <w:ind w:left="720" w:hanging="720"/>
        <w:jc w:val="center"/>
        <w:rPr>
          <w:rFonts w:ascii="Times New Roman" w:hAnsi="Times New Roman" w:cs="Times New Roman"/>
        </w:rPr>
      </w:pPr>
      <w:r>
        <w:rPr>
          <w:rFonts w:ascii="Times New Roman" w:hAnsi="Times New Roman" w:cs="Times New Roman"/>
        </w:rPr>
        <w:t>Pre-implementation Nurse Survey</w:t>
      </w:r>
    </w:p>
    <w:tbl>
      <w:tblPr>
        <w:tblStyle w:val="GridTable1Light-Accent1"/>
        <w:tblW w:w="0" w:type="auto"/>
        <w:tblLook w:val="04A0" w:firstRow="1" w:lastRow="0" w:firstColumn="1" w:lastColumn="0" w:noHBand="0" w:noVBand="1"/>
      </w:tblPr>
      <w:tblGrid>
        <w:gridCol w:w="9350"/>
      </w:tblGrid>
      <w:tr w:rsidR="00D84351" w14:paraId="0BAB965D" w14:textId="77777777" w:rsidTr="00D843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tcPr>
          <w:p w14:paraId="2CF1E07B" w14:textId="441DBD1D" w:rsidR="00D84351" w:rsidRDefault="00D84351" w:rsidP="00D84351">
            <w:pPr>
              <w:spacing w:line="480" w:lineRule="auto"/>
              <w:rPr>
                <w:rFonts w:ascii="Times New Roman" w:hAnsi="Times New Roman" w:cs="Times New Roman"/>
                <w:b w:val="0"/>
                <w:bCs w:val="0"/>
              </w:rPr>
            </w:pPr>
            <w:r>
              <w:rPr>
                <w:rFonts w:ascii="Times New Roman" w:hAnsi="Times New Roman" w:cs="Times New Roman"/>
                <w:b w:val="0"/>
                <w:bCs w:val="0"/>
              </w:rPr>
              <w:t xml:space="preserve">1.) </w:t>
            </w:r>
            <w:r w:rsidRPr="00D84351">
              <w:rPr>
                <w:rFonts w:ascii="Times New Roman" w:hAnsi="Times New Roman" w:cs="Times New Roman"/>
                <w:b w:val="0"/>
                <w:bCs w:val="0"/>
              </w:rPr>
              <w:t>To what extent would you agree that it is sometimes difficult to locate the correct medication, according to formulary?</w:t>
            </w:r>
          </w:p>
          <w:p w14:paraId="5FD50EF4" w14:textId="21EB4832" w:rsidR="00D84351" w:rsidRPr="00D84351" w:rsidRDefault="00D84351" w:rsidP="00D84351">
            <w:pPr>
              <w:spacing w:line="480" w:lineRule="auto"/>
              <w:rPr>
                <w:rFonts w:ascii="Times New Roman" w:hAnsi="Times New Roman" w:cs="Times New Roman"/>
                <w:b w:val="0"/>
                <w:bCs w:val="0"/>
              </w:rPr>
            </w:pPr>
            <w:r>
              <w:rPr>
                <w:rFonts w:ascii="Times New Roman" w:hAnsi="Times New Roman" w:cs="Times New Roman"/>
                <w:noProof/>
              </w:rPr>
              <w:drawing>
                <wp:inline distT="0" distB="0" distL="0" distR="0" wp14:anchorId="148465BC" wp14:editId="1FF55D0D">
                  <wp:extent cx="181154" cy="181154"/>
                  <wp:effectExtent l="0" t="0" r="0" b="0"/>
                  <wp:docPr id="3" name="Graphic 3"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b w:val="0"/>
                <w:bCs w:val="0"/>
              </w:rPr>
              <w:t xml:space="preserve">Strong agree </w:t>
            </w:r>
            <w:r>
              <w:rPr>
                <w:rFonts w:ascii="Times New Roman" w:hAnsi="Times New Roman" w:cs="Times New Roman"/>
                <w:noProof/>
              </w:rPr>
              <w:drawing>
                <wp:inline distT="0" distB="0" distL="0" distR="0" wp14:anchorId="63C2DB32" wp14:editId="45600AAB">
                  <wp:extent cx="181154" cy="181154"/>
                  <wp:effectExtent l="0" t="0" r="0" b="0"/>
                  <wp:docPr id="4" name="Graphic 4"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Somewhat agree </w:t>
            </w:r>
            <w:r>
              <w:rPr>
                <w:rFonts w:ascii="Times New Roman" w:hAnsi="Times New Roman" w:cs="Times New Roman"/>
                <w:noProof/>
              </w:rPr>
              <w:drawing>
                <wp:inline distT="0" distB="0" distL="0" distR="0" wp14:anchorId="6EE189F8" wp14:editId="5D76CF13">
                  <wp:extent cx="181154" cy="181154"/>
                  <wp:effectExtent l="0" t="0" r="0" b="0"/>
                  <wp:docPr id="5" name="Graphic 5"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Neither agree nor disagree </w:t>
            </w:r>
            <w:r>
              <w:rPr>
                <w:rFonts w:ascii="Times New Roman" w:hAnsi="Times New Roman" w:cs="Times New Roman"/>
                <w:noProof/>
              </w:rPr>
              <w:drawing>
                <wp:inline distT="0" distB="0" distL="0" distR="0" wp14:anchorId="09201BF4" wp14:editId="2FDD2686">
                  <wp:extent cx="181154" cy="181154"/>
                  <wp:effectExtent l="0" t="0" r="0" b="0"/>
                  <wp:docPr id="6" name="Graphic 6"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Somewhat disagree  </w:t>
            </w:r>
            <w:r>
              <w:rPr>
                <w:rFonts w:ascii="Times New Roman" w:hAnsi="Times New Roman" w:cs="Times New Roman"/>
                <w:noProof/>
              </w:rPr>
              <w:drawing>
                <wp:inline distT="0" distB="0" distL="0" distR="0" wp14:anchorId="12F8054C" wp14:editId="4FEFF93F">
                  <wp:extent cx="181154" cy="181154"/>
                  <wp:effectExtent l="0" t="0" r="0" b="0"/>
                  <wp:docPr id="7" name="Graphic 7"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Strongly disagree </w:t>
            </w:r>
          </w:p>
        </w:tc>
      </w:tr>
      <w:tr w:rsidR="00D84351" w14:paraId="286D0486" w14:textId="77777777" w:rsidTr="00D84351">
        <w:tc>
          <w:tcPr>
            <w:cnfStyle w:val="001000000000" w:firstRow="0" w:lastRow="0" w:firstColumn="1" w:lastColumn="0" w:oddVBand="0" w:evenVBand="0" w:oddHBand="0" w:evenHBand="0" w:firstRowFirstColumn="0" w:firstRowLastColumn="0" w:lastRowFirstColumn="0" w:lastRowLastColumn="0"/>
            <w:tcW w:w="9350" w:type="dxa"/>
          </w:tcPr>
          <w:p w14:paraId="0A880B36" w14:textId="77777777" w:rsidR="00D84351" w:rsidRDefault="00D84351" w:rsidP="00D84351">
            <w:pPr>
              <w:spacing w:line="480" w:lineRule="auto"/>
              <w:rPr>
                <w:rFonts w:ascii="Times New Roman" w:hAnsi="Times New Roman" w:cs="Times New Roman"/>
              </w:rPr>
            </w:pPr>
            <w:r>
              <w:rPr>
                <w:rFonts w:ascii="Times New Roman" w:hAnsi="Times New Roman" w:cs="Times New Roman"/>
                <w:b w:val="0"/>
                <w:bCs w:val="0"/>
              </w:rPr>
              <w:t xml:space="preserve">2.) </w:t>
            </w:r>
            <w:r w:rsidRPr="00D84351">
              <w:rPr>
                <w:rFonts w:ascii="Times New Roman" w:hAnsi="Times New Roman" w:cs="Times New Roman"/>
                <w:b w:val="0"/>
                <w:bCs w:val="0"/>
              </w:rPr>
              <w:t>To what extent would you agree that you spend too much time trying to locate the correct medication to order, according to the new formulary?</w:t>
            </w:r>
          </w:p>
          <w:p w14:paraId="50B41A97" w14:textId="2022BA36" w:rsidR="00D84351" w:rsidRPr="00D84351" w:rsidRDefault="00D84351" w:rsidP="00D84351">
            <w:pPr>
              <w:spacing w:line="480" w:lineRule="auto"/>
              <w:rPr>
                <w:rFonts w:ascii="Times New Roman" w:hAnsi="Times New Roman" w:cs="Times New Roman"/>
                <w:b w:val="0"/>
                <w:bCs w:val="0"/>
              </w:rPr>
            </w:pPr>
            <w:r>
              <w:rPr>
                <w:rFonts w:ascii="Times New Roman" w:hAnsi="Times New Roman" w:cs="Times New Roman"/>
                <w:noProof/>
              </w:rPr>
              <w:drawing>
                <wp:inline distT="0" distB="0" distL="0" distR="0" wp14:anchorId="6F4E67CE" wp14:editId="2DF140E6">
                  <wp:extent cx="181154" cy="181154"/>
                  <wp:effectExtent l="0" t="0" r="0" b="0"/>
                  <wp:docPr id="8" name="Graphic 8"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b w:val="0"/>
                <w:bCs w:val="0"/>
              </w:rPr>
              <w:t xml:space="preserve">Strong agree </w:t>
            </w:r>
            <w:r>
              <w:rPr>
                <w:rFonts w:ascii="Times New Roman" w:hAnsi="Times New Roman" w:cs="Times New Roman"/>
                <w:noProof/>
              </w:rPr>
              <w:drawing>
                <wp:inline distT="0" distB="0" distL="0" distR="0" wp14:anchorId="1B538329" wp14:editId="6DDB79EF">
                  <wp:extent cx="181154" cy="181154"/>
                  <wp:effectExtent l="0" t="0" r="0" b="0"/>
                  <wp:docPr id="9" name="Graphic 9"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Somewhat agree </w:t>
            </w:r>
            <w:r>
              <w:rPr>
                <w:rFonts w:ascii="Times New Roman" w:hAnsi="Times New Roman" w:cs="Times New Roman"/>
                <w:noProof/>
              </w:rPr>
              <w:drawing>
                <wp:inline distT="0" distB="0" distL="0" distR="0" wp14:anchorId="17E1AEF4" wp14:editId="4801741F">
                  <wp:extent cx="181154" cy="181154"/>
                  <wp:effectExtent l="0" t="0" r="0" b="0"/>
                  <wp:docPr id="10" name="Graphic 10"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Neither agree nor disagree </w:t>
            </w:r>
            <w:r>
              <w:rPr>
                <w:rFonts w:ascii="Times New Roman" w:hAnsi="Times New Roman" w:cs="Times New Roman"/>
                <w:noProof/>
              </w:rPr>
              <w:drawing>
                <wp:inline distT="0" distB="0" distL="0" distR="0" wp14:anchorId="7AD0ACEA" wp14:editId="32867D2D">
                  <wp:extent cx="181154" cy="181154"/>
                  <wp:effectExtent l="0" t="0" r="0" b="0"/>
                  <wp:docPr id="11" name="Graphic 11"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Somewhat disagree  </w:t>
            </w:r>
            <w:r>
              <w:rPr>
                <w:rFonts w:ascii="Times New Roman" w:hAnsi="Times New Roman" w:cs="Times New Roman"/>
                <w:noProof/>
              </w:rPr>
              <w:drawing>
                <wp:inline distT="0" distB="0" distL="0" distR="0" wp14:anchorId="6C7CFE0A" wp14:editId="122AA58B">
                  <wp:extent cx="181154" cy="181154"/>
                  <wp:effectExtent l="0" t="0" r="0" b="0"/>
                  <wp:docPr id="12" name="Graphic 12"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Strongly disagree</w:t>
            </w:r>
          </w:p>
        </w:tc>
      </w:tr>
      <w:tr w:rsidR="00D84351" w14:paraId="0C5F57DE" w14:textId="77777777" w:rsidTr="00D84351">
        <w:tc>
          <w:tcPr>
            <w:cnfStyle w:val="001000000000" w:firstRow="0" w:lastRow="0" w:firstColumn="1" w:lastColumn="0" w:oddVBand="0" w:evenVBand="0" w:oddHBand="0" w:evenHBand="0" w:firstRowFirstColumn="0" w:firstRowLastColumn="0" w:lastRowFirstColumn="0" w:lastRowLastColumn="0"/>
            <w:tcW w:w="9350" w:type="dxa"/>
          </w:tcPr>
          <w:p w14:paraId="22341FE8" w14:textId="77777777" w:rsidR="00D84351" w:rsidRDefault="00874AFC" w:rsidP="00874AFC">
            <w:pPr>
              <w:spacing w:line="480" w:lineRule="auto"/>
              <w:rPr>
                <w:rFonts w:ascii="Times New Roman" w:hAnsi="Times New Roman" w:cs="Times New Roman"/>
              </w:rPr>
            </w:pPr>
            <w:r>
              <w:rPr>
                <w:rFonts w:ascii="Times New Roman" w:hAnsi="Times New Roman" w:cs="Times New Roman"/>
                <w:b w:val="0"/>
                <w:bCs w:val="0"/>
              </w:rPr>
              <w:t xml:space="preserve">3.) </w:t>
            </w:r>
            <w:r w:rsidRPr="00874AFC">
              <w:rPr>
                <w:rFonts w:ascii="Times New Roman" w:hAnsi="Times New Roman" w:cs="Times New Roman"/>
                <w:b w:val="0"/>
                <w:bCs w:val="0"/>
              </w:rPr>
              <w:t xml:space="preserve">To what extent would you agree that you sometimes feel overwhelmed by the </w:t>
            </w:r>
            <w:proofErr w:type="gramStart"/>
            <w:r w:rsidRPr="00874AFC">
              <w:rPr>
                <w:rFonts w:ascii="Times New Roman" w:hAnsi="Times New Roman" w:cs="Times New Roman"/>
                <w:b w:val="0"/>
                <w:bCs w:val="0"/>
              </w:rPr>
              <w:t>amount</w:t>
            </w:r>
            <w:proofErr w:type="gramEnd"/>
            <w:r w:rsidRPr="00874AFC">
              <w:rPr>
                <w:rFonts w:ascii="Times New Roman" w:hAnsi="Times New Roman" w:cs="Times New Roman"/>
                <w:b w:val="0"/>
                <w:bCs w:val="0"/>
              </w:rPr>
              <w:t xml:space="preserve"> of available options for a specific medication when inputting medication orders?</w:t>
            </w:r>
          </w:p>
          <w:p w14:paraId="79535135" w14:textId="63FBED90" w:rsidR="00874AFC" w:rsidRPr="00874AFC" w:rsidRDefault="00874AFC" w:rsidP="00874AFC">
            <w:pPr>
              <w:spacing w:line="480" w:lineRule="auto"/>
              <w:rPr>
                <w:rFonts w:ascii="Times New Roman" w:hAnsi="Times New Roman" w:cs="Times New Roman"/>
                <w:b w:val="0"/>
                <w:bCs w:val="0"/>
              </w:rPr>
            </w:pPr>
            <w:r>
              <w:rPr>
                <w:rFonts w:ascii="Times New Roman" w:hAnsi="Times New Roman" w:cs="Times New Roman"/>
                <w:noProof/>
              </w:rPr>
              <w:drawing>
                <wp:inline distT="0" distB="0" distL="0" distR="0" wp14:anchorId="52D58E6B" wp14:editId="65C5884B">
                  <wp:extent cx="181154" cy="181154"/>
                  <wp:effectExtent l="0" t="0" r="0" b="0"/>
                  <wp:docPr id="13" name="Graphic 13"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b w:val="0"/>
                <w:bCs w:val="0"/>
              </w:rPr>
              <w:t xml:space="preserve">Strong agree </w:t>
            </w:r>
            <w:r>
              <w:rPr>
                <w:rFonts w:ascii="Times New Roman" w:hAnsi="Times New Roman" w:cs="Times New Roman"/>
                <w:noProof/>
              </w:rPr>
              <w:drawing>
                <wp:inline distT="0" distB="0" distL="0" distR="0" wp14:anchorId="660A94E3" wp14:editId="3EFEBB08">
                  <wp:extent cx="181154" cy="181154"/>
                  <wp:effectExtent l="0" t="0" r="0" b="0"/>
                  <wp:docPr id="14" name="Graphic 14"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Somewhat agree </w:t>
            </w:r>
            <w:r>
              <w:rPr>
                <w:rFonts w:ascii="Times New Roman" w:hAnsi="Times New Roman" w:cs="Times New Roman"/>
                <w:noProof/>
              </w:rPr>
              <w:drawing>
                <wp:inline distT="0" distB="0" distL="0" distR="0" wp14:anchorId="4D59F154" wp14:editId="0E8C120A">
                  <wp:extent cx="181154" cy="181154"/>
                  <wp:effectExtent l="0" t="0" r="0" b="0"/>
                  <wp:docPr id="15" name="Graphic 15"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Neither agree nor disagree </w:t>
            </w:r>
            <w:r>
              <w:rPr>
                <w:rFonts w:ascii="Times New Roman" w:hAnsi="Times New Roman" w:cs="Times New Roman"/>
                <w:noProof/>
              </w:rPr>
              <w:drawing>
                <wp:inline distT="0" distB="0" distL="0" distR="0" wp14:anchorId="2E9CBA0A" wp14:editId="4D99D225">
                  <wp:extent cx="181154" cy="181154"/>
                  <wp:effectExtent l="0" t="0" r="0" b="0"/>
                  <wp:docPr id="16" name="Graphic 16"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Somewhat disagree  </w:t>
            </w:r>
            <w:r>
              <w:rPr>
                <w:rFonts w:ascii="Times New Roman" w:hAnsi="Times New Roman" w:cs="Times New Roman"/>
                <w:noProof/>
              </w:rPr>
              <w:drawing>
                <wp:inline distT="0" distB="0" distL="0" distR="0" wp14:anchorId="211FBE58" wp14:editId="59D5F4D5">
                  <wp:extent cx="181154" cy="181154"/>
                  <wp:effectExtent l="0" t="0" r="0" b="0"/>
                  <wp:docPr id="17" name="Graphic 17"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Strongly disagree</w:t>
            </w:r>
          </w:p>
        </w:tc>
      </w:tr>
      <w:tr w:rsidR="00D84351" w14:paraId="4F8B913B" w14:textId="77777777" w:rsidTr="00D84351">
        <w:tc>
          <w:tcPr>
            <w:cnfStyle w:val="001000000000" w:firstRow="0" w:lastRow="0" w:firstColumn="1" w:lastColumn="0" w:oddVBand="0" w:evenVBand="0" w:oddHBand="0" w:evenHBand="0" w:firstRowFirstColumn="0" w:firstRowLastColumn="0" w:lastRowFirstColumn="0" w:lastRowLastColumn="0"/>
            <w:tcW w:w="9350" w:type="dxa"/>
          </w:tcPr>
          <w:p w14:paraId="40BA8BA2" w14:textId="73145357" w:rsidR="00D84351" w:rsidRPr="00874AFC" w:rsidRDefault="00874AFC" w:rsidP="00874AFC">
            <w:pPr>
              <w:spacing w:line="480" w:lineRule="auto"/>
              <w:rPr>
                <w:rFonts w:ascii="Times New Roman" w:hAnsi="Times New Roman" w:cs="Times New Roman"/>
                <w:b w:val="0"/>
                <w:bCs w:val="0"/>
              </w:rPr>
            </w:pPr>
            <w:r>
              <w:rPr>
                <w:rFonts w:ascii="Times New Roman" w:hAnsi="Times New Roman" w:cs="Times New Roman"/>
                <w:b w:val="0"/>
                <w:bCs w:val="0"/>
              </w:rPr>
              <w:t xml:space="preserve">4.) </w:t>
            </w:r>
            <w:r w:rsidRPr="00874AFC">
              <w:rPr>
                <w:rFonts w:ascii="Times New Roman" w:hAnsi="Times New Roman" w:cs="Times New Roman"/>
                <w:b w:val="0"/>
                <w:bCs w:val="0"/>
              </w:rPr>
              <w:t>Please list 3-5 medications that you feel are the most difficult to order, according to the new formulary.</w:t>
            </w:r>
            <w:r>
              <w:rPr>
                <w:rFonts w:ascii="Times New Roman" w:hAnsi="Times New Roman" w:cs="Times New Roman"/>
                <w:b w:val="0"/>
                <w:bCs w:val="0"/>
              </w:rPr>
              <w:t xml:space="preserve"> ____________________________________________________________</w:t>
            </w:r>
          </w:p>
        </w:tc>
      </w:tr>
      <w:tr w:rsidR="00D84351" w14:paraId="5653C6F3" w14:textId="77777777" w:rsidTr="00D84351">
        <w:tc>
          <w:tcPr>
            <w:cnfStyle w:val="001000000000" w:firstRow="0" w:lastRow="0" w:firstColumn="1" w:lastColumn="0" w:oddVBand="0" w:evenVBand="0" w:oddHBand="0" w:evenHBand="0" w:firstRowFirstColumn="0" w:firstRowLastColumn="0" w:lastRowFirstColumn="0" w:lastRowLastColumn="0"/>
            <w:tcW w:w="9350" w:type="dxa"/>
          </w:tcPr>
          <w:p w14:paraId="62CE0794" w14:textId="77777777" w:rsidR="00D84351" w:rsidRDefault="00874AFC" w:rsidP="00874AFC">
            <w:pPr>
              <w:spacing w:line="480" w:lineRule="auto"/>
              <w:rPr>
                <w:rFonts w:ascii="Times New Roman" w:hAnsi="Times New Roman" w:cs="Times New Roman"/>
              </w:rPr>
            </w:pPr>
            <w:r>
              <w:rPr>
                <w:rFonts w:ascii="Times New Roman" w:hAnsi="Times New Roman" w:cs="Times New Roman"/>
                <w:b w:val="0"/>
                <w:bCs w:val="0"/>
              </w:rPr>
              <w:t xml:space="preserve">5.) </w:t>
            </w:r>
            <w:r w:rsidRPr="00874AFC">
              <w:rPr>
                <w:rFonts w:ascii="Times New Roman" w:hAnsi="Times New Roman" w:cs="Times New Roman"/>
                <w:b w:val="0"/>
                <w:bCs w:val="0"/>
              </w:rPr>
              <w:t>Please list any other concerns you may have regarding the new formulary.</w:t>
            </w:r>
          </w:p>
          <w:p w14:paraId="384F53EF" w14:textId="6F3DBCE6" w:rsidR="00874AFC" w:rsidRPr="00874AFC" w:rsidRDefault="00874AFC" w:rsidP="00874AFC">
            <w:pPr>
              <w:spacing w:line="480" w:lineRule="auto"/>
              <w:rPr>
                <w:rFonts w:ascii="Times New Roman" w:hAnsi="Times New Roman" w:cs="Times New Roman"/>
                <w:b w:val="0"/>
                <w:bCs w:val="0"/>
              </w:rPr>
            </w:pPr>
            <w:r>
              <w:rPr>
                <w:rFonts w:ascii="Times New Roman" w:hAnsi="Times New Roman" w:cs="Times New Roman"/>
                <w:b w:val="0"/>
                <w:bCs w:val="0"/>
              </w:rPr>
              <w:t>_________________________________________________________________________</w:t>
            </w:r>
          </w:p>
        </w:tc>
      </w:tr>
      <w:tr w:rsidR="00D84351" w14:paraId="25EF86FD" w14:textId="77777777" w:rsidTr="00D84351">
        <w:tc>
          <w:tcPr>
            <w:cnfStyle w:val="001000000000" w:firstRow="0" w:lastRow="0" w:firstColumn="1" w:lastColumn="0" w:oddVBand="0" w:evenVBand="0" w:oddHBand="0" w:evenHBand="0" w:firstRowFirstColumn="0" w:firstRowLastColumn="0" w:lastRowFirstColumn="0" w:lastRowLastColumn="0"/>
            <w:tcW w:w="9350" w:type="dxa"/>
          </w:tcPr>
          <w:p w14:paraId="135B95B0" w14:textId="77777777" w:rsidR="00D84351" w:rsidRDefault="00874AFC" w:rsidP="00874AFC">
            <w:pPr>
              <w:spacing w:line="480" w:lineRule="auto"/>
              <w:rPr>
                <w:rFonts w:ascii="Times New Roman" w:hAnsi="Times New Roman" w:cs="Times New Roman"/>
              </w:rPr>
            </w:pPr>
            <w:r>
              <w:rPr>
                <w:rFonts w:ascii="Times New Roman" w:hAnsi="Times New Roman" w:cs="Times New Roman"/>
                <w:b w:val="0"/>
                <w:bCs w:val="0"/>
              </w:rPr>
              <w:t xml:space="preserve">6.) </w:t>
            </w:r>
            <w:r w:rsidRPr="00874AFC">
              <w:rPr>
                <w:rFonts w:ascii="Times New Roman" w:hAnsi="Times New Roman" w:cs="Times New Roman"/>
                <w:b w:val="0"/>
                <w:bCs w:val="0"/>
              </w:rPr>
              <w:t>How well do you feel that having a quick-reference guide for the most commonly prescribed medications would help you make the right formulary choice when inputting medication orders?</w:t>
            </w:r>
          </w:p>
          <w:p w14:paraId="67042AEC" w14:textId="656961B6" w:rsidR="00874AFC" w:rsidRPr="00874AFC" w:rsidRDefault="00874AFC" w:rsidP="00874AFC">
            <w:pPr>
              <w:spacing w:line="480" w:lineRule="auto"/>
              <w:rPr>
                <w:rFonts w:ascii="Times New Roman" w:hAnsi="Times New Roman" w:cs="Times New Roman"/>
                <w:b w:val="0"/>
                <w:bCs w:val="0"/>
              </w:rPr>
            </w:pPr>
            <w:r>
              <w:rPr>
                <w:rFonts w:ascii="Times New Roman" w:hAnsi="Times New Roman" w:cs="Times New Roman"/>
                <w:noProof/>
              </w:rPr>
              <w:drawing>
                <wp:inline distT="0" distB="0" distL="0" distR="0" wp14:anchorId="41D5837D" wp14:editId="3722249B">
                  <wp:extent cx="181154" cy="181154"/>
                  <wp:effectExtent l="0" t="0" r="0" b="0"/>
                  <wp:docPr id="18" name="Graphic 18"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b w:val="0"/>
                <w:bCs w:val="0"/>
              </w:rPr>
              <w:t xml:space="preserve">Extremely well </w:t>
            </w:r>
            <w:r>
              <w:rPr>
                <w:rFonts w:ascii="Times New Roman" w:hAnsi="Times New Roman" w:cs="Times New Roman"/>
                <w:noProof/>
              </w:rPr>
              <w:drawing>
                <wp:inline distT="0" distB="0" distL="0" distR="0" wp14:anchorId="33E3321D" wp14:editId="2E065A47">
                  <wp:extent cx="181154" cy="181154"/>
                  <wp:effectExtent l="0" t="0" r="0" b="0"/>
                  <wp:docPr id="19" name="Graphic 19"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Very well </w:t>
            </w:r>
            <w:r>
              <w:rPr>
                <w:rFonts w:ascii="Times New Roman" w:hAnsi="Times New Roman" w:cs="Times New Roman"/>
                <w:noProof/>
              </w:rPr>
              <w:drawing>
                <wp:inline distT="0" distB="0" distL="0" distR="0" wp14:anchorId="44C2242B" wp14:editId="66F25F4F">
                  <wp:extent cx="181154" cy="181154"/>
                  <wp:effectExtent l="0" t="0" r="0" b="0"/>
                  <wp:docPr id="20" name="Graphic 20"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Moderately well </w:t>
            </w:r>
            <w:r>
              <w:rPr>
                <w:rFonts w:ascii="Times New Roman" w:hAnsi="Times New Roman" w:cs="Times New Roman"/>
                <w:noProof/>
              </w:rPr>
              <w:drawing>
                <wp:inline distT="0" distB="0" distL="0" distR="0" wp14:anchorId="7B3F43CB" wp14:editId="4518CABE">
                  <wp:extent cx="181154" cy="181154"/>
                  <wp:effectExtent l="0" t="0" r="0" b="0"/>
                  <wp:docPr id="21" name="Graphic 21"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Slightly well  </w:t>
            </w:r>
            <w:r>
              <w:rPr>
                <w:rFonts w:ascii="Times New Roman" w:hAnsi="Times New Roman" w:cs="Times New Roman"/>
                <w:noProof/>
              </w:rPr>
              <w:drawing>
                <wp:inline distT="0" distB="0" distL="0" distR="0" wp14:anchorId="6326A893" wp14:editId="5D1DE92A">
                  <wp:extent cx="181154" cy="181154"/>
                  <wp:effectExtent l="0" t="0" r="0" b="0"/>
                  <wp:docPr id="22" name="Graphic 22"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Not well at all</w:t>
            </w:r>
          </w:p>
        </w:tc>
      </w:tr>
    </w:tbl>
    <w:p w14:paraId="4B57D5C9" w14:textId="672E1418" w:rsidR="0060573E" w:rsidRDefault="0060573E">
      <w:pPr>
        <w:rPr>
          <w:rFonts w:ascii="Times New Roman" w:hAnsi="Times New Roman" w:cs="Times New Roman"/>
        </w:rPr>
      </w:pPr>
    </w:p>
    <w:p w14:paraId="579FBF19" w14:textId="60455FCB" w:rsidR="00B15ECE" w:rsidRDefault="00B15ECE" w:rsidP="00B15ECE">
      <w:pPr>
        <w:spacing w:line="480" w:lineRule="auto"/>
        <w:ind w:left="720" w:hanging="720"/>
        <w:jc w:val="center"/>
        <w:rPr>
          <w:rFonts w:ascii="Times New Roman" w:hAnsi="Times New Roman" w:cs="Times New Roman"/>
          <w:b/>
          <w:bCs/>
        </w:rPr>
      </w:pPr>
      <w:r>
        <w:rPr>
          <w:rFonts w:ascii="Times New Roman" w:hAnsi="Times New Roman" w:cs="Times New Roman"/>
          <w:b/>
          <w:bCs/>
        </w:rPr>
        <w:lastRenderedPageBreak/>
        <w:t xml:space="preserve">Appendix </w:t>
      </w:r>
      <w:r w:rsidR="00840CB8">
        <w:rPr>
          <w:rFonts w:ascii="Times New Roman" w:hAnsi="Times New Roman" w:cs="Times New Roman"/>
          <w:b/>
          <w:bCs/>
        </w:rPr>
        <w:t>I</w:t>
      </w:r>
    </w:p>
    <w:p w14:paraId="6DC5C83D" w14:textId="00FCC18A" w:rsidR="00B15ECE" w:rsidRDefault="00B15ECE" w:rsidP="00B15ECE">
      <w:pPr>
        <w:spacing w:line="480" w:lineRule="auto"/>
        <w:ind w:left="720" w:hanging="720"/>
        <w:jc w:val="center"/>
        <w:rPr>
          <w:rFonts w:ascii="Times New Roman" w:hAnsi="Times New Roman" w:cs="Times New Roman"/>
        </w:rPr>
      </w:pPr>
      <w:r>
        <w:rPr>
          <w:rFonts w:ascii="Times New Roman" w:hAnsi="Times New Roman" w:cs="Times New Roman"/>
        </w:rPr>
        <w:t>Post-implementation Nurse Survey</w:t>
      </w:r>
    </w:p>
    <w:tbl>
      <w:tblPr>
        <w:tblStyle w:val="GridTable1Light-Accent1"/>
        <w:tblW w:w="0" w:type="auto"/>
        <w:tblLook w:val="04A0" w:firstRow="1" w:lastRow="0" w:firstColumn="1" w:lastColumn="0" w:noHBand="0" w:noVBand="1"/>
      </w:tblPr>
      <w:tblGrid>
        <w:gridCol w:w="9350"/>
      </w:tblGrid>
      <w:tr w:rsidR="00B15ECE" w:rsidRPr="00D84351" w14:paraId="3B82D9C9" w14:textId="77777777" w:rsidTr="00CB15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tcPr>
          <w:p w14:paraId="6956EA55" w14:textId="7BC1F678" w:rsidR="00B15ECE" w:rsidRPr="00B15ECE" w:rsidRDefault="00B15ECE" w:rsidP="00CB1516">
            <w:pPr>
              <w:spacing w:line="480" w:lineRule="auto"/>
              <w:rPr>
                <w:rFonts w:ascii="Times New Roman" w:hAnsi="Times New Roman" w:cs="Times New Roman"/>
              </w:rPr>
            </w:pPr>
            <w:r>
              <w:rPr>
                <w:rFonts w:ascii="Times New Roman" w:hAnsi="Times New Roman" w:cs="Times New Roman"/>
                <w:b w:val="0"/>
                <w:bCs w:val="0"/>
              </w:rPr>
              <w:t xml:space="preserve">1.) </w:t>
            </w:r>
            <w:r w:rsidRPr="00B15ECE">
              <w:rPr>
                <w:rFonts w:ascii="Times New Roman" w:hAnsi="Times New Roman" w:cs="Times New Roman"/>
                <w:b w:val="0"/>
                <w:bCs w:val="0"/>
              </w:rPr>
              <w:t>When was the last time you used the quick-reference medication tool?</w:t>
            </w:r>
          </w:p>
          <w:p w14:paraId="4668BF61" w14:textId="1AFFAAF7" w:rsidR="00B15ECE" w:rsidRPr="00D84351" w:rsidRDefault="00B15ECE" w:rsidP="00CB1516">
            <w:pPr>
              <w:spacing w:line="480" w:lineRule="auto"/>
              <w:rPr>
                <w:rFonts w:ascii="Times New Roman" w:hAnsi="Times New Roman" w:cs="Times New Roman"/>
                <w:b w:val="0"/>
                <w:bCs w:val="0"/>
              </w:rPr>
            </w:pPr>
            <w:r>
              <w:rPr>
                <w:rFonts w:ascii="Times New Roman" w:hAnsi="Times New Roman" w:cs="Times New Roman"/>
                <w:noProof/>
              </w:rPr>
              <w:drawing>
                <wp:inline distT="0" distB="0" distL="0" distR="0" wp14:anchorId="51592A67" wp14:editId="64BC990B">
                  <wp:extent cx="181154" cy="181154"/>
                  <wp:effectExtent l="0" t="0" r="0" b="0"/>
                  <wp:docPr id="27" name="Graphic 27"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b w:val="0"/>
                <w:bCs w:val="0"/>
              </w:rPr>
              <w:t xml:space="preserve">In the past week </w:t>
            </w:r>
            <w:r>
              <w:rPr>
                <w:rFonts w:ascii="Times New Roman" w:hAnsi="Times New Roman" w:cs="Times New Roman"/>
                <w:noProof/>
              </w:rPr>
              <w:drawing>
                <wp:inline distT="0" distB="0" distL="0" distR="0" wp14:anchorId="32481CDB" wp14:editId="1387B994">
                  <wp:extent cx="181154" cy="181154"/>
                  <wp:effectExtent l="0" t="0" r="0" b="0"/>
                  <wp:docPr id="28" name="Graphic 28"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Not in the past week, but in the past month </w:t>
            </w:r>
            <w:r>
              <w:rPr>
                <w:rFonts w:ascii="Times New Roman" w:hAnsi="Times New Roman" w:cs="Times New Roman"/>
                <w:noProof/>
              </w:rPr>
              <w:drawing>
                <wp:inline distT="0" distB="0" distL="0" distR="0" wp14:anchorId="58E72932" wp14:editId="3724597A">
                  <wp:extent cx="181154" cy="181154"/>
                  <wp:effectExtent l="0" t="0" r="0" b="0"/>
                  <wp:docPr id="29" name="Graphic 29"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Not in the past month, but in the past 3 months </w:t>
            </w:r>
            <w:r>
              <w:rPr>
                <w:rFonts w:ascii="Times New Roman" w:hAnsi="Times New Roman" w:cs="Times New Roman"/>
                <w:noProof/>
              </w:rPr>
              <w:drawing>
                <wp:inline distT="0" distB="0" distL="0" distR="0" wp14:anchorId="08896FE5" wp14:editId="1B965E1D">
                  <wp:extent cx="181154" cy="181154"/>
                  <wp:effectExtent l="0" t="0" r="0" b="0"/>
                  <wp:docPr id="30" name="Graphic 30"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Never used </w:t>
            </w:r>
          </w:p>
        </w:tc>
      </w:tr>
      <w:tr w:rsidR="00B15ECE" w:rsidRPr="00D84351" w14:paraId="405D1F52" w14:textId="77777777" w:rsidTr="00CB1516">
        <w:tc>
          <w:tcPr>
            <w:cnfStyle w:val="001000000000" w:firstRow="0" w:lastRow="0" w:firstColumn="1" w:lastColumn="0" w:oddVBand="0" w:evenVBand="0" w:oddHBand="0" w:evenHBand="0" w:firstRowFirstColumn="0" w:firstRowLastColumn="0" w:lastRowFirstColumn="0" w:lastRowLastColumn="0"/>
            <w:tcW w:w="9350" w:type="dxa"/>
          </w:tcPr>
          <w:p w14:paraId="25E9BCED" w14:textId="6FD592B3" w:rsidR="00B15ECE" w:rsidRDefault="00B15ECE" w:rsidP="00CB1516">
            <w:pPr>
              <w:spacing w:line="480" w:lineRule="auto"/>
              <w:rPr>
                <w:rFonts w:ascii="Times New Roman" w:hAnsi="Times New Roman" w:cs="Times New Roman"/>
              </w:rPr>
            </w:pPr>
            <w:r>
              <w:rPr>
                <w:rFonts w:ascii="Times New Roman" w:hAnsi="Times New Roman" w:cs="Times New Roman"/>
                <w:b w:val="0"/>
                <w:bCs w:val="0"/>
              </w:rPr>
              <w:t xml:space="preserve">2.) </w:t>
            </w:r>
            <w:r w:rsidRPr="00B15ECE">
              <w:rPr>
                <w:rFonts w:ascii="Times New Roman" w:hAnsi="Times New Roman" w:cs="Times New Roman"/>
                <w:b w:val="0"/>
                <w:bCs w:val="0"/>
              </w:rPr>
              <w:t>How often do you use the quick-reference medication tool?</w:t>
            </w:r>
          </w:p>
          <w:p w14:paraId="13019FD3" w14:textId="581D4050" w:rsidR="00B15ECE" w:rsidRPr="00D84351" w:rsidRDefault="00B15ECE" w:rsidP="00CB1516">
            <w:pPr>
              <w:spacing w:line="480" w:lineRule="auto"/>
              <w:rPr>
                <w:rFonts w:ascii="Times New Roman" w:hAnsi="Times New Roman" w:cs="Times New Roman"/>
                <w:b w:val="0"/>
                <w:bCs w:val="0"/>
              </w:rPr>
            </w:pPr>
            <w:r>
              <w:rPr>
                <w:rFonts w:ascii="Times New Roman" w:hAnsi="Times New Roman" w:cs="Times New Roman"/>
                <w:noProof/>
              </w:rPr>
              <w:drawing>
                <wp:inline distT="0" distB="0" distL="0" distR="0" wp14:anchorId="362E7B74" wp14:editId="3042E7E9">
                  <wp:extent cx="181154" cy="181154"/>
                  <wp:effectExtent l="0" t="0" r="0" b="0"/>
                  <wp:docPr id="32" name="Graphic 32"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b w:val="0"/>
                <w:bCs w:val="0"/>
              </w:rPr>
              <w:t xml:space="preserve">Daily </w:t>
            </w:r>
            <w:r>
              <w:rPr>
                <w:rFonts w:ascii="Times New Roman" w:hAnsi="Times New Roman" w:cs="Times New Roman"/>
                <w:noProof/>
              </w:rPr>
              <w:drawing>
                <wp:inline distT="0" distB="0" distL="0" distR="0" wp14:anchorId="11C79629" wp14:editId="30D8656F">
                  <wp:extent cx="181154" cy="181154"/>
                  <wp:effectExtent l="0" t="0" r="0" b="0"/>
                  <wp:docPr id="33" name="Graphic 33"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Weekly </w:t>
            </w:r>
            <w:r>
              <w:rPr>
                <w:rFonts w:ascii="Times New Roman" w:hAnsi="Times New Roman" w:cs="Times New Roman"/>
                <w:noProof/>
              </w:rPr>
              <w:drawing>
                <wp:inline distT="0" distB="0" distL="0" distR="0" wp14:anchorId="78B81230" wp14:editId="489EA47D">
                  <wp:extent cx="181154" cy="181154"/>
                  <wp:effectExtent l="0" t="0" r="0" b="0"/>
                  <wp:docPr id="34" name="Graphic 34"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Monthly </w:t>
            </w:r>
            <w:r>
              <w:rPr>
                <w:rFonts w:ascii="Times New Roman" w:hAnsi="Times New Roman" w:cs="Times New Roman"/>
                <w:noProof/>
              </w:rPr>
              <w:drawing>
                <wp:inline distT="0" distB="0" distL="0" distR="0" wp14:anchorId="09191C5D" wp14:editId="2361E42B">
                  <wp:extent cx="181154" cy="181154"/>
                  <wp:effectExtent l="0" t="0" r="0" b="0"/>
                  <wp:docPr id="35" name="Graphic 35"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Rarely</w:t>
            </w:r>
            <w:r>
              <w:rPr>
                <w:rFonts w:ascii="Times New Roman" w:hAnsi="Times New Roman" w:cs="Times New Roman"/>
                <w:noProof/>
              </w:rPr>
              <w:drawing>
                <wp:inline distT="0" distB="0" distL="0" distR="0" wp14:anchorId="7D7B0AED" wp14:editId="745F26F9">
                  <wp:extent cx="181154" cy="181154"/>
                  <wp:effectExtent l="0" t="0" r="0" b="0"/>
                  <wp:docPr id="36" name="Graphic 36"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Never</w:t>
            </w:r>
          </w:p>
        </w:tc>
      </w:tr>
      <w:tr w:rsidR="00B15ECE" w:rsidRPr="00874AFC" w14:paraId="073E08D3" w14:textId="77777777" w:rsidTr="00CB1516">
        <w:tc>
          <w:tcPr>
            <w:cnfStyle w:val="001000000000" w:firstRow="0" w:lastRow="0" w:firstColumn="1" w:lastColumn="0" w:oddVBand="0" w:evenVBand="0" w:oddHBand="0" w:evenHBand="0" w:firstRowFirstColumn="0" w:firstRowLastColumn="0" w:lastRowFirstColumn="0" w:lastRowLastColumn="0"/>
            <w:tcW w:w="9350" w:type="dxa"/>
          </w:tcPr>
          <w:p w14:paraId="4F875312" w14:textId="5F586D0B" w:rsidR="00B15ECE" w:rsidRDefault="00B15ECE" w:rsidP="00CB1516">
            <w:pPr>
              <w:spacing w:line="480" w:lineRule="auto"/>
              <w:rPr>
                <w:rFonts w:ascii="Times New Roman" w:hAnsi="Times New Roman" w:cs="Times New Roman"/>
              </w:rPr>
            </w:pPr>
            <w:r>
              <w:rPr>
                <w:rFonts w:ascii="Times New Roman" w:hAnsi="Times New Roman" w:cs="Times New Roman"/>
                <w:b w:val="0"/>
                <w:bCs w:val="0"/>
              </w:rPr>
              <w:t xml:space="preserve">3.) </w:t>
            </w:r>
            <w:r w:rsidRPr="00B15ECE">
              <w:rPr>
                <w:rFonts w:ascii="Times New Roman" w:hAnsi="Times New Roman" w:cs="Times New Roman"/>
                <w:b w:val="0"/>
                <w:bCs w:val="0"/>
              </w:rPr>
              <w:t>How easy or difficult is it to use the quick-reference medication tool?</w:t>
            </w:r>
          </w:p>
          <w:p w14:paraId="1E518F21" w14:textId="2523F7FD" w:rsidR="00B15ECE" w:rsidRDefault="005D501E" w:rsidP="00CB1516">
            <w:pPr>
              <w:spacing w:line="480" w:lineRule="auto"/>
              <w:rPr>
                <w:rFonts w:ascii="Times New Roman" w:hAnsi="Times New Roman" w:cs="Times New Roman"/>
              </w:rPr>
            </w:pPr>
            <w:r>
              <w:rPr>
                <w:b w:val="0"/>
                <w:bCs w:val="0"/>
                <w:noProof/>
              </w:rPr>
              <w:pict w14:anchorId="37B21676">
                <v:shape id="Graphic 37" o:spid="_x0000_i1025" type="#_x0000_t75" alt="Stop outline" style="width:13.95pt;height:13.95pt;visibility:visible;mso-wrap-style:square;mso-width-percent:0;mso-height-percent:0;mso-width-percent:0;mso-height-percent:0">
                  <v:imagedata r:id="rId53" o:title="Stop outline"/>
                </v:shape>
              </w:pict>
            </w:r>
            <w:r w:rsidR="00B15ECE">
              <w:rPr>
                <w:rFonts w:ascii="Times New Roman" w:hAnsi="Times New Roman" w:cs="Times New Roman"/>
              </w:rPr>
              <w:t xml:space="preserve"> </w:t>
            </w:r>
            <w:r w:rsidR="00B15ECE">
              <w:rPr>
                <w:rFonts w:ascii="Times New Roman" w:hAnsi="Times New Roman" w:cs="Times New Roman"/>
                <w:b w:val="0"/>
                <w:bCs w:val="0"/>
              </w:rPr>
              <w:t xml:space="preserve">Extremely easy </w:t>
            </w:r>
            <w:r w:rsidR="00B15ECE">
              <w:rPr>
                <w:rFonts w:ascii="Times New Roman" w:hAnsi="Times New Roman" w:cs="Times New Roman"/>
                <w:noProof/>
              </w:rPr>
              <w:drawing>
                <wp:inline distT="0" distB="0" distL="0" distR="0" wp14:anchorId="3D1DD4CD" wp14:editId="3C79963D">
                  <wp:extent cx="181154" cy="181154"/>
                  <wp:effectExtent l="0" t="0" r="0" b="0"/>
                  <wp:docPr id="38" name="Graphic 38"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sidR="00B15ECE">
              <w:rPr>
                <w:rFonts w:ascii="Times New Roman" w:hAnsi="Times New Roman" w:cs="Times New Roman"/>
                <w:b w:val="0"/>
                <w:bCs w:val="0"/>
              </w:rPr>
              <w:t xml:space="preserve"> Moderately easy </w:t>
            </w:r>
            <w:r w:rsidR="00B15ECE">
              <w:rPr>
                <w:rFonts w:ascii="Times New Roman" w:hAnsi="Times New Roman" w:cs="Times New Roman"/>
                <w:noProof/>
              </w:rPr>
              <w:drawing>
                <wp:inline distT="0" distB="0" distL="0" distR="0" wp14:anchorId="1F856CDE" wp14:editId="5CAE37CB">
                  <wp:extent cx="181154" cy="181154"/>
                  <wp:effectExtent l="0" t="0" r="0" b="0"/>
                  <wp:docPr id="39" name="Graphic 39"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sidR="00B15ECE">
              <w:rPr>
                <w:rFonts w:ascii="Times New Roman" w:hAnsi="Times New Roman" w:cs="Times New Roman"/>
                <w:b w:val="0"/>
                <w:bCs w:val="0"/>
              </w:rPr>
              <w:t xml:space="preserve"> Slightly easy </w:t>
            </w:r>
            <w:r w:rsidR="00B15ECE">
              <w:rPr>
                <w:rFonts w:ascii="Times New Roman" w:hAnsi="Times New Roman" w:cs="Times New Roman"/>
                <w:noProof/>
              </w:rPr>
              <w:drawing>
                <wp:inline distT="0" distB="0" distL="0" distR="0" wp14:anchorId="229F5AF6" wp14:editId="56715EA4">
                  <wp:extent cx="181154" cy="181154"/>
                  <wp:effectExtent l="0" t="0" r="0" b="0"/>
                  <wp:docPr id="40" name="Graphic 40"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sidR="00B15ECE">
              <w:rPr>
                <w:rFonts w:ascii="Times New Roman" w:hAnsi="Times New Roman" w:cs="Times New Roman"/>
                <w:b w:val="0"/>
                <w:bCs w:val="0"/>
              </w:rPr>
              <w:t xml:space="preserve"> Neither easy nor difficult </w:t>
            </w:r>
          </w:p>
          <w:p w14:paraId="158AC1EB" w14:textId="613A1DBD" w:rsidR="00B15ECE" w:rsidRPr="00874AFC" w:rsidRDefault="00B15ECE" w:rsidP="00CB1516">
            <w:pPr>
              <w:spacing w:line="480" w:lineRule="auto"/>
              <w:rPr>
                <w:rFonts w:ascii="Times New Roman" w:hAnsi="Times New Roman" w:cs="Times New Roman"/>
                <w:b w:val="0"/>
                <w:bCs w:val="0"/>
              </w:rPr>
            </w:pPr>
            <w:r>
              <w:rPr>
                <w:rFonts w:ascii="Times New Roman" w:hAnsi="Times New Roman" w:cs="Times New Roman"/>
                <w:noProof/>
              </w:rPr>
              <w:drawing>
                <wp:inline distT="0" distB="0" distL="0" distR="0" wp14:anchorId="56489A29" wp14:editId="3A4EF5E7">
                  <wp:extent cx="181154" cy="181154"/>
                  <wp:effectExtent l="0" t="0" r="0" b="0"/>
                  <wp:docPr id="41" name="Graphic 41"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Slightly difficult </w:t>
            </w:r>
            <w:r>
              <w:rPr>
                <w:rFonts w:ascii="Times New Roman" w:hAnsi="Times New Roman" w:cs="Times New Roman"/>
                <w:noProof/>
              </w:rPr>
              <w:drawing>
                <wp:inline distT="0" distB="0" distL="0" distR="0" wp14:anchorId="6764F8F1" wp14:editId="27AF30BC">
                  <wp:extent cx="181154" cy="181154"/>
                  <wp:effectExtent l="0" t="0" r="0" b="0"/>
                  <wp:docPr id="48" name="Graphic 48"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Moderately difficult </w:t>
            </w:r>
            <w:r>
              <w:rPr>
                <w:rFonts w:ascii="Times New Roman" w:hAnsi="Times New Roman" w:cs="Times New Roman"/>
                <w:noProof/>
              </w:rPr>
              <w:drawing>
                <wp:inline distT="0" distB="0" distL="0" distR="0" wp14:anchorId="55A5B03D" wp14:editId="5066F844">
                  <wp:extent cx="181154" cy="181154"/>
                  <wp:effectExtent l="0" t="0" r="0" b="0"/>
                  <wp:docPr id="49" name="Graphic 49"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Extremely difficult</w:t>
            </w:r>
          </w:p>
        </w:tc>
      </w:tr>
      <w:tr w:rsidR="00B15ECE" w:rsidRPr="00874AFC" w14:paraId="02CE4BD6" w14:textId="77777777" w:rsidTr="00CB1516">
        <w:tc>
          <w:tcPr>
            <w:cnfStyle w:val="001000000000" w:firstRow="0" w:lastRow="0" w:firstColumn="1" w:lastColumn="0" w:oddVBand="0" w:evenVBand="0" w:oddHBand="0" w:evenHBand="0" w:firstRowFirstColumn="0" w:firstRowLastColumn="0" w:lastRowFirstColumn="0" w:lastRowLastColumn="0"/>
            <w:tcW w:w="9350" w:type="dxa"/>
          </w:tcPr>
          <w:p w14:paraId="0698BA9F" w14:textId="77777777" w:rsidR="00B15ECE" w:rsidRDefault="00B15ECE" w:rsidP="00B15ECE">
            <w:pPr>
              <w:spacing w:line="480" w:lineRule="auto"/>
              <w:rPr>
                <w:rFonts w:ascii="Times New Roman" w:hAnsi="Times New Roman" w:cs="Times New Roman"/>
              </w:rPr>
            </w:pPr>
            <w:r>
              <w:rPr>
                <w:rFonts w:ascii="Times New Roman" w:hAnsi="Times New Roman" w:cs="Times New Roman"/>
                <w:b w:val="0"/>
                <w:bCs w:val="0"/>
              </w:rPr>
              <w:t xml:space="preserve">4.) </w:t>
            </w:r>
            <w:r w:rsidRPr="00B15ECE">
              <w:rPr>
                <w:rFonts w:ascii="Times New Roman" w:hAnsi="Times New Roman" w:cs="Times New Roman"/>
                <w:b w:val="0"/>
                <w:bCs w:val="0"/>
              </w:rPr>
              <w:t>How well would you say that the quick-reference tool has assisted you in choosing the correct formulary medication?</w:t>
            </w:r>
          </w:p>
          <w:p w14:paraId="71E53FD2" w14:textId="2C3C1977" w:rsidR="00B15ECE" w:rsidRPr="00874AFC" w:rsidRDefault="00B15ECE" w:rsidP="00B15ECE">
            <w:pPr>
              <w:spacing w:line="480" w:lineRule="auto"/>
              <w:rPr>
                <w:rFonts w:ascii="Times New Roman" w:hAnsi="Times New Roman" w:cs="Times New Roman"/>
                <w:b w:val="0"/>
                <w:bCs w:val="0"/>
              </w:rPr>
            </w:pPr>
            <w:r>
              <w:rPr>
                <w:rFonts w:ascii="Times New Roman" w:hAnsi="Times New Roman" w:cs="Times New Roman"/>
                <w:noProof/>
              </w:rPr>
              <w:drawing>
                <wp:inline distT="0" distB="0" distL="0" distR="0" wp14:anchorId="18A9AA72" wp14:editId="3FFCA471">
                  <wp:extent cx="181154" cy="181154"/>
                  <wp:effectExtent l="0" t="0" r="0" b="0"/>
                  <wp:docPr id="42" name="Graphic 42"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b w:val="0"/>
                <w:bCs w:val="0"/>
              </w:rPr>
              <w:t xml:space="preserve">Extremely well </w:t>
            </w:r>
            <w:r>
              <w:rPr>
                <w:rFonts w:ascii="Times New Roman" w:hAnsi="Times New Roman" w:cs="Times New Roman"/>
                <w:noProof/>
              </w:rPr>
              <w:drawing>
                <wp:inline distT="0" distB="0" distL="0" distR="0" wp14:anchorId="5A3D5266" wp14:editId="7D8EFA9A">
                  <wp:extent cx="181154" cy="181154"/>
                  <wp:effectExtent l="0" t="0" r="0" b="0"/>
                  <wp:docPr id="43" name="Graphic 43"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Very well </w:t>
            </w:r>
            <w:r>
              <w:rPr>
                <w:rFonts w:ascii="Times New Roman" w:hAnsi="Times New Roman" w:cs="Times New Roman"/>
                <w:noProof/>
              </w:rPr>
              <w:drawing>
                <wp:inline distT="0" distB="0" distL="0" distR="0" wp14:anchorId="7130E732" wp14:editId="7C224FBD">
                  <wp:extent cx="181154" cy="181154"/>
                  <wp:effectExtent l="0" t="0" r="0" b="0"/>
                  <wp:docPr id="44" name="Graphic 44"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Moderately well </w:t>
            </w:r>
            <w:r>
              <w:rPr>
                <w:rFonts w:ascii="Times New Roman" w:hAnsi="Times New Roman" w:cs="Times New Roman"/>
                <w:noProof/>
              </w:rPr>
              <w:drawing>
                <wp:inline distT="0" distB="0" distL="0" distR="0" wp14:anchorId="4B59F920" wp14:editId="55B71704">
                  <wp:extent cx="181154" cy="181154"/>
                  <wp:effectExtent l="0" t="0" r="0" b="0"/>
                  <wp:docPr id="45" name="Graphic 45"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Slightly well  </w:t>
            </w:r>
            <w:r>
              <w:rPr>
                <w:rFonts w:ascii="Times New Roman" w:hAnsi="Times New Roman" w:cs="Times New Roman"/>
                <w:noProof/>
              </w:rPr>
              <w:drawing>
                <wp:inline distT="0" distB="0" distL="0" distR="0" wp14:anchorId="6BFADED9" wp14:editId="12442857">
                  <wp:extent cx="181154" cy="181154"/>
                  <wp:effectExtent l="0" t="0" r="0" b="0"/>
                  <wp:docPr id="46" name="Graphic 46"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Not well at all</w:t>
            </w:r>
          </w:p>
        </w:tc>
      </w:tr>
      <w:tr w:rsidR="00B15ECE" w:rsidRPr="00874AFC" w14:paraId="17C8E578" w14:textId="77777777" w:rsidTr="00CB1516">
        <w:tc>
          <w:tcPr>
            <w:cnfStyle w:val="001000000000" w:firstRow="0" w:lastRow="0" w:firstColumn="1" w:lastColumn="0" w:oddVBand="0" w:evenVBand="0" w:oddHBand="0" w:evenHBand="0" w:firstRowFirstColumn="0" w:firstRowLastColumn="0" w:lastRowFirstColumn="0" w:lastRowLastColumn="0"/>
            <w:tcW w:w="9350" w:type="dxa"/>
          </w:tcPr>
          <w:p w14:paraId="31F9AD8D" w14:textId="77777777" w:rsidR="00B15ECE" w:rsidRDefault="00B15ECE" w:rsidP="00CB1516">
            <w:pPr>
              <w:spacing w:line="480" w:lineRule="auto"/>
              <w:rPr>
                <w:rFonts w:ascii="Times New Roman" w:hAnsi="Times New Roman" w:cs="Times New Roman"/>
              </w:rPr>
            </w:pPr>
            <w:r>
              <w:rPr>
                <w:rFonts w:ascii="Times New Roman" w:hAnsi="Times New Roman" w:cs="Times New Roman"/>
                <w:b w:val="0"/>
                <w:bCs w:val="0"/>
              </w:rPr>
              <w:t xml:space="preserve">5.) </w:t>
            </w:r>
            <w:r w:rsidRPr="00B15ECE">
              <w:rPr>
                <w:rFonts w:ascii="Times New Roman" w:hAnsi="Times New Roman" w:cs="Times New Roman"/>
                <w:b w:val="0"/>
                <w:bCs w:val="0"/>
              </w:rPr>
              <w:t>To what extent would you agree that the quick-reference tool enabled you to save time when inputting certain medication orders?</w:t>
            </w:r>
          </w:p>
          <w:p w14:paraId="14F1B567" w14:textId="5283C2FA" w:rsidR="00B15ECE" w:rsidRPr="00874AFC" w:rsidRDefault="00B15ECE" w:rsidP="00CB1516">
            <w:pPr>
              <w:spacing w:line="480" w:lineRule="auto"/>
              <w:rPr>
                <w:rFonts w:ascii="Times New Roman" w:hAnsi="Times New Roman" w:cs="Times New Roman"/>
                <w:b w:val="0"/>
                <w:bCs w:val="0"/>
              </w:rPr>
            </w:pPr>
            <w:r>
              <w:rPr>
                <w:rFonts w:ascii="Times New Roman" w:hAnsi="Times New Roman" w:cs="Times New Roman"/>
                <w:noProof/>
              </w:rPr>
              <w:drawing>
                <wp:inline distT="0" distB="0" distL="0" distR="0" wp14:anchorId="23DBD8F9" wp14:editId="441F8E5D">
                  <wp:extent cx="181154" cy="181154"/>
                  <wp:effectExtent l="0" t="0" r="0" b="0"/>
                  <wp:docPr id="50" name="Graphic 50"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b w:val="0"/>
                <w:bCs w:val="0"/>
              </w:rPr>
              <w:t xml:space="preserve">Strong agree </w:t>
            </w:r>
            <w:r>
              <w:rPr>
                <w:rFonts w:ascii="Times New Roman" w:hAnsi="Times New Roman" w:cs="Times New Roman"/>
                <w:noProof/>
              </w:rPr>
              <w:drawing>
                <wp:inline distT="0" distB="0" distL="0" distR="0" wp14:anchorId="09A571AF" wp14:editId="2B070FA2">
                  <wp:extent cx="181154" cy="181154"/>
                  <wp:effectExtent l="0" t="0" r="0" b="0"/>
                  <wp:docPr id="51" name="Graphic 51"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Somewhat agree </w:t>
            </w:r>
            <w:r>
              <w:rPr>
                <w:rFonts w:ascii="Times New Roman" w:hAnsi="Times New Roman" w:cs="Times New Roman"/>
                <w:noProof/>
              </w:rPr>
              <w:drawing>
                <wp:inline distT="0" distB="0" distL="0" distR="0" wp14:anchorId="48EF7126" wp14:editId="24D49A98">
                  <wp:extent cx="181154" cy="181154"/>
                  <wp:effectExtent l="0" t="0" r="0" b="0"/>
                  <wp:docPr id="52" name="Graphic 52"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Neither agree nor disagree </w:t>
            </w:r>
            <w:r>
              <w:rPr>
                <w:rFonts w:ascii="Times New Roman" w:hAnsi="Times New Roman" w:cs="Times New Roman"/>
                <w:noProof/>
              </w:rPr>
              <w:drawing>
                <wp:inline distT="0" distB="0" distL="0" distR="0" wp14:anchorId="0B3B8041" wp14:editId="04B3F896">
                  <wp:extent cx="181154" cy="181154"/>
                  <wp:effectExtent l="0" t="0" r="0" b="0"/>
                  <wp:docPr id="53" name="Graphic 53"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Somewhat disagree  </w:t>
            </w:r>
            <w:r>
              <w:rPr>
                <w:rFonts w:ascii="Times New Roman" w:hAnsi="Times New Roman" w:cs="Times New Roman"/>
                <w:noProof/>
              </w:rPr>
              <w:drawing>
                <wp:inline distT="0" distB="0" distL="0" distR="0" wp14:anchorId="07544419" wp14:editId="46C53000">
                  <wp:extent cx="181154" cy="181154"/>
                  <wp:effectExtent l="0" t="0" r="0" b="0"/>
                  <wp:docPr id="54" name="Graphic 54"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Strongly disagree</w:t>
            </w:r>
          </w:p>
        </w:tc>
      </w:tr>
      <w:tr w:rsidR="00B15ECE" w:rsidRPr="00874AFC" w14:paraId="16262B55" w14:textId="77777777" w:rsidTr="00CB1516">
        <w:tc>
          <w:tcPr>
            <w:cnfStyle w:val="001000000000" w:firstRow="0" w:lastRow="0" w:firstColumn="1" w:lastColumn="0" w:oddVBand="0" w:evenVBand="0" w:oddHBand="0" w:evenHBand="0" w:firstRowFirstColumn="0" w:firstRowLastColumn="0" w:lastRowFirstColumn="0" w:lastRowLastColumn="0"/>
            <w:tcW w:w="9350" w:type="dxa"/>
          </w:tcPr>
          <w:p w14:paraId="1117F727" w14:textId="7AFE1E2D" w:rsidR="00B15ECE" w:rsidRPr="00874AFC" w:rsidRDefault="00B15ECE" w:rsidP="00B15ECE">
            <w:pPr>
              <w:spacing w:line="480" w:lineRule="auto"/>
              <w:rPr>
                <w:rFonts w:ascii="Times New Roman" w:hAnsi="Times New Roman" w:cs="Times New Roman"/>
              </w:rPr>
            </w:pPr>
            <w:r>
              <w:rPr>
                <w:rFonts w:ascii="Times New Roman" w:hAnsi="Times New Roman" w:cs="Times New Roman"/>
                <w:b w:val="0"/>
                <w:bCs w:val="0"/>
              </w:rPr>
              <w:t xml:space="preserve">6.) </w:t>
            </w:r>
            <w:r w:rsidRPr="00B15ECE">
              <w:rPr>
                <w:rFonts w:ascii="Times New Roman" w:hAnsi="Times New Roman" w:cs="Times New Roman"/>
                <w:b w:val="0"/>
                <w:bCs w:val="0"/>
              </w:rPr>
              <w:t xml:space="preserve">Overall, how </w:t>
            </w:r>
            <w:proofErr w:type="gramStart"/>
            <w:r w:rsidRPr="00B15ECE">
              <w:rPr>
                <w:rFonts w:ascii="Times New Roman" w:hAnsi="Times New Roman" w:cs="Times New Roman"/>
                <w:b w:val="0"/>
                <w:bCs w:val="0"/>
              </w:rPr>
              <w:t>satisfied</w:t>
            </w:r>
            <w:proofErr w:type="gramEnd"/>
            <w:r w:rsidRPr="00B15ECE">
              <w:rPr>
                <w:rFonts w:ascii="Times New Roman" w:hAnsi="Times New Roman" w:cs="Times New Roman"/>
                <w:b w:val="0"/>
                <w:bCs w:val="0"/>
              </w:rPr>
              <w:t xml:space="preserve"> or dissatisfied are you with the quick-reference medication tool?</w:t>
            </w:r>
          </w:p>
          <w:p w14:paraId="633BED48" w14:textId="2016C8D9" w:rsidR="00B15ECE" w:rsidRDefault="00B15ECE" w:rsidP="00B15ECE">
            <w:pPr>
              <w:spacing w:line="480" w:lineRule="auto"/>
              <w:rPr>
                <w:rFonts w:ascii="Times New Roman" w:hAnsi="Times New Roman" w:cs="Times New Roman"/>
              </w:rPr>
            </w:pPr>
            <w:r w:rsidRPr="000154E6">
              <w:rPr>
                <w:noProof/>
              </w:rPr>
              <w:drawing>
                <wp:inline distT="0" distB="0" distL="0" distR="0" wp14:anchorId="73121100" wp14:editId="1723203E">
                  <wp:extent cx="180975" cy="180975"/>
                  <wp:effectExtent l="0" t="0" r="0" b="0"/>
                  <wp:docPr id="55" name="Graphic 37" descr="Stop outlin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Graphic 37" descr="Stop outline"/>
                          <pic:cNvPicPr>
                            <a:picLocks/>
                          </pic:cNvPicPr>
                        </pic:nvPicPr>
                        <pic:blipFill>
                          <a:blip r:embed="rId51" cstate="print"/>
                          <a:stretch>
                            <a:fillRect/>
                          </a:stretch>
                        </pic:blipFill>
                        <pic:spPr>
                          <a:xfrm>
                            <a:off x="0" y="0"/>
                            <a:ext cx="180975" cy="180975"/>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b w:val="0"/>
                <w:bCs w:val="0"/>
              </w:rPr>
              <w:t xml:space="preserve">Extremely satisfied </w:t>
            </w:r>
            <w:r>
              <w:rPr>
                <w:rFonts w:ascii="Times New Roman" w:hAnsi="Times New Roman" w:cs="Times New Roman"/>
                <w:noProof/>
              </w:rPr>
              <w:drawing>
                <wp:inline distT="0" distB="0" distL="0" distR="0" wp14:anchorId="3998AC16" wp14:editId="310E9F5C">
                  <wp:extent cx="181154" cy="181154"/>
                  <wp:effectExtent l="0" t="0" r="0" b="0"/>
                  <wp:docPr id="56" name="Graphic 56"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Somewhat satisfied </w:t>
            </w:r>
            <w:r>
              <w:rPr>
                <w:rFonts w:ascii="Times New Roman" w:hAnsi="Times New Roman" w:cs="Times New Roman"/>
                <w:noProof/>
              </w:rPr>
              <w:drawing>
                <wp:inline distT="0" distB="0" distL="0" distR="0" wp14:anchorId="2B9D7612" wp14:editId="52C75D6A">
                  <wp:extent cx="181154" cy="181154"/>
                  <wp:effectExtent l="0" t="0" r="0" b="0"/>
                  <wp:docPr id="58" name="Graphic 58"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Neither satisfied nor dissatisfied</w:t>
            </w:r>
          </w:p>
          <w:p w14:paraId="5F713C60" w14:textId="53047BE3" w:rsidR="00B15ECE" w:rsidRPr="00874AFC" w:rsidRDefault="00B15ECE" w:rsidP="00B15ECE">
            <w:pPr>
              <w:spacing w:line="480" w:lineRule="auto"/>
              <w:rPr>
                <w:rFonts w:ascii="Times New Roman" w:hAnsi="Times New Roman" w:cs="Times New Roman"/>
                <w:b w:val="0"/>
                <w:bCs w:val="0"/>
              </w:rPr>
            </w:pPr>
            <w:r>
              <w:rPr>
                <w:rFonts w:ascii="Times New Roman" w:hAnsi="Times New Roman" w:cs="Times New Roman"/>
                <w:noProof/>
              </w:rPr>
              <w:drawing>
                <wp:inline distT="0" distB="0" distL="0" distR="0" wp14:anchorId="45579349" wp14:editId="4BBA20F3">
                  <wp:extent cx="181154" cy="181154"/>
                  <wp:effectExtent l="0" t="0" r="0" b="0"/>
                  <wp:docPr id="59" name="Graphic 59"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Somewhat dissatisfied </w:t>
            </w:r>
            <w:r>
              <w:rPr>
                <w:rFonts w:ascii="Times New Roman" w:hAnsi="Times New Roman" w:cs="Times New Roman"/>
                <w:noProof/>
              </w:rPr>
              <w:drawing>
                <wp:inline distT="0" distB="0" distL="0" distR="0" wp14:anchorId="73EB75FD" wp14:editId="2B1A6100">
                  <wp:extent cx="181154" cy="181154"/>
                  <wp:effectExtent l="0" t="0" r="0" b="0"/>
                  <wp:docPr id="61" name="Graphic 61" descr="Stop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Stop outline"/>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52"/>
                              </a:ext>
                            </a:extLst>
                          </a:blip>
                          <a:stretch>
                            <a:fillRect/>
                          </a:stretch>
                        </pic:blipFill>
                        <pic:spPr>
                          <a:xfrm>
                            <a:off x="0" y="0"/>
                            <a:ext cx="185235" cy="185235"/>
                          </a:xfrm>
                          <a:prstGeom prst="rect">
                            <a:avLst/>
                          </a:prstGeom>
                        </pic:spPr>
                      </pic:pic>
                    </a:graphicData>
                  </a:graphic>
                </wp:inline>
              </w:drawing>
            </w:r>
            <w:r>
              <w:rPr>
                <w:rFonts w:ascii="Times New Roman" w:hAnsi="Times New Roman" w:cs="Times New Roman"/>
                <w:b w:val="0"/>
                <w:bCs w:val="0"/>
              </w:rPr>
              <w:t xml:space="preserve"> Extremely dissatisfied</w:t>
            </w:r>
          </w:p>
        </w:tc>
      </w:tr>
      <w:tr w:rsidR="00B15ECE" w:rsidRPr="00874AFC" w14:paraId="46D91475" w14:textId="77777777" w:rsidTr="00CB1516">
        <w:tc>
          <w:tcPr>
            <w:cnfStyle w:val="001000000000" w:firstRow="0" w:lastRow="0" w:firstColumn="1" w:lastColumn="0" w:oddVBand="0" w:evenVBand="0" w:oddHBand="0" w:evenHBand="0" w:firstRowFirstColumn="0" w:firstRowLastColumn="0" w:lastRowFirstColumn="0" w:lastRowLastColumn="0"/>
            <w:tcW w:w="9350" w:type="dxa"/>
          </w:tcPr>
          <w:p w14:paraId="237E7EF4" w14:textId="4E969E50" w:rsidR="00B15ECE" w:rsidRDefault="00B15ECE" w:rsidP="00CB1516">
            <w:pPr>
              <w:spacing w:line="480" w:lineRule="auto"/>
              <w:rPr>
                <w:rFonts w:ascii="Times New Roman" w:hAnsi="Times New Roman" w:cs="Times New Roman"/>
                <w:b w:val="0"/>
                <w:bCs w:val="0"/>
              </w:rPr>
            </w:pPr>
            <w:r w:rsidRPr="00B15ECE">
              <w:rPr>
                <w:rFonts w:ascii="Times New Roman" w:hAnsi="Times New Roman" w:cs="Times New Roman"/>
                <w:b w:val="0"/>
                <w:bCs w:val="0"/>
              </w:rPr>
              <w:t xml:space="preserve">What would you change or improve about the quick-reference medication tool? </w:t>
            </w:r>
            <w:r>
              <w:rPr>
                <w:rFonts w:ascii="Times New Roman" w:hAnsi="Times New Roman" w:cs="Times New Roman"/>
                <w:b w:val="0"/>
                <w:bCs w:val="0"/>
              </w:rPr>
              <w:t>_________________________________________________________________________</w:t>
            </w:r>
          </w:p>
        </w:tc>
      </w:tr>
    </w:tbl>
    <w:p w14:paraId="33267548" w14:textId="1862C9BF" w:rsidR="00D84351" w:rsidRPr="0060573E" w:rsidRDefault="0060573E" w:rsidP="00B15ECE">
      <w:pPr>
        <w:spacing w:line="480" w:lineRule="auto"/>
        <w:jc w:val="center"/>
        <w:rPr>
          <w:rFonts w:ascii="Times New Roman" w:hAnsi="Times New Roman" w:cs="Times New Roman"/>
          <w:b/>
          <w:bCs/>
        </w:rPr>
      </w:pPr>
      <w:r w:rsidRPr="0060573E">
        <w:rPr>
          <w:rFonts w:ascii="Times New Roman" w:hAnsi="Times New Roman" w:cs="Times New Roman"/>
          <w:b/>
          <w:bCs/>
        </w:rPr>
        <w:lastRenderedPageBreak/>
        <w:t xml:space="preserve">Appendix </w:t>
      </w:r>
      <w:r w:rsidR="00840CB8">
        <w:rPr>
          <w:rFonts w:ascii="Times New Roman" w:hAnsi="Times New Roman" w:cs="Times New Roman"/>
          <w:b/>
          <w:bCs/>
        </w:rPr>
        <w:t>J</w:t>
      </w:r>
    </w:p>
    <w:p w14:paraId="1AFA497A" w14:textId="2D79ADB9" w:rsidR="0060573E" w:rsidRDefault="0060573E" w:rsidP="00D84351">
      <w:pPr>
        <w:spacing w:line="480" w:lineRule="auto"/>
        <w:ind w:left="720" w:hanging="720"/>
        <w:jc w:val="center"/>
        <w:rPr>
          <w:rFonts w:ascii="Times New Roman" w:hAnsi="Times New Roman" w:cs="Times New Roman"/>
        </w:rPr>
      </w:pPr>
      <w:r>
        <w:rPr>
          <w:rFonts w:ascii="Times New Roman" w:hAnsi="Times New Roman" w:cs="Times New Roman"/>
        </w:rPr>
        <w:t>Project Budget Analysis</w:t>
      </w:r>
    </w:p>
    <w:tbl>
      <w:tblPr>
        <w:tblStyle w:val="GridTable1Light-Accent1"/>
        <w:tblW w:w="0" w:type="auto"/>
        <w:tblLook w:val="04A0" w:firstRow="1" w:lastRow="0" w:firstColumn="1" w:lastColumn="0" w:noHBand="0" w:noVBand="1"/>
      </w:tblPr>
      <w:tblGrid>
        <w:gridCol w:w="2337"/>
        <w:gridCol w:w="2337"/>
        <w:gridCol w:w="2338"/>
        <w:gridCol w:w="2338"/>
      </w:tblGrid>
      <w:tr w:rsidR="0060573E" w14:paraId="47615817" w14:textId="77777777" w:rsidTr="00CB15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196FEA96" w14:textId="77777777" w:rsidR="0060573E" w:rsidRPr="0060573E" w:rsidRDefault="0060573E" w:rsidP="00CB1516">
            <w:pPr>
              <w:spacing w:line="480" w:lineRule="auto"/>
              <w:rPr>
                <w:rFonts w:ascii="Times New Roman" w:hAnsi="Times New Roman" w:cs="Times New Roman"/>
                <w:bCs w:val="0"/>
              </w:rPr>
            </w:pPr>
            <w:r w:rsidRPr="0060573E">
              <w:rPr>
                <w:rFonts w:ascii="Times New Roman" w:hAnsi="Times New Roman" w:cs="Times New Roman"/>
                <w:bCs w:val="0"/>
              </w:rPr>
              <w:t>Item Description</w:t>
            </w:r>
          </w:p>
        </w:tc>
        <w:tc>
          <w:tcPr>
            <w:tcW w:w="2337" w:type="dxa"/>
          </w:tcPr>
          <w:p w14:paraId="75874C4A" w14:textId="77777777" w:rsidR="0060573E" w:rsidRPr="0060573E" w:rsidRDefault="0060573E" w:rsidP="00CB151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rPr>
            </w:pPr>
            <w:r w:rsidRPr="0060573E">
              <w:rPr>
                <w:rFonts w:ascii="Times New Roman" w:hAnsi="Times New Roman" w:cs="Times New Roman"/>
                <w:bCs w:val="0"/>
              </w:rPr>
              <w:t>Cost per Unit</w:t>
            </w:r>
          </w:p>
        </w:tc>
        <w:tc>
          <w:tcPr>
            <w:tcW w:w="2338" w:type="dxa"/>
          </w:tcPr>
          <w:p w14:paraId="62869DE1" w14:textId="77777777" w:rsidR="0060573E" w:rsidRPr="0060573E" w:rsidRDefault="0060573E" w:rsidP="00CB151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rPr>
            </w:pPr>
            <w:r w:rsidRPr="0060573E">
              <w:rPr>
                <w:rFonts w:ascii="Times New Roman" w:hAnsi="Times New Roman" w:cs="Times New Roman"/>
                <w:bCs w:val="0"/>
              </w:rPr>
              <w:t>Number of Units</w:t>
            </w:r>
          </w:p>
        </w:tc>
        <w:tc>
          <w:tcPr>
            <w:tcW w:w="2338" w:type="dxa"/>
          </w:tcPr>
          <w:p w14:paraId="6163A943" w14:textId="77777777" w:rsidR="0060573E" w:rsidRPr="0060573E" w:rsidRDefault="0060573E" w:rsidP="00CB151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rPr>
            </w:pPr>
            <w:r w:rsidRPr="0060573E">
              <w:rPr>
                <w:rFonts w:ascii="Times New Roman" w:hAnsi="Times New Roman" w:cs="Times New Roman"/>
                <w:bCs w:val="0"/>
              </w:rPr>
              <w:t>Total Cost</w:t>
            </w:r>
          </w:p>
        </w:tc>
      </w:tr>
      <w:tr w:rsidR="0060573E" w14:paraId="16EF5ED9" w14:textId="77777777" w:rsidTr="00CB1516">
        <w:tc>
          <w:tcPr>
            <w:cnfStyle w:val="001000000000" w:firstRow="0" w:lastRow="0" w:firstColumn="1" w:lastColumn="0" w:oddVBand="0" w:evenVBand="0" w:oddHBand="0" w:evenHBand="0" w:firstRowFirstColumn="0" w:firstRowLastColumn="0" w:lastRowFirstColumn="0" w:lastRowLastColumn="0"/>
            <w:tcW w:w="2337" w:type="dxa"/>
          </w:tcPr>
          <w:p w14:paraId="7C7D41A5" w14:textId="77777777" w:rsidR="0060573E" w:rsidRPr="00EA30C1" w:rsidRDefault="0060573E" w:rsidP="00CB1516">
            <w:pPr>
              <w:spacing w:line="480" w:lineRule="auto"/>
              <w:rPr>
                <w:rFonts w:ascii="Times New Roman" w:hAnsi="Times New Roman" w:cs="Times New Roman"/>
                <w:b w:val="0"/>
              </w:rPr>
            </w:pPr>
            <w:r w:rsidRPr="00EA30C1">
              <w:rPr>
                <w:rFonts w:ascii="Times New Roman" w:hAnsi="Times New Roman" w:cs="Times New Roman"/>
                <w:b w:val="0"/>
              </w:rPr>
              <w:t>Heart-shaped carabiner keychains (</w:t>
            </w:r>
            <w:r>
              <w:rPr>
                <w:rFonts w:ascii="Times New Roman" w:hAnsi="Times New Roman" w:cs="Times New Roman"/>
                <w:b w:val="0"/>
              </w:rPr>
              <w:t>p</w:t>
            </w:r>
            <w:r w:rsidRPr="00EA30C1">
              <w:rPr>
                <w:rFonts w:ascii="Times New Roman" w:hAnsi="Times New Roman" w:cs="Times New Roman"/>
                <w:b w:val="0"/>
              </w:rPr>
              <w:t>ack of 20)</w:t>
            </w:r>
          </w:p>
        </w:tc>
        <w:tc>
          <w:tcPr>
            <w:tcW w:w="2337" w:type="dxa"/>
          </w:tcPr>
          <w:p w14:paraId="6C4C483B" w14:textId="77777777" w:rsidR="0060573E" w:rsidRPr="00EA30C1"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A30C1">
              <w:rPr>
                <w:rFonts w:ascii="Times New Roman" w:hAnsi="Times New Roman" w:cs="Times New Roman"/>
                <w:bCs/>
              </w:rPr>
              <w:t>$8.99</w:t>
            </w:r>
          </w:p>
        </w:tc>
        <w:tc>
          <w:tcPr>
            <w:tcW w:w="2338" w:type="dxa"/>
          </w:tcPr>
          <w:p w14:paraId="457BF1D9" w14:textId="77777777" w:rsidR="0060573E" w:rsidRPr="00EA30C1"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A30C1">
              <w:rPr>
                <w:rFonts w:ascii="Times New Roman" w:hAnsi="Times New Roman" w:cs="Times New Roman"/>
                <w:bCs/>
              </w:rPr>
              <w:t>3</w:t>
            </w:r>
          </w:p>
        </w:tc>
        <w:tc>
          <w:tcPr>
            <w:tcW w:w="2338" w:type="dxa"/>
          </w:tcPr>
          <w:p w14:paraId="3EF9F9C2" w14:textId="77777777" w:rsidR="0060573E" w:rsidRPr="00EA30C1"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$26.97</w:t>
            </w:r>
          </w:p>
        </w:tc>
      </w:tr>
      <w:tr w:rsidR="0060573E" w14:paraId="454FE915" w14:textId="77777777" w:rsidTr="00CB1516">
        <w:tc>
          <w:tcPr>
            <w:cnfStyle w:val="001000000000" w:firstRow="0" w:lastRow="0" w:firstColumn="1" w:lastColumn="0" w:oddVBand="0" w:evenVBand="0" w:oddHBand="0" w:evenHBand="0" w:firstRowFirstColumn="0" w:firstRowLastColumn="0" w:lastRowFirstColumn="0" w:lastRowLastColumn="0"/>
            <w:tcW w:w="2337" w:type="dxa"/>
          </w:tcPr>
          <w:p w14:paraId="7816565D" w14:textId="77777777" w:rsidR="0060573E" w:rsidRPr="00EA30C1" w:rsidRDefault="0060573E" w:rsidP="00CB1516">
            <w:pPr>
              <w:spacing w:line="480" w:lineRule="auto"/>
              <w:rPr>
                <w:rFonts w:ascii="Times New Roman" w:hAnsi="Times New Roman" w:cs="Times New Roman"/>
                <w:b w:val="0"/>
              </w:rPr>
            </w:pPr>
            <w:r w:rsidRPr="00EA30C1">
              <w:rPr>
                <w:rFonts w:ascii="Times New Roman" w:hAnsi="Times New Roman" w:cs="Times New Roman"/>
                <w:b w:val="0"/>
              </w:rPr>
              <w:t>Avery perforated cardstock inserts (</w:t>
            </w:r>
            <w:r>
              <w:rPr>
                <w:rFonts w:ascii="Times New Roman" w:hAnsi="Times New Roman" w:cs="Times New Roman"/>
                <w:b w:val="0"/>
              </w:rPr>
              <w:t>p</w:t>
            </w:r>
            <w:r w:rsidRPr="00EA30C1">
              <w:rPr>
                <w:rFonts w:ascii="Times New Roman" w:hAnsi="Times New Roman" w:cs="Times New Roman"/>
                <w:b w:val="0"/>
              </w:rPr>
              <w:t>ack of 100)</w:t>
            </w:r>
          </w:p>
        </w:tc>
        <w:tc>
          <w:tcPr>
            <w:tcW w:w="2337" w:type="dxa"/>
          </w:tcPr>
          <w:p w14:paraId="0BFC1C15" w14:textId="77777777" w:rsidR="0060573E" w:rsidRPr="00EA30C1"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A30C1">
              <w:rPr>
                <w:rFonts w:ascii="Times New Roman" w:hAnsi="Times New Roman" w:cs="Times New Roman"/>
                <w:bCs/>
              </w:rPr>
              <w:t>$15.80</w:t>
            </w:r>
          </w:p>
        </w:tc>
        <w:tc>
          <w:tcPr>
            <w:tcW w:w="2338" w:type="dxa"/>
          </w:tcPr>
          <w:p w14:paraId="61CE137D" w14:textId="77777777" w:rsidR="0060573E" w:rsidRPr="00EA30C1"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A30C1">
              <w:rPr>
                <w:rFonts w:ascii="Times New Roman" w:hAnsi="Times New Roman" w:cs="Times New Roman"/>
                <w:bCs/>
              </w:rPr>
              <w:t>1</w:t>
            </w:r>
          </w:p>
        </w:tc>
        <w:tc>
          <w:tcPr>
            <w:tcW w:w="2338" w:type="dxa"/>
          </w:tcPr>
          <w:p w14:paraId="39CE95A7" w14:textId="77777777" w:rsidR="0060573E" w:rsidRPr="00EA30C1"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A30C1">
              <w:rPr>
                <w:rFonts w:ascii="Times New Roman" w:hAnsi="Times New Roman" w:cs="Times New Roman"/>
                <w:bCs/>
              </w:rPr>
              <w:t>$15.80</w:t>
            </w:r>
          </w:p>
        </w:tc>
      </w:tr>
      <w:tr w:rsidR="0060573E" w14:paraId="1FAB9EDC" w14:textId="77777777" w:rsidTr="00CB1516">
        <w:tc>
          <w:tcPr>
            <w:cnfStyle w:val="001000000000" w:firstRow="0" w:lastRow="0" w:firstColumn="1" w:lastColumn="0" w:oddVBand="0" w:evenVBand="0" w:oddHBand="0" w:evenHBand="0" w:firstRowFirstColumn="0" w:firstRowLastColumn="0" w:lastRowFirstColumn="0" w:lastRowLastColumn="0"/>
            <w:tcW w:w="2337" w:type="dxa"/>
          </w:tcPr>
          <w:p w14:paraId="25AD9410" w14:textId="4418B1F2" w:rsidR="0060573E" w:rsidRDefault="0060573E" w:rsidP="00CB1516">
            <w:pPr>
              <w:spacing w:line="480" w:lineRule="auto"/>
              <w:rPr>
                <w:rFonts w:ascii="Times New Roman" w:hAnsi="Times New Roman" w:cs="Times New Roman"/>
                <w:b w:val="0"/>
              </w:rPr>
            </w:pPr>
            <w:r>
              <w:rPr>
                <w:rFonts w:ascii="Times New Roman" w:hAnsi="Times New Roman" w:cs="Times New Roman"/>
                <w:b w:val="0"/>
              </w:rPr>
              <w:t>Resealable, clear</w:t>
            </w:r>
            <w:r w:rsidR="00240E4E">
              <w:rPr>
                <w:rFonts w:ascii="Times New Roman" w:hAnsi="Times New Roman" w:cs="Times New Roman"/>
                <w:b w:val="0"/>
              </w:rPr>
              <w:t>,</w:t>
            </w:r>
            <w:r>
              <w:rPr>
                <w:rFonts w:ascii="Times New Roman" w:hAnsi="Times New Roman" w:cs="Times New Roman"/>
                <w:b w:val="0"/>
              </w:rPr>
              <w:t xml:space="preserve"> 4x6 passport holders (pack of 100)</w:t>
            </w:r>
          </w:p>
        </w:tc>
        <w:tc>
          <w:tcPr>
            <w:tcW w:w="2337" w:type="dxa"/>
          </w:tcPr>
          <w:p w14:paraId="0F15DD97" w14:textId="77777777" w:rsidR="0060573E" w:rsidRPr="00EA30C1"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A30C1">
              <w:rPr>
                <w:rFonts w:ascii="Times New Roman" w:hAnsi="Times New Roman" w:cs="Times New Roman"/>
                <w:bCs/>
              </w:rPr>
              <w:t>$27.99</w:t>
            </w:r>
          </w:p>
        </w:tc>
        <w:tc>
          <w:tcPr>
            <w:tcW w:w="2338" w:type="dxa"/>
          </w:tcPr>
          <w:p w14:paraId="54E2B109" w14:textId="77777777" w:rsidR="0060573E" w:rsidRPr="00EA30C1"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1</w:t>
            </w:r>
          </w:p>
        </w:tc>
        <w:tc>
          <w:tcPr>
            <w:tcW w:w="2338" w:type="dxa"/>
          </w:tcPr>
          <w:p w14:paraId="17AE958A" w14:textId="77777777" w:rsidR="0060573E" w:rsidRPr="00EA30C1"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$27.99</w:t>
            </w:r>
          </w:p>
        </w:tc>
      </w:tr>
      <w:tr w:rsidR="0060573E" w14:paraId="23AEF728" w14:textId="77777777" w:rsidTr="00CB1516">
        <w:tc>
          <w:tcPr>
            <w:cnfStyle w:val="001000000000" w:firstRow="0" w:lastRow="0" w:firstColumn="1" w:lastColumn="0" w:oddVBand="0" w:evenVBand="0" w:oddHBand="0" w:evenHBand="0" w:firstRowFirstColumn="0" w:firstRowLastColumn="0" w:lastRowFirstColumn="0" w:lastRowLastColumn="0"/>
            <w:tcW w:w="2337" w:type="dxa"/>
          </w:tcPr>
          <w:p w14:paraId="15FA1B97" w14:textId="77777777" w:rsidR="0060573E" w:rsidRDefault="0060573E" w:rsidP="00CB1516">
            <w:pPr>
              <w:spacing w:line="480" w:lineRule="auto"/>
              <w:rPr>
                <w:rFonts w:ascii="Times New Roman" w:hAnsi="Times New Roman" w:cs="Times New Roman"/>
                <w:b w:val="0"/>
              </w:rPr>
            </w:pPr>
            <w:r>
              <w:rPr>
                <w:rFonts w:ascii="Times New Roman" w:hAnsi="Times New Roman" w:cs="Times New Roman"/>
                <w:b w:val="0"/>
              </w:rPr>
              <w:t>Flat key rings (pack of 50)</w:t>
            </w:r>
          </w:p>
        </w:tc>
        <w:tc>
          <w:tcPr>
            <w:tcW w:w="2337" w:type="dxa"/>
          </w:tcPr>
          <w:p w14:paraId="37013624" w14:textId="77777777" w:rsidR="0060573E" w:rsidRPr="00EA30C1"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$4.99</w:t>
            </w:r>
          </w:p>
        </w:tc>
        <w:tc>
          <w:tcPr>
            <w:tcW w:w="2338" w:type="dxa"/>
          </w:tcPr>
          <w:p w14:paraId="4486C517" w14:textId="77777777" w:rsidR="0060573E"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1</w:t>
            </w:r>
          </w:p>
        </w:tc>
        <w:tc>
          <w:tcPr>
            <w:tcW w:w="2338" w:type="dxa"/>
          </w:tcPr>
          <w:p w14:paraId="0143DE2C" w14:textId="77777777" w:rsidR="0060573E"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$4.99</w:t>
            </w:r>
          </w:p>
        </w:tc>
      </w:tr>
      <w:tr w:rsidR="0060573E" w14:paraId="2C761B4D" w14:textId="77777777" w:rsidTr="00CB1516">
        <w:tc>
          <w:tcPr>
            <w:cnfStyle w:val="001000000000" w:firstRow="0" w:lastRow="0" w:firstColumn="1" w:lastColumn="0" w:oddVBand="0" w:evenVBand="0" w:oddHBand="0" w:evenHBand="0" w:firstRowFirstColumn="0" w:firstRowLastColumn="0" w:lastRowFirstColumn="0" w:lastRowLastColumn="0"/>
            <w:tcW w:w="2337" w:type="dxa"/>
          </w:tcPr>
          <w:p w14:paraId="0A4C83B7" w14:textId="291AF99E" w:rsidR="0060573E" w:rsidRDefault="0060573E" w:rsidP="00CB1516">
            <w:pPr>
              <w:spacing w:line="480" w:lineRule="auto"/>
              <w:rPr>
                <w:rFonts w:ascii="Times New Roman" w:hAnsi="Times New Roman" w:cs="Times New Roman"/>
                <w:b w:val="0"/>
              </w:rPr>
            </w:pPr>
            <w:r>
              <w:rPr>
                <w:rFonts w:ascii="Times New Roman" w:hAnsi="Times New Roman" w:cs="Times New Roman"/>
                <w:b w:val="0"/>
              </w:rPr>
              <w:t xml:space="preserve">Nothing Bundt Cakes individually wrapped </w:t>
            </w:r>
            <w:proofErr w:type="spellStart"/>
            <w:r>
              <w:rPr>
                <w:rFonts w:ascii="Times New Roman" w:hAnsi="Times New Roman" w:cs="Times New Roman"/>
                <w:b w:val="0"/>
              </w:rPr>
              <w:t>bundtle</w:t>
            </w:r>
            <w:r w:rsidR="00B15ECE">
              <w:rPr>
                <w:rFonts w:ascii="Times New Roman" w:hAnsi="Times New Roman" w:cs="Times New Roman"/>
                <w:b w:val="0"/>
              </w:rPr>
              <w:t>t</w:t>
            </w:r>
            <w:proofErr w:type="spellEnd"/>
            <w:r>
              <w:rPr>
                <w:rFonts w:ascii="Times New Roman" w:hAnsi="Times New Roman" w:cs="Times New Roman"/>
                <w:b w:val="0"/>
              </w:rPr>
              <w:t xml:space="preserve"> cakes (pack of 12)</w:t>
            </w:r>
          </w:p>
        </w:tc>
        <w:tc>
          <w:tcPr>
            <w:tcW w:w="2337" w:type="dxa"/>
          </w:tcPr>
          <w:p w14:paraId="3465BBB7" w14:textId="77777777" w:rsidR="0060573E"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$50.00</w:t>
            </w:r>
          </w:p>
        </w:tc>
        <w:tc>
          <w:tcPr>
            <w:tcW w:w="2338" w:type="dxa"/>
          </w:tcPr>
          <w:p w14:paraId="3DDF2E77" w14:textId="77777777" w:rsidR="0060573E"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2</w:t>
            </w:r>
          </w:p>
        </w:tc>
        <w:tc>
          <w:tcPr>
            <w:tcW w:w="2338" w:type="dxa"/>
          </w:tcPr>
          <w:p w14:paraId="3606584C" w14:textId="77777777" w:rsidR="0060573E" w:rsidRDefault="0060573E" w:rsidP="00CB151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Pr>
                <w:rFonts w:ascii="Times New Roman" w:hAnsi="Times New Roman" w:cs="Times New Roman"/>
                <w:bCs/>
              </w:rPr>
              <w:t>$100.00</w:t>
            </w:r>
          </w:p>
        </w:tc>
      </w:tr>
    </w:tbl>
    <w:p w14:paraId="300A6275" w14:textId="51179801" w:rsidR="00D226BD" w:rsidRDefault="00D226BD" w:rsidP="00D84351">
      <w:pPr>
        <w:spacing w:line="480" w:lineRule="auto"/>
        <w:ind w:left="720" w:hanging="720"/>
        <w:jc w:val="center"/>
        <w:rPr>
          <w:rFonts w:ascii="Times New Roman" w:hAnsi="Times New Roman" w:cs="Times New Roman"/>
        </w:rPr>
      </w:pPr>
    </w:p>
    <w:p w14:paraId="582D06B7" w14:textId="77777777" w:rsidR="00FE31D3" w:rsidRDefault="00FE31D3" w:rsidP="00FE31D3">
      <w:pPr>
        <w:rPr>
          <w:rFonts w:ascii="Times New Roman" w:hAnsi="Times New Roman" w:cs="Times New Roman"/>
        </w:rPr>
      </w:pPr>
    </w:p>
    <w:p w14:paraId="682AE556" w14:textId="77777777" w:rsidR="00FE31D3" w:rsidRDefault="00FE31D3" w:rsidP="00FE31D3">
      <w:pPr>
        <w:rPr>
          <w:rFonts w:ascii="Times New Roman" w:hAnsi="Times New Roman" w:cs="Times New Roman"/>
        </w:rPr>
      </w:pPr>
    </w:p>
    <w:p w14:paraId="16DFDA2A" w14:textId="77777777" w:rsidR="00FE31D3" w:rsidRDefault="00FE31D3" w:rsidP="00FE31D3">
      <w:pPr>
        <w:rPr>
          <w:rFonts w:ascii="Times New Roman" w:hAnsi="Times New Roman" w:cs="Times New Roman"/>
        </w:rPr>
      </w:pPr>
    </w:p>
    <w:p w14:paraId="22FBA806" w14:textId="77777777" w:rsidR="00FE31D3" w:rsidRDefault="00FE31D3" w:rsidP="00FE31D3">
      <w:pPr>
        <w:rPr>
          <w:rFonts w:ascii="Times New Roman" w:hAnsi="Times New Roman" w:cs="Times New Roman"/>
        </w:rPr>
      </w:pPr>
    </w:p>
    <w:p w14:paraId="0EB0789A" w14:textId="77777777" w:rsidR="00FE31D3" w:rsidRDefault="00FE31D3" w:rsidP="00FE31D3">
      <w:pPr>
        <w:rPr>
          <w:rFonts w:ascii="Times New Roman" w:hAnsi="Times New Roman" w:cs="Times New Roman"/>
        </w:rPr>
      </w:pPr>
    </w:p>
    <w:p w14:paraId="222828C0" w14:textId="77777777" w:rsidR="00FE31D3" w:rsidRDefault="00FE31D3" w:rsidP="00FE31D3">
      <w:pPr>
        <w:rPr>
          <w:rFonts w:ascii="Times New Roman" w:hAnsi="Times New Roman" w:cs="Times New Roman"/>
        </w:rPr>
      </w:pPr>
    </w:p>
    <w:p w14:paraId="72A4434A" w14:textId="77777777" w:rsidR="00FE31D3" w:rsidRDefault="00FE31D3" w:rsidP="00FE31D3">
      <w:pPr>
        <w:rPr>
          <w:rFonts w:ascii="Times New Roman" w:hAnsi="Times New Roman" w:cs="Times New Roman"/>
        </w:rPr>
      </w:pPr>
    </w:p>
    <w:p w14:paraId="47FB3E28" w14:textId="77777777" w:rsidR="00FE31D3" w:rsidRDefault="00FE31D3" w:rsidP="00FE31D3">
      <w:pPr>
        <w:rPr>
          <w:rFonts w:ascii="Times New Roman" w:hAnsi="Times New Roman" w:cs="Times New Roman"/>
        </w:rPr>
      </w:pPr>
    </w:p>
    <w:p w14:paraId="6000D2D7" w14:textId="2AA7190A" w:rsidR="006663B7" w:rsidRPr="00FE31D3" w:rsidRDefault="006663B7" w:rsidP="00FE31D3">
      <w:pPr>
        <w:spacing w:line="480" w:lineRule="auto"/>
        <w:jc w:val="center"/>
        <w:rPr>
          <w:rFonts w:ascii="Times New Roman" w:hAnsi="Times New Roman" w:cs="Times New Roman"/>
        </w:rPr>
      </w:pPr>
      <w:r w:rsidRPr="006663B7">
        <w:rPr>
          <w:rFonts w:ascii="Times New Roman" w:hAnsi="Times New Roman" w:cs="Times New Roman"/>
          <w:b/>
          <w:bCs/>
        </w:rPr>
        <w:lastRenderedPageBreak/>
        <w:t>Appendix</w:t>
      </w:r>
      <w:r w:rsidR="00FE31D3">
        <w:rPr>
          <w:rFonts w:ascii="Times New Roman" w:hAnsi="Times New Roman" w:cs="Times New Roman"/>
          <w:b/>
          <w:bCs/>
        </w:rPr>
        <w:t xml:space="preserve"> </w:t>
      </w:r>
      <w:r w:rsidR="00840CB8">
        <w:rPr>
          <w:rFonts w:ascii="Times New Roman" w:hAnsi="Times New Roman" w:cs="Times New Roman"/>
          <w:b/>
          <w:bCs/>
        </w:rPr>
        <w:t>K</w:t>
      </w:r>
    </w:p>
    <w:p w14:paraId="44C727B6" w14:textId="5791170F" w:rsidR="006663B7" w:rsidRDefault="00BB7BE1" w:rsidP="00FE31D3">
      <w:pPr>
        <w:spacing w:line="480" w:lineRule="auto"/>
        <w:ind w:left="720"/>
        <w:jc w:val="cente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21728" behindDoc="0" locked="0" layoutInCell="1" allowOverlap="1" wp14:anchorId="742E7077" wp14:editId="5E09C1DD">
                <wp:simplePos x="0" y="0"/>
                <wp:positionH relativeFrom="column">
                  <wp:posOffset>1996751</wp:posOffset>
                </wp:positionH>
                <wp:positionV relativeFrom="page">
                  <wp:posOffset>4253865</wp:posOffset>
                </wp:positionV>
                <wp:extent cx="1343025" cy="83820"/>
                <wp:effectExtent l="0" t="0" r="15875" b="17780"/>
                <wp:wrapNone/>
                <wp:docPr id="60" name="Rectangle 60"/>
                <wp:cNvGraphicFramePr/>
                <a:graphic xmlns:a="http://schemas.openxmlformats.org/drawingml/2006/main">
                  <a:graphicData uri="http://schemas.microsoft.com/office/word/2010/wordprocessingShape">
                    <wps:wsp>
                      <wps:cNvSpPr/>
                      <wps:spPr>
                        <a:xfrm>
                          <a:off x="0" y="0"/>
                          <a:ext cx="1343025" cy="8382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F06424" id="Rectangle 60" o:spid="_x0000_s1026" style="position:absolute;margin-left:157.2pt;margin-top:334.95pt;width:105.75pt;height:6.6pt;z-index:251721728;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" fillcolor="black [3200]" strokecolor="black [1600]" strokeweight="1pt">
                <w10:wrap anchory="page"/>
              </v:rect>
            </w:pict>
          </mc:Fallback>
        </mc:AlternateContent>
      </w:r>
      <w:r w:rsidR="00FE31D3">
        <w:rPr>
          <w:rFonts w:ascii="Times New Roman" w:hAnsi="Times New Roman" w:cs="Times New Roman"/>
          <w:noProof/>
        </w:rPr>
        <w:drawing>
          <wp:anchor distT="0" distB="0" distL="114300" distR="114300" simplePos="0" relativeHeight="251686912" behindDoc="0" locked="0" layoutInCell="1" allowOverlap="1" wp14:anchorId="0D223623" wp14:editId="4D83140C">
            <wp:simplePos x="0" y="0"/>
            <wp:positionH relativeFrom="column">
              <wp:posOffset>3275693</wp:posOffset>
            </wp:positionH>
            <wp:positionV relativeFrom="paragraph">
              <wp:posOffset>1033690</wp:posOffset>
            </wp:positionV>
            <wp:extent cx="248920" cy="248920"/>
            <wp:effectExtent l="0" t="0" r="5080" b="0"/>
            <wp:wrapNone/>
            <wp:docPr id="93" name="Graphic 93" descr="Checkmar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Graphic 90" descr="Checkmark outline"/>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r:embed="rId55"/>
                        </a:ext>
                      </a:extLst>
                    </a:blip>
                    <a:stretch>
                      <a:fillRect/>
                    </a:stretch>
                  </pic:blipFill>
                  <pic:spPr>
                    <a:xfrm>
                      <a:off x="0" y="0"/>
                      <a:ext cx="248920" cy="248920"/>
                    </a:xfrm>
                    <a:prstGeom prst="rect">
                      <a:avLst/>
                    </a:prstGeom>
                  </pic:spPr>
                </pic:pic>
              </a:graphicData>
            </a:graphic>
            <wp14:sizeRelH relativeFrom="page">
              <wp14:pctWidth>0</wp14:pctWidth>
            </wp14:sizeRelH>
            <wp14:sizeRelV relativeFrom="page">
              <wp14:pctHeight>0</wp14:pctHeight>
            </wp14:sizeRelV>
          </wp:anchor>
        </w:drawing>
      </w:r>
      <w:r w:rsidR="00FE31D3">
        <w:rPr>
          <w:rFonts w:ascii="Times New Roman" w:hAnsi="Times New Roman" w:cs="Times New Roman"/>
          <w:noProof/>
        </w:rPr>
        <w:drawing>
          <wp:anchor distT="0" distB="0" distL="114300" distR="114300" simplePos="0" relativeHeight="251688960" behindDoc="0" locked="0" layoutInCell="1" allowOverlap="1" wp14:anchorId="11A47694" wp14:editId="1BC0D7D9">
            <wp:simplePos x="0" y="0"/>
            <wp:positionH relativeFrom="column">
              <wp:posOffset>3749040</wp:posOffset>
            </wp:positionH>
            <wp:positionV relativeFrom="paragraph">
              <wp:posOffset>1181735</wp:posOffset>
            </wp:positionV>
            <wp:extent cx="248920" cy="248920"/>
            <wp:effectExtent l="0" t="0" r="5080" b="0"/>
            <wp:wrapNone/>
            <wp:docPr id="94" name="Graphic 94" descr="Checkmar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Graphic 90" descr="Checkmark outline"/>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r:embed="rId55"/>
                        </a:ext>
                      </a:extLst>
                    </a:blip>
                    <a:stretch>
                      <a:fillRect/>
                    </a:stretch>
                  </pic:blipFill>
                  <pic:spPr>
                    <a:xfrm>
                      <a:off x="0" y="0"/>
                      <a:ext cx="248920" cy="248920"/>
                    </a:xfrm>
                    <a:prstGeom prst="rect">
                      <a:avLst/>
                    </a:prstGeom>
                  </pic:spPr>
                </pic:pic>
              </a:graphicData>
            </a:graphic>
            <wp14:sizeRelH relativeFrom="page">
              <wp14:pctWidth>0</wp14:pctWidth>
            </wp14:sizeRelH>
            <wp14:sizeRelV relativeFrom="page">
              <wp14:pctHeight>0</wp14:pctHeight>
            </wp14:sizeRelV>
          </wp:anchor>
        </w:drawing>
      </w:r>
      <w:r w:rsidR="00FE31D3">
        <w:rPr>
          <w:rFonts w:ascii="Times New Roman" w:hAnsi="Times New Roman" w:cs="Times New Roman"/>
          <w:noProof/>
        </w:rPr>
        <w:drawing>
          <wp:anchor distT="0" distB="0" distL="114300" distR="114300" simplePos="0" relativeHeight="251691008" behindDoc="0" locked="0" layoutInCell="1" allowOverlap="1" wp14:anchorId="1C8EC140" wp14:editId="63831A81">
            <wp:simplePos x="0" y="0"/>
            <wp:positionH relativeFrom="column">
              <wp:posOffset>3601085</wp:posOffset>
            </wp:positionH>
            <wp:positionV relativeFrom="paragraph">
              <wp:posOffset>1883320</wp:posOffset>
            </wp:positionV>
            <wp:extent cx="248920" cy="248920"/>
            <wp:effectExtent l="0" t="0" r="5080" b="0"/>
            <wp:wrapNone/>
            <wp:docPr id="95" name="Graphic 95" descr="Checkmar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Graphic 90" descr="Checkmark outline"/>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r:embed="rId55"/>
                        </a:ext>
                      </a:extLst>
                    </a:blip>
                    <a:stretch>
                      <a:fillRect/>
                    </a:stretch>
                  </pic:blipFill>
                  <pic:spPr>
                    <a:xfrm>
                      <a:off x="0" y="0"/>
                      <a:ext cx="248920" cy="248920"/>
                    </a:xfrm>
                    <a:prstGeom prst="rect">
                      <a:avLst/>
                    </a:prstGeom>
                  </pic:spPr>
                </pic:pic>
              </a:graphicData>
            </a:graphic>
            <wp14:sizeRelH relativeFrom="page">
              <wp14:pctWidth>0</wp14:pctWidth>
            </wp14:sizeRelH>
            <wp14:sizeRelV relativeFrom="page">
              <wp14:pctHeight>0</wp14:pctHeight>
            </wp14:sizeRelV>
          </wp:anchor>
        </w:drawing>
      </w:r>
      <w:r w:rsidR="006663B7">
        <w:rPr>
          <w:rFonts w:ascii="Times New Roman" w:hAnsi="Times New Roman" w:cs="Times New Roman"/>
        </w:rPr>
        <w:t>Project Management Report I</w:t>
      </w:r>
      <w:r w:rsidR="006663B7">
        <w:rPr>
          <w:rFonts w:ascii="Times New Roman" w:hAnsi="Times New Roman" w:cs="Times New Roman"/>
          <w:noProof/>
        </w:rPr>
        <w:drawing>
          <wp:inline distT="0" distB="0" distL="0" distR="0" wp14:anchorId="2803C198" wp14:editId="3326AB07">
            <wp:extent cx="4806315" cy="5639955"/>
            <wp:effectExtent l="12700" t="12700" r="6985" b="12065"/>
            <wp:docPr id="76" name="Picture 76"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descr="Text, letter&#10;&#10;Description automatically generated"/>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814189" cy="5649195"/>
                    </a:xfrm>
                    <a:prstGeom prst="rect">
                      <a:avLst/>
                    </a:prstGeom>
                    <a:ln>
                      <a:solidFill>
                        <a:schemeClr val="tx1"/>
                      </a:solidFill>
                    </a:ln>
                  </pic:spPr>
                </pic:pic>
              </a:graphicData>
            </a:graphic>
          </wp:inline>
        </w:drawing>
      </w:r>
      <w:r w:rsidR="006663B7">
        <w:rPr>
          <w:rFonts w:ascii="Times New Roman" w:hAnsi="Times New Roman" w:cs="Times New Roman"/>
        </w:rPr>
        <w:t xml:space="preserve"> </w:t>
      </w:r>
      <w:r w:rsidR="00B15ECE">
        <w:rPr>
          <w:rFonts w:ascii="Times New Roman" w:hAnsi="Times New Roman" w:cs="Times New Roman"/>
        </w:rPr>
        <w:br w:type="page"/>
      </w:r>
    </w:p>
    <w:p w14:paraId="51CFAEE4" w14:textId="0F758930" w:rsidR="006663B7" w:rsidRDefault="006663B7" w:rsidP="006663B7">
      <w:pPr>
        <w:spacing w:line="480" w:lineRule="auto"/>
        <w:jc w:val="center"/>
        <w:rPr>
          <w:rFonts w:ascii="Times New Roman" w:hAnsi="Times New Roman" w:cs="Times New Roman"/>
          <w:b/>
          <w:bCs/>
          <w:noProof/>
        </w:rPr>
      </w:pPr>
      <w:r w:rsidRPr="006663B7">
        <w:rPr>
          <w:rFonts w:ascii="Times New Roman" w:hAnsi="Times New Roman" w:cs="Times New Roman"/>
          <w:b/>
          <w:bCs/>
          <w:noProof/>
        </w:rPr>
        <w:lastRenderedPageBreak/>
        <w:t>Appendix</w:t>
      </w:r>
      <w:r w:rsidR="00FE31D3">
        <w:rPr>
          <w:rFonts w:ascii="Times New Roman" w:hAnsi="Times New Roman" w:cs="Times New Roman"/>
          <w:b/>
          <w:bCs/>
          <w:noProof/>
        </w:rPr>
        <w:t xml:space="preserve"> </w:t>
      </w:r>
      <w:r w:rsidR="00840CB8">
        <w:rPr>
          <w:rFonts w:ascii="Times New Roman" w:hAnsi="Times New Roman" w:cs="Times New Roman"/>
          <w:b/>
          <w:bCs/>
          <w:noProof/>
        </w:rPr>
        <w:t>L</w:t>
      </w:r>
    </w:p>
    <w:p w14:paraId="2ABF862E" w14:textId="35A2A88D" w:rsidR="00C62821" w:rsidRDefault="006663B7" w:rsidP="00FE31D3">
      <w:pPr>
        <w:spacing w:line="480" w:lineRule="auto"/>
        <w:jc w:val="center"/>
        <w:rPr>
          <w:rFonts w:ascii="Times New Roman" w:hAnsi="Times New Roman" w:cs="Times New Roman"/>
          <w:noProof/>
        </w:rPr>
      </w:pPr>
      <w:r>
        <w:rPr>
          <w:rFonts w:ascii="Times New Roman" w:hAnsi="Times New Roman" w:cs="Times New Roman"/>
          <w:noProof/>
        </w:rPr>
        <w:t>Project Management Report II</w:t>
      </w:r>
    </w:p>
    <w:p w14:paraId="0260396B" w14:textId="0016325D" w:rsidR="00FE31D3" w:rsidRDefault="00BB7BE1" w:rsidP="00FE31D3">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23776" behindDoc="0" locked="0" layoutInCell="1" allowOverlap="1" wp14:anchorId="598B9253" wp14:editId="29E856A5">
                <wp:simplePos x="0" y="0"/>
                <wp:positionH relativeFrom="column">
                  <wp:posOffset>1642188</wp:posOffset>
                </wp:positionH>
                <wp:positionV relativeFrom="page">
                  <wp:posOffset>7370445</wp:posOffset>
                </wp:positionV>
                <wp:extent cx="1445895" cy="83820"/>
                <wp:effectExtent l="0" t="0" r="14605" b="17780"/>
                <wp:wrapNone/>
                <wp:docPr id="62" name="Rectangle 62"/>
                <wp:cNvGraphicFramePr/>
                <a:graphic xmlns:a="http://schemas.openxmlformats.org/drawingml/2006/main">
                  <a:graphicData uri="http://schemas.microsoft.com/office/word/2010/wordprocessingShape">
                    <wps:wsp>
                      <wps:cNvSpPr/>
                      <wps:spPr>
                        <a:xfrm>
                          <a:off x="0" y="0"/>
                          <a:ext cx="1445895" cy="8382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B027FF5" id="Rectangle 62" o:spid="_x0000_s1026" style="position:absolute;margin-left:129.3pt;margin-top:580.35pt;width:113.85pt;height:6.6pt;z-index:251723776;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" fillcolor="black [3200]" strokecolor="black [1600]" strokeweight="1pt">
                <w10:wrap anchory="page"/>
              </v:rect>
            </w:pict>
          </mc:Fallback>
        </mc:AlternateContent>
      </w:r>
      <w:r w:rsidR="00FE31D3">
        <w:rPr>
          <w:rFonts w:ascii="Times New Roman" w:hAnsi="Times New Roman" w:cs="Times New Roman"/>
          <w:noProof/>
        </w:rPr>
        <w:drawing>
          <wp:anchor distT="0" distB="0" distL="114300" distR="114300" simplePos="0" relativeHeight="251703296" behindDoc="0" locked="0" layoutInCell="1" allowOverlap="1" wp14:anchorId="6A70080C" wp14:editId="4295126D">
            <wp:simplePos x="0" y="0"/>
            <wp:positionH relativeFrom="column">
              <wp:posOffset>3492818</wp:posOffset>
            </wp:positionH>
            <wp:positionV relativeFrom="paragraph">
              <wp:posOffset>974407</wp:posOffset>
            </wp:positionV>
            <wp:extent cx="248920" cy="248920"/>
            <wp:effectExtent l="0" t="0" r="5080" b="0"/>
            <wp:wrapNone/>
            <wp:docPr id="96" name="Graphic 96" descr="Checkmar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Graphic 90" descr="Checkmark outline"/>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r:embed="rId55"/>
                        </a:ext>
                      </a:extLst>
                    </a:blip>
                    <a:stretch>
                      <a:fillRect/>
                    </a:stretch>
                  </pic:blipFill>
                  <pic:spPr>
                    <a:xfrm>
                      <a:off x="0" y="0"/>
                      <a:ext cx="248920" cy="248920"/>
                    </a:xfrm>
                    <a:prstGeom prst="rect">
                      <a:avLst/>
                    </a:prstGeom>
                  </pic:spPr>
                </pic:pic>
              </a:graphicData>
            </a:graphic>
            <wp14:sizeRelH relativeFrom="page">
              <wp14:pctWidth>0</wp14:pctWidth>
            </wp14:sizeRelH>
            <wp14:sizeRelV relativeFrom="page">
              <wp14:pctHeight>0</wp14:pctHeight>
            </wp14:sizeRelV>
          </wp:anchor>
        </w:drawing>
      </w:r>
      <w:r w:rsidR="00FE31D3">
        <w:rPr>
          <w:rFonts w:ascii="Times New Roman" w:hAnsi="Times New Roman" w:cs="Times New Roman"/>
          <w:noProof/>
        </w:rPr>
        <w:drawing>
          <wp:anchor distT="0" distB="0" distL="114300" distR="114300" simplePos="0" relativeHeight="251704320" behindDoc="0" locked="0" layoutInCell="1" allowOverlap="1" wp14:anchorId="22C76A58" wp14:editId="57D2324D">
            <wp:simplePos x="0" y="0"/>
            <wp:positionH relativeFrom="column">
              <wp:posOffset>4094480</wp:posOffset>
            </wp:positionH>
            <wp:positionV relativeFrom="paragraph">
              <wp:posOffset>1399222</wp:posOffset>
            </wp:positionV>
            <wp:extent cx="248920" cy="248920"/>
            <wp:effectExtent l="0" t="0" r="5080" b="0"/>
            <wp:wrapNone/>
            <wp:docPr id="98" name="Graphic 98" descr="Checkmar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Graphic 90" descr="Checkmark outline"/>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r:embed="rId55"/>
                        </a:ext>
                      </a:extLst>
                    </a:blip>
                    <a:stretch>
                      <a:fillRect/>
                    </a:stretch>
                  </pic:blipFill>
                  <pic:spPr>
                    <a:xfrm>
                      <a:off x="0" y="0"/>
                      <a:ext cx="248920" cy="248920"/>
                    </a:xfrm>
                    <a:prstGeom prst="rect">
                      <a:avLst/>
                    </a:prstGeom>
                  </pic:spPr>
                </pic:pic>
              </a:graphicData>
            </a:graphic>
            <wp14:sizeRelH relativeFrom="page">
              <wp14:pctWidth>0</wp14:pctWidth>
            </wp14:sizeRelH>
            <wp14:sizeRelV relativeFrom="page">
              <wp14:pctHeight>0</wp14:pctHeight>
            </wp14:sizeRelV>
          </wp:anchor>
        </w:drawing>
      </w:r>
      <w:r w:rsidR="00FE31D3">
        <w:rPr>
          <w:noProof/>
        </w:rPr>
        <mc:AlternateContent>
          <mc:Choice Requires="wps">
            <w:drawing>
              <wp:anchor distT="0" distB="0" distL="114300" distR="114300" simplePos="0" relativeHeight="251705344" behindDoc="0" locked="0" layoutInCell="1" allowOverlap="1" wp14:anchorId="56898D1A" wp14:editId="23F2BB6A">
                <wp:simplePos x="0" y="0"/>
                <wp:positionH relativeFrom="column">
                  <wp:posOffset>4343082</wp:posOffset>
                </wp:positionH>
                <wp:positionV relativeFrom="paragraph">
                  <wp:posOffset>2864485</wp:posOffset>
                </wp:positionV>
                <wp:extent cx="220980" cy="188306"/>
                <wp:effectExtent l="0" t="0" r="0" b="2540"/>
                <wp:wrapNone/>
                <wp:docPr id="101" name="Freeform 101"/>
                <wp:cNvGraphicFramePr/>
                <a:graphic xmlns:a="http://schemas.openxmlformats.org/drawingml/2006/main">
                  <a:graphicData uri="http://schemas.microsoft.com/office/word/2010/wordprocessingShape">
                    <wps:wsp>
                      <wps:cNvSpPr/>
                      <wps:spPr>
                        <a:xfrm>
                          <a:off x="0" y="0"/>
                          <a:ext cx="220980" cy="188306"/>
                        </a:xfrm>
                        <a:custGeom>
                          <a:avLst/>
                          <a:gdLst>
                            <a:gd name="connsiteX0" fmla="*/ 75799 w 221403"/>
                            <a:gd name="connsiteY0" fmla="*/ 131837 h 139034"/>
                            <a:gd name="connsiteX1" fmla="*/ 3666 w 221403"/>
                            <a:gd name="connsiteY1" fmla="*/ 59704 h 139034"/>
                            <a:gd name="connsiteX2" fmla="*/ 0 w 221403"/>
                            <a:gd name="connsiteY2" fmla="*/ 63371 h 139034"/>
                            <a:gd name="connsiteX3" fmla="*/ 75664 w 221403"/>
                            <a:gd name="connsiteY3" fmla="*/ 139035 h 139034"/>
                            <a:gd name="connsiteX4" fmla="*/ 221404 w 221403"/>
                            <a:gd name="connsiteY4" fmla="*/ 3801 h 139034"/>
                            <a:gd name="connsiteX5" fmla="*/ 217872 w 221403"/>
                            <a:gd name="connsiteY5" fmla="*/ 0 h 139034"/>
                            <a:gd name="connsiteX6" fmla="*/ 75799 w 221403"/>
                            <a:gd name="connsiteY6" fmla="*/ 131837 h 1390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21403" h="139034">
                              <a:moveTo>
                                <a:pt x="75799" y="131837"/>
                              </a:moveTo>
                              <a:lnTo>
                                <a:pt x="3666" y="59704"/>
                              </a:lnTo>
                              <a:lnTo>
                                <a:pt x="0" y="63371"/>
                              </a:lnTo>
                              <a:lnTo>
                                <a:pt x="75664" y="139035"/>
                              </a:lnTo>
                              <a:lnTo>
                                <a:pt x="221404" y="3801"/>
                              </a:lnTo>
                              <a:lnTo>
                                <a:pt x="217872" y="0"/>
                              </a:lnTo>
                              <a:lnTo>
                                <a:pt x="75799" y="131837"/>
                              </a:lnTo>
                              <a:close/>
                            </a:path>
                          </a:pathLst>
                        </a:custGeom>
                        <a:solidFill>
                          <a:srgbClr val="000000"/>
                        </a:solidFill>
                        <a:ln w="2580" cap="flat">
                          <a:noFill/>
                          <a:prstDash val="solid"/>
                          <a:miter/>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671E242" id="Freeform 101" o:spid="_x0000_s1026" style="position:absolute;margin-left:341.95pt;margin-top:225.55pt;width:17.4pt;height:14.85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221403,13903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" path="m75799,131837l3666,59704,,63371r75664,75664l221404,3801,217872,,75799,131837xe" fillcolor="black" stroked="f" strokeweight=".07167mm">
                <v:stroke joinstyle="miter"/>
                <v:path arrowok="t" o:connecttype="custom" o:connectlocs="75654,178558;3659,80862;0,85829;75519,188307;220981,5148;217456,0;75654,178558" o:connectangles="0,0,0,0,0,0,0"/>
              </v:shape>
            </w:pict>
          </mc:Fallback>
        </mc:AlternateContent>
      </w:r>
      <w:r w:rsidR="00FE31D3">
        <w:rPr>
          <w:rFonts w:ascii="Times New Roman" w:hAnsi="Times New Roman" w:cs="Times New Roman"/>
          <w:noProof/>
        </w:rPr>
        <w:drawing>
          <wp:inline distT="0" distB="0" distL="0" distR="0" wp14:anchorId="70D13C37" wp14:editId="26000FA8">
            <wp:extent cx="5499100" cy="7116445"/>
            <wp:effectExtent l="12700" t="12700" r="12700" b="825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pic:cNvPicPr/>
                  </pic:nvPicPr>
                  <pic:blipFill>
                    <a:blip r:embed="rId57">
                      <a:extLst>
                        <a:ext uri="{28A0092B-C50C-407E-A947-70E740481C1C}">
                          <a14:useLocalDpi xmlns:a14="http://schemas.microsoft.com/office/drawing/2010/main" val="0"/>
                        </a:ext>
                      </a:extLst>
                    </a:blip>
                    <a:stretch>
                      <a:fillRect/>
                    </a:stretch>
                  </pic:blipFill>
                  <pic:spPr>
                    <a:xfrm>
                      <a:off x="0" y="0"/>
                      <a:ext cx="5499100" cy="7116445"/>
                    </a:xfrm>
                    <a:prstGeom prst="rect">
                      <a:avLst/>
                    </a:prstGeom>
                    <a:ln>
                      <a:solidFill>
                        <a:schemeClr val="tx1"/>
                      </a:solidFill>
                    </a:ln>
                  </pic:spPr>
                </pic:pic>
              </a:graphicData>
            </a:graphic>
          </wp:inline>
        </w:drawing>
      </w:r>
    </w:p>
    <w:p w14:paraId="65AFB9A5" w14:textId="0F928FF1" w:rsidR="006663B7" w:rsidRDefault="006663B7">
      <w:pPr>
        <w:rPr>
          <w:rFonts w:ascii="Times New Roman" w:hAnsi="Times New Roman" w:cs="Times New Roman"/>
          <w:b/>
          <w:bCs/>
          <w:noProof/>
        </w:rPr>
      </w:pPr>
    </w:p>
    <w:p w14:paraId="199CD31E" w14:textId="75C8A597" w:rsidR="006663B7" w:rsidRDefault="006663B7" w:rsidP="006663B7">
      <w:pPr>
        <w:spacing w:line="480" w:lineRule="auto"/>
        <w:jc w:val="center"/>
        <w:rPr>
          <w:rFonts w:ascii="Times New Roman" w:hAnsi="Times New Roman" w:cs="Times New Roman"/>
          <w:b/>
          <w:bCs/>
          <w:noProof/>
        </w:rPr>
      </w:pPr>
    </w:p>
    <w:p w14:paraId="1869B1EA" w14:textId="06D47A7E" w:rsidR="00C62821" w:rsidRDefault="006663B7" w:rsidP="006663B7">
      <w:pPr>
        <w:spacing w:line="480" w:lineRule="auto"/>
        <w:jc w:val="center"/>
        <w:rPr>
          <w:rFonts w:ascii="Times New Roman" w:hAnsi="Times New Roman" w:cs="Times New Roman"/>
          <w:b/>
          <w:bCs/>
          <w:noProof/>
        </w:rPr>
      </w:pPr>
      <w:r w:rsidRPr="006663B7">
        <w:rPr>
          <w:rFonts w:ascii="Times New Roman" w:hAnsi="Times New Roman" w:cs="Times New Roman"/>
          <w:b/>
          <w:bCs/>
        </w:rPr>
        <w:lastRenderedPageBreak/>
        <w:t>Appendix</w:t>
      </w:r>
      <w:r w:rsidR="00FE31D3">
        <w:rPr>
          <w:rFonts w:ascii="Times New Roman" w:hAnsi="Times New Roman" w:cs="Times New Roman"/>
          <w:b/>
          <w:bCs/>
        </w:rPr>
        <w:t xml:space="preserve"> </w:t>
      </w:r>
      <w:r w:rsidR="00840CB8">
        <w:rPr>
          <w:rFonts w:ascii="Times New Roman" w:hAnsi="Times New Roman" w:cs="Times New Roman"/>
          <w:b/>
          <w:bCs/>
        </w:rPr>
        <w:t>M</w:t>
      </w:r>
    </w:p>
    <w:p w14:paraId="350A0C07" w14:textId="6716F38F" w:rsidR="006663B7" w:rsidRDefault="00BB7BE1" w:rsidP="006663B7">
      <w:pPr>
        <w:spacing w:line="480" w:lineRule="auto"/>
        <w:jc w:val="cente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25824" behindDoc="0" locked="0" layoutInCell="1" allowOverlap="1" wp14:anchorId="200EEB10" wp14:editId="28E83669">
                <wp:simplePos x="0" y="0"/>
                <wp:positionH relativeFrom="column">
                  <wp:posOffset>1679510</wp:posOffset>
                </wp:positionH>
                <wp:positionV relativeFrom="page">
                  <wp:posOffset>5056505</wp:posOffset>
                </wp:positionV>
                <wp:extent cx="1455420" cy="83820"/>
                <wp:effectExtent l="0" t="0" r="17780" b="17780"/>
                <wp:wrapNone/>
                <wp:docPr id="64" name="Rectangle 64"/>
                <wp:cNvGraphicFramePr/>
                <a:graphic xmlns:a="http://schemas.openxmlformats.org/drawingml/2006/main">
                  <a:graphicData uri="http://schemas.microsoft.com/office/word/2010/wordprocessingShape">
                    <wps:wsp>
                      <wps:cNvSpPr/>
                      <wps:spPr>
                        <a:xfrm>
                          <a:off x="0" y="0"/>
                          <a:ext cx="1455420" cy="8382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D64C7F7" id="Rectangle 64" o:spid="_x0000_s1026" style="position:absolute;margin-left:132.25pt;margin-top:398.15pt;width:114.6pt;height:6.6pt;z-index:251725824;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" fillcolor="black [3200]" strokecolor="black [1600]" strokeweight="1pt">
                <w10:wrap anchory="page"/>
              </v:rect>
            </w:pict>
          </mc:Fallback>
        </mc:AlternateContent>
      </w:r>
      <w:r w:rsidR="00FE31D3">
        <w:rPr>
          <w:noProof/>
        </w:rPr>
        <mc:AlternateContent>
          <mc:Choice Requires="wps">
            <w:drawing>
              <wp:anchor distT="0" distB="0" distL="114300" distR="114300" simplePos="0" relativeHeight="251709440" behindDoc="0" locked="0" layoutInCell="1" allowOverlap="1" wp14:anchorId="3837E86D" wp14:editId="057890DA">
                <wp:simplePos x="0" y="0"/>
                <wp:positionH relativeFrom="column">
                  <wp:posOffset>3935004</wp:posOffset>
                </wp:positionH>
                <wp:positionV relativeFrom="paragraph">
                  <wp:posOffset>2294709</wp:posOffset>
                </wp:positionV>
                <wp:extent cx="203835" cy="155121"/>
                <wp:effectExtent l="0" t="0" r="0" b="0"/>
                <wp:wrapNone/>
                <wp:docPr id="104" name="Freeform 104"/>
                <wp:cNvGraphicFramePr/>
                <a:graphic xmlns:a="http://schemas.openxmlformats.org/drawingml/2006/main">
                  <a:graphicData uri="http://schemas.microsoft.com/office/word/2010/wordprocessingShape">
                    <wps:wsp>
                      <wps:cNvSpPr/>
                      <wps:spPr>
                        <a:xfrm>
                          <a:off x="0" y="0"/>
                          <a:ext cx="203835" cy="155121"/>
                        </a:xfrm>
                        <a:custGeom>
                          <a:avLst/>
                          <a:gdLst>
                            <a:gd name="connsiteX0" fmla="*/ 75799 w 221403"/>
                            <a:gd name="connsiteY0" fmla="*/ 131837 h 139034"/>
                            <a:gd name="connsiteX1" fmla="*/ 3666 w 221403"/>
                            <a:gd name="connsiteY1" fmla="*/ 59704 h 139034"/>
                            <a:gd name="connsiteX2" fmla="*/ 0 w 221403"/>
                            <a:gd name="connsiteY2" fmla="*/ 63371 h 139034"/>
                            <a:gd name="connsiteX3" fmla="*/ 75664 w 221403"/>
                            <a:gd name="connsiteY3" fmla="*/ 139035 h 139034"/>
                            <a:gd name="connsiteX4" fmla="*/ 221404 w 221403"/>
                            <a:gd name="connsiteY4" fmla="*/ 3801 h 139034"/>
                            <a:gd name="connsiteX5" fmla="*/ 217872 w 221403"/>
                            <a:gd name="connsiteY5" fmla="*/ 0 h 139034"/>
                            <a:gd name="connsiteX6" fmla="*/ 75799 w 221403"/>
                            <a:gd name="connsiteY6" fmla="*/ 131837 h 1390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21403" h="139034">
                              <a:moveTo>
                                <a:pt x="75799" y="131837"/>
                              </a:moveTo>
                              <a:lnTo>
                                <a:pt x="3666" y="59704"/>
                              </a:lnTo>
                              <a:lnTo>
                                <a:pt x="0" y="63371"/>
                              </a:lnTo>
                              <a:lnTo>
                                <a:pt x="75664" y="139035"/>
                              </a:lnTo>
                              <a:lnTo>
                                <a:pt x="221404" y="3801"/>
                              </a:lnTo>
                              <a:lnTo>
                                <a:pt x="217872" y="0"/>
                              </a:lnTo>
                              <a:lnTo>
                                <a:pt x="75799" y="131837"/>
                              </a:lnTo>
                              <a:close/>
                            </a:path>
                          </a:pathLst>
                        </a:custGeom>
                        <a:solidFill>
                          <a:srgbClr val="000000"/>
                        </a:solidFill>
                        <a:ln w="2580" cap="flat">
                          <a:noFill/>
                          <a:prstDash val="solid"/>
                          <a:miter/>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BC66D1" id="Freeform 104" o:spid="_x0000_s1026" style="position:absolute;margin-left:309.85pt;margin-top:180.7pt;width:16.05pt;height:12.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1403,13903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" path="m75799,131837l3666,59704,,63371r75664,75664l221404,3801,217872,,75799,131837xe" fillcolor="black" stroked="f" strokeweight=".07167mm">
                <v:stroke joinstyle="miter"/>
                <v:path arrowok="t" o:connecttype="custom" o:connectlocs="69784,147091;3375,66612;0,70703;69660,155122;203836,4241;200584,0;69784,147091" o:connectangles="0,0,0,0,0,0,0"/>
              </v:shape>
            </w:pict>
          </mc:Fallback>
        </mc:AlternateContent>
      </w:r>
      <w:r w:rsidR="00FE31D3">
        <w:rPr>
          <w:noProof/>
        </w:rPr>
        <mc:AlternateContent>
          <mc:Choice Requires="wps">
            <w:drawing>
              <wp:anchor distT="0" distB="0" distL="114300" distR="114300" simplePos="0" relativeHeight="251711488" behindDoc="0" locked="0" layoutInCell="1" allowOverlap="1" wp14:anchorId="101BBEF7" wp14:editId="7956E685">
                <wp:simplePos x="0" y="0"/>
                <wp:positionH relativeFrom="column">
                  <wp:posOffset>3997598</wp:posOffset>
                </wp:positionH>
                <wp:positionV relativeFrom="paragraph">
                  <wp:posOffset>1614351</wp:posOffset>
                </wp:positionV>
                <wp:extent cx="204107" cy="178345"/>
                <wp:effectExtent l="0" t="0" r="0" b="0"/>
                <wp:wrapNone/>
                <wp:docPr id="105" name="Freeform 105"/>
                <wp:cNvGraphicFramePr/>
                <a:graphic xmlns:a="http://schemas.openxmlformats.org/drawingml/2006/main">
                  <a:graphicData uri="http://schemas.microsoft.com/office/word/2010/wordprocessingShape">
                    <wps:wsp>
                      <wps:cNvSpPr/>
                      <wps:spPr>
                        <a:xfrm>
                          <a:off x="0" y="0"/>
                          <a:ext cx="204107" cy="178345"/>
                        </a:xfrm>
                        <a:custGeom>
                          <a:avLst/>
                          <a:gdLst>
                            <a:gd name="connsiteX0" fmla="*/ 75799 w 221403"/>
                            <a:gd name="connsiteY0" fmla="*/ 131837 h 139034"/>
                            <a:gd name="connsiteX1" fmla="*/ 3666 w 221403"/>
                            <a:gd name="connsiteY1" fmla="*/ 59704 h 139034"/>
                            <a:gd name="connsiteX2" fmla="*/ 0 w 221403"/>
                            <a:gd name="connsiteY2" fmla="*/ 63371 h 139034"/>
                            <a:gd name="connsiteX3" fmla="*/ 75664 w 221403"/>
                            <a:gd name="connsiteY3" fmla="*/ 139035 h 139034"/>
                            <a:gd name="connsiteX4" fmla="*/ 221404 w 221403"/>
                            <a:gd name="connsiteY4" fmla="*/ 3801 h 139034"/>
                            <a:gd name="connsiteX5" fmla="*/ 217872 w 221403"/>
                            <a:gd name="connsiteY5" fmla="*/ 0 h 139034"/>
                            <a:gd name="connsiteX6" fmla="*/ 75799 w 221403"/>
                            <a:gd name="connsiteY6" fmla="*/ 131837 h 1390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21403" h="139034">
                              <a:moveTo>
                                <a:pt x="75799" y="131837"/>
                              </a:moveTo>
                              <a:lnTo>
                                <a:pt x="3666" y="59704"/>
                              </a:lnTo>
                              <a:lnTo>
                                <a:pt x="0" y="63371"/>
                              </a:lnTo>
                              <a:lnTo>
                                <a:pt x="75664" y="139035"/>
                              </a:lnTo>
                              <a:lnTo>
                                <a:pt x="221404" y="3801"/>
                              </a:lnTo>
                              <a:lnTo>
                                <a:pt x="217872" y="0"/>
                              </a:lnTo>
                              <a:lnTo>
                                <a:pt x="75799" y="131837"/>
                              </a:lnTo>
                              <a:close/>
                            </a:path>
                          </a:pathLst>
                        </a:custGeom>
                        <a:solidFill>
                          <a:srgbClr val="000000"/>
                        </a:solidFill>
                        <a:ln w="2580" cap="flat">
                          <a:noFill/>
                          <a:prstDash val="solid"/>
                          <a:miter/>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E05ACF" id="Freeform 105" o:spid="_x0000_s1026" style="position:absolute;margin-left:314.75pt;margin-top:127.1pt;width:16.05pt;height:14.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1403,13903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" path="m75799,131837l3666,59704,,63371r75664,75664l221404,3801,217872,,75799,131837xe" fillcolor="black" stroked="f" strokeweight=".07167mm">
                <v:stroke joinstyle="miter"/>
                <v:path arrowok="t" o:connecttype="custom" o:connectlocs="69878,169113;3380,76585;0,81289;69753,178346;204108,4876;200852,0;69878,169113" o:connectangles="0,0,0,0,0,0,0"/>
              </v:shape>
            </w:pict>
          </mc:Fallback>
        </mc:AlternateContent>
      </w:r>
      <w:r w:rsidR="00FE31D3">
        <w:rPr>
          <w:noProof/>
        </w:rPr>
        <mc:AlternateContent>
          <mc:Choice Requires="wps">
            <w:drawing>
              <wp:anchor distT="0" distB="0" distL="114300" distR="114300" simplePos="0" relativeHeight="251707392" behindDoc="0" locked="0" layoutInCell="1" allowOverlap="1" wp14:anchorId="4F5BA595" wp14:editId="2B01996D">
                <wp:simplePos x="0" y="0"/>
                <wp:positionH relativeFrom="column">
                  <wp:posOffset>3429000</wp:posOffset>
                </wp:positionH>
                <wp:positionV relativeFrom="paragraph">
                  <wp:posOffset>1380309</wp:posOffset>
                </wp:positionV>
                <wp:extent cx="204107" cy="178345"/>
                <wp:effectExtent l="0" t="0" r="0" b="0"/>
                <wp:wrapNone/>
                <wp:docPr id="103" name="Freeform 103"/>
                <wp:cNvGraphicFramePr/>
                <a:graphic xmlns:a="http://schemas.openxmlformats.org/drawingml/2006/main">
                  <a:graphicData uri="http://schemas.microsoft.com/office/word/2010/wordprocessingShape">
                    <wps:wsp>
                      <wps:cNvSpPr/>
                      <wps:spPr>
                        <a:xfrm>
                          <a:off x="0" y="0"/>
                          <a:ext cx="204107" cy="178345"/>
                        </a:xfrm>
                        <a:custGeom>
                          <a:avLst/>
                          <a:gdLst>
                            <a:gd name="connsiteX0" fmla="*/ 75799 w 221403"/>
                            <a:gd name="connsiteY0" fmla="*/ 131837 h 139034"/>
                            <a:gd name="connsiteX1" fmla="*/ 3666 w 221403"/>
                            <a:gd name="connsiteY1" fmla="*/ 59704 h 139034"/>
                            <a:gd name="connsiteX2" fmla="*/ 0 w 221403"/>
                            <a:gd name="connsiteY2" fmla="*/ 63371 h 139034"/>
                            <a:gd name="connsiteX3" fmla="*/ 75664 w 221403"/>
                            <a:gd name="connsiteY3" fmla="*/ 139035 h 139034"/>
                            <a:gd name="connsiteX4" fmla="*/ 221404 w 221403"/>
                            <a:gd name="connsiteY4" fmla="*/ 3801 h 139034"/>
                            <a:gd name="connsiteX5" fmla="*/ 217872 w 221403"/>
                            <a:gd name="connsiteY5" fmla="*/ 0 h 139034"/>
                            <a:gd name="connsiteX6" fmla="*/ 75799 w 221403"/>
                            <a:gd name="connsiteY6" fmla="*/ 131837 h 13903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21403" h="139034">
                              <a:moveTo>
                                <a:pt x="75799" y="131837"/>
                              </a:moveTo>
                              <a:lnTo>
                                <a:pt x="3666" y="59704"/>
                              </a:lnTo>
                              <a:lnTo>
                                <a:pt x="0" y="63371"/>
                              </a:lnTo>
                              <a:lnTo>
                                <a:pt x="75664" y="139035"/>
                              </a:lnTo>
                              <a:lnTo>
                                <a:pt x="221404" y="3801"/>
                              </a:lnTo>
                              <a:lnTo>
                                <a:pt x="217872" y="0"/>
                              </a:lnTo>
                              <a:lnTo>
                                <a:pt x="75799" y="131837"/>
                              </a:lnTo>
                              <a:close/>
                            </a:path>
                          </a:pathLst>
                        </a:custGeom>
                        <a:solidFill>
                          <a:srgbClr val="000000"/>
                        </a:solidFill>
                        <a:ln w="2580" cap="flat">
                          <a:noFill/>
                          <a:prstDash val="solid"/>
                          <a:miter/>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30EEFC" id="Freeform 103" o:spid="_x0000_s1026" style="position:absolute;margin-left:270pt;margin-top:108.7pt;width:16.05pt;height:14.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1403,13903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" path="m75799,131837l3666,59704,,63371r75664,75664l221404,3801,217872,,75799,131837xe" fillcolor="black" stroked="f" strokeweight=".07167mm">
                <v:stroke joinstyle="miter"/>
                <v:path arrowok="t" o:connecttype="custom" o:connectlocs="69878,169113;3380,76585;0,81289;69753,178346;204108,4876;200852,0;69878,169113" o:connectangles="0,0,0,0,0,0,0"/>
              </v:shape>
            </w:pict>
          </mc:Fallback>
        </mc:AlternateContent>
      </w:r>
      <w:r w:rsidR="006663B7" w:rsidRPr="006663B7">
        <w:rPr>
          <w:rFonts w:ascii="Times New Roman" w:hAnsi="Times New Roman" w:cs="Times New Roman"/>
        </w:rPr>
        <w:t>Project Management Report</w:t>
      </w:r>
      <w:r w:rsidR="006663B7">
        <w:rPr>
          <w:rFonts w:ascii="Times New Roman" w:hAnsi="Times New Roman" w:cs="Times New Roman"/>
        </w:rPr>
        <w:t xml:space="preserve"> III</w:t>
      </w:r>
    </w:p>
    <w:p w14:paraId="7D4F726F" w14:textId="17A31986" w:rsidR="006663B7" w:rsidRDefault="00FE31D3">
      <w:pPr>
        <w:rPr>
          <w:rFonts w:ascii="Times New Roman" w:hAnsi="Times New Roman" w:cs="Times New Roman"/>
        </w:rPr>
      </w:pPr>
      <w:r>
        <w:rPr>
          <w:rFonts w:ascii="Times New Roman" w:hAnsi="Times New Roman" w:cs="Times New Roman"/>
          <w:noProof/>
        </w:rPr>
        <w:drawing>
          <wp:anchor distT="0" distB="0" distL="114300" distR="114300" simplePos="0" relativeHeight="251657215" behindDoc="0" locked="0" layoutInCell="1" allowOverlap="1" wp14:anchorId="4504A237" wp14:editId="3C495908">
            <wp:simplePos x="0" y="0"/>
            <wp:positionH relativeFrom="margin">
              <wp:posOffset>345440</wp:posOffset>
            </wp:positionH>
            <wp:positionV relativeFrom="margin">
              <wp:posOffset>877570</wp:posOffset>
            </wp:positionV>
            <wp:extent cx="5380355" cy="6868795"/>
            <wp:effectExtent l="12700" t="12700" r="17145" b="14605"/>
            <wp:wrapSquare wrapText="bothSides"/>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pic:cNvPicPr/>
                  </pic:nvPicPr>
                  <pic:blipFill>
                    <a:blip r:embed="rId58">
                      <a:extLst>
                        <a:ext uri="{28A0092B-C50C-407E-A947-70E740481C1C}">
                          <a14:useLocalDpi xmlns:a14="http://schemas.microsoft.com/office/drawing/2010/main" val="0"/>
                        </a:ext>
                      </a:extLst>
                    </a:blip>
                    <a:stretch>
                      <a:fillRect/>
                    </a:stretch>
                  </pic:blipFill>
                  <pic:spPr>
                    <a:xfrm>
                      <a:off x="0" y="0"/>
                      <a:ext cx="5380355" cy="6868795"/>
                    </a:xfrm>
                    <a:prstGeom prst="rect">
                      <a:avLst/>
                    </a:prstGeom>
                    <a:ln>
                      <a:solidFill>
                        <a:schemeClr val="tx1"/>
                      </a:solidFill>
                    </a:ln>
                  </pic:spPr>
                </pic:pic>
              </a:graphicData>
            </a:graphic>
          </wp:anchor>
        </w:drawing>
      </w:r>
      <w:r w:rsidR="006663B7">
        <w:rPr>
          <w:rFonts w:ascii="Times New Roman" w:hAnsi="Times New Roman" w:cs="Times New Roman"/>
        </w:rPr>
        <w:br w:type="page"/>
      </w:r>
    </w:p>
    <w:p w14:paraId="44C9D2E9" w14:textId="66C151DA" w:rsidR="00FE31D3" w:rsidRDefault="00FE31D3" w:rsidP="00FE31D3">
      <w:pPr>
        <w:spacing w:line="480" w:lineRule="auto"/>
        <w:jc w:val="center"/>
        <w:rPr>
          <w:rFonts w:ascii="Times New Roman" w:hAnsi="Times New Roman" w:cs="Times New Roman"/>
          <w:b/>
          <w:bCs/>
        </w:rPr>
      </w:pPr>
      <w:r>
        <w:rPr>
          <w:rFonts w:ascii="Times New Roman" w:hAnsi="Times New Roman" w:cs="Times New Roman"/>
          <w:b/>
          <w:bCs/>
        </w:rPr>
        <w:lastRenderedPageBreak/>
        <w:t xml:space="preserve">Appendix </w:t>
      </w:r>
      <w:r w:rsidR="00840CB8">
        <w:rPr>
          <w:rFonts w:ascii="Times New Roman" w:hAnsi="Times New Roman" w:cs="Times New Roman"/>
          <w:b/>
          <w:bCs/>
        </w:rPr>
        <w:t>N</w:t>
      </w:r>
    </w:p>
    <w:p w14:paraId="563FFC70" w14:textId="5CFC8E94" w:rsidR="00740E83" w:rsidRDefault="00BB7BE1" w:rsidP="00FE31D3">
      <w:pPr>
        <w:spacing w:line="480" w:lineRule="auto"/>
        <w:jc w:val="cente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29920" behindDoc="0" locked="0" layoutInCell="1" allowOverlap="1" wp14:anchorId="5FF6AEE9" wp14:editId="0340997C">
                <wp:simplePos x="0" y="0"/>
                <wp:positionH relativeFrom="column">
                  <wp:posOffset>3694339</wp:posOffset>
                </wp:positionH>
                <wp:positionV relativeFrom="paragraph">
                  <wp:posOffset>4221480</wp:posOffset>
                </wp:positionV>
                <wp:extent cx="606489" cy="45719"/>
                <wp:effectExtent l="0" t="0" r="15875" b="18415"/>
                <wp:wrapNone/>
                <wp:docPr id="66" name="Rectangle 66"/>
                <wp:cNvGraphicFramePr/>
                <a:graphic xmlns:a="http://schemas.openxmlformats.org/drawingml/2006/main">
                  <a:graphicData uri="http://schemas.microsoft.com/office/word/2010/wordprocessingShape">
                    <wps:wsp>
                      <wps:cNvSpPr/>
                      <wps:spPr>
                        <a:xfrm>
                          <a:off x="0" y="0"/>
                          <a:ext cx="606489" cy="45719"/>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45918C" id="Rectangle 66" o:spid="_x0000_s1026" style="position:absolute;margin-left:290.9pt;margin-top:332.4pt;width:47.75pt;height:3.6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" fillcolor="black [3200]" strokecolor="black [1600]" strokeweight="1pt"/>
            </w:pict>
          </mc:Fallback>
        </mc:AlternateContent>
      </w:r>
      <w:r>
        <w:rPr>
          <w:rFonts w:ascii="Times New Roman" w:hAnsi="Times New Roman" w:cs="Times New Roman"/>
          <w:noProof/>
        </w:rPr>
        <mc:AlternateContent>
          <mc:Choice Requires="wps">
            <w:drawing>
              <wp:anchor distT="0" distB="0" distL="114300" distR="114300" simplePos="0" relativeHeight="251727872" behindDoc="0" locked="0" layoutInCell="1" allowOverlap="1" wp14:anchorId="09C968E5" wp14:editId="5E401F45">
                <wp:simplePos x="0" y="0"/>
                <wp:positionH relativeFrom="column">
                  <wp:posOffset>1912776</wp:posOffset>
                </wp:positionH>
                <wp:positionV relativeFrom="page">
                  <wp:posOffset>6838315</wp:posOffset>
                </wp:positionV>
                <wp:extent cx="1483360" cy="130175"/>
                <wp:effectExtent l="0" t="0" r="15240" b="9525"/>
                <wp:wrapNone/>
                <wp:docPr id="65" name="Rectangle 65"/>
                <wp:cNvGraphicFramePr/>
                <a:graphic xmlns:a="http://schemas.openxmlformats.org/drawingml/2006/main">
                  <a:graphicData uri="http://schemas.microsoft.com/office/word/2010/wordprocessingShape">
                    <wps:wsp>
                      <wps:cNvSpPr/>
                      <wps:spPr>
                        <a:xfrm>
                          <a:off x="0" y="0"/>
                          <a:ext cx="1483360" cy="130175"/>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035157" id="Rectangle 65" o:spid="_x0000_s1026" style="position:absolute;margin-left:150.6pt;margin-top:538.45pt;width:116.8pt;height:10.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" fillcolor="black [3200]" strokecolor="black [1600]" strokeweight="1pt">
                <w10:wrap anchory="page"/>
              </v:rect>
            </w:pict>
          </mc:Fallback>
        </mc:AlternateContent>
      </w:r>
      <w:r w:rsidR="00FE31D3">
        <w:rPr>
          <w:rFonts w:ascii="Times New Roman" w:hAnsi="Times New Roman" w:cs="Times New Roman"/>
          <w:noProof/>
        </w:rPr>
        <w:drawing>
          <wp:anchor distT="0" distB="0" distL="114300" distR="114300" simplePos="0" relativeHeight="251712512" behindDoc="0" locked="0" layoutInCell="1" allowOverlap="1" wp14:anchorId="45767E55" wp14:editId="4B549CDA">
            <wp:simplePos x="0" y="0"/>
            <wp:positionH relativeFrom="column">
              <wp:posOffset>726258</wp:posOffset>
            </wp:positionH>
            <wp:positionV relativeFrom="paragraph">
              <wp:posOffset>470444</wp:posOffset>
            </wp:positionV>
            <wp:extent cx="4604385" cy="5958840"/>
            <wp:effectExtent l="12700" t="12700" r="18415" b="10160"/>
            <wp:wrapTopAndBottom/>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pic:cNvPicPr/>
                  </pic:nvPicPr>
                  <pic:blipFill>
                    <a:blip r:embed="rId59">
                      <a:extLst>
                        <a:ext uri="{28A0092B-C50C-407E-A947-70E740481C1C}">
                          <a14:useLocalDpi xmlns:a14="http://schemas.microsoft.com/office/drawing/2010/main" val="0"/>
                        </a:ext>
                      </a:extLst>
                    </a:blip>
                    <a:stretch>
                      <a:fillRect/>
                    </a:stretch>
                  </pic:blipFill>
                  <pic:spPr>
                    <a:xfrm>
                      <a:off x="0" y="0"/>
                      <a:ext cx="4604385" cy="595884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FE31D3">
        <w:rPr>
          <w:rFonts w:ascii="Times New Roman" w:hAnsi="Times New Roman" w:cs="Times New Roman"/>
        </w:rPr>
        <w:t>Project Management Report IV</w:t>
      </w:r>
    </w:p>
    <w:p w14:paraId="31C2B89B" w14:textId="77777777" w:rsidR="00740E83" w:rsidRDefault="00740E83">
      <w:pPr>
        <w:rPr>
          <w:rFonts w:ascii="Times New Roman" w:hAnsi="Times New Roman" w:cs="Times New Roman"/>
        </w:rPr>
      </w:pPr>
      <w:r>
        <w:rPr>
          <w:rFonts w:ascii="Times New Roman" w:hAnsi="Times New Roman" w:cs="Times New Roman"/>
        </w:rPr>
        <w:br w:type="page"/>
      </w:r>
    </w:p>
    <w:p w14:paraId="2C0C32F4" w14:textId="2F6C8DE1" w:rsidR="00C62821" w:rsidRPr="00740E83" w:rsidRDefault="00740E83" w:rsidP="00FE31D3">
      <w:pPr>
        <w:spacing w:line="480" w:lineRule="auto"/>
        <w:jc w:val="center"/>
        <w:rPr>
          <w:rFonts w:ascii="Times New Roman" w:hAnsi="Times New Roman" w:cs="Times New Roman"/>
          <w:b/>
          <w:bCs/>
        </w:rPr>
      </w:pPr>
      <w:r w:rsidRPr="00740E83">
        <w:rPr>
          <w:rFonts w:ascii="Times New Roman" w:hAnsi="Times New Roman" w:cs="Times New Roman"/>
          <w:b/>
          <w:bCs/>
        </w:rPr>
        <w:lastRenderedPageBreak/>
        <w:t xml:space="preserve">Appendix </w:t>
      </w:r>
      <w:r>
        <w:rPr>
          <w:rFonts w:ascii="Times New Roman" w:hAnsi="Times New Roman" w:cs="Times New Roman"/>
          <w:b/>
          <w:bCs/>
        </w:rPr>
        <w:t>O</w:t>
      </w:r>
    </w:p>
    <w:p w14:paraId="33B2AEEF" w14:textId="1D43A30B" w:rsidR="00740E83" w:rsidRDefault="00740E83" w:rsidP="00740E83">
      <w:pPr>
        <w:jc w:val="center"/>
        <w:rPr>
          <w:rFonts w:ascii="Times" w:eastAsia="Times New Roman" w:hAnsi="Times" w:cs="Times New Roman"/>
          <w:color w:val="000000"/>
        </w:rPr>
      </w:pPr>
      <w:r w:rsidRPr="00740E83">
        <w:rPr>
          <w:rFonts w:ascii="Times" w:eastAsia="Times New Roman" w:hAnsi="Times" w:cs="Times New Roman"/>
          <w:color w:val="000000"/>
        </w:rPr>
        <w:t>Doctor of Nursing Practice Essentials Table</w:t>
      </w:r>
    </w:p>
    <w:p w14:paraId="46D2A647" w14:textId="77777777" w:rsidR="00740E83" w:rsidRPr="00740E83" w:rsidRDefault="00740E83" w:rsidP="00740E83">
      <w:pPr>
        <w:jc w:val="center"/>
        <w:rPr>
          <w:rFonts w:ascii="Times New Roman" w:eastAsia="Times New Roman" w:hAnsi="Times New Roman" w:cs="Times New Roman"/>
        </w:rPr>
      </w:pPr>
    </w:p>
    <w:p w14:paraId="10833C22" w14:textId="1EB8A545" w:rsidR="00740E83" w:rsidRDefault="00740E83" w:rsidP="00740E83">
      <w:pPr>
        <w:spacing w:line="480" w:lineRule="auto"/>
        <w:jc w:val="center"/>
        <w:rPr>
          <w:rFonts w:ascii="Times New Roman" w:hAnsi="Times New Roman" w:cs="Times New Roman"/>
        </w:rPr>
      </w:pPr>
      <w:r>
        <w:rPr>
          <w:rFonts w:ascii="Times New Roman" w:hAnsi="Times New Roman" w:cs="Times New Roman"/>
          <w:noProof/>
        </w:rPr>
        <w:drawing>
          <wp:inline distT="0" distB="0" distL="0" distR="0" wp14:anchorId="39117D07" wp14:editId="69DED261">
            <wp:extent cx="4786086" cy="3681094"/>
            <wp:effectExtent l="12700" t="12700" r="14605" b="15240"/>
            <wp:docPr id="57" name="Picture 57"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Text&#10;&#10;Description automatically generated with medium confidence"/>
                    <pic:cNvPicPr/>
                  </pic:nvPicPr>
                  <pic:blipFill>
                    <a:blip r:embed="rId60">
                      <a:extLst>
                        <a:ext uri="{28A0092B-C50C-407E-A947-70E740481C1C}">
                          <a14:useLocalDpi xmlns:a14="http://schemas.microsoft.com/office/drawing/2010/main" val="0"/>
                        </a:ext>
                      </a:extLst>
                    </a:blip>
                    <a:stretch>
                      <a:fillRect/>
                    </a:stretch>
                  </pic:blipFill>
                  <pic:spPr>
                    <a:xfrm>
                      <a:off x="0" y="0"/>
                      <a:ext cx="4786553" cy="3681453"/>
                    </a:xfrm>
                    <a:prstGeom prst="rect">
                      <a:avLst/>
                    </a:prstGeom>
                    <a:ln>
                      <a:solidFill>
                        <a:schemeClr val="tx1"/>
                      </a:solidFill>
                    </a:ln>
                  </pic:spPr>
                </pic:pic>
              </a:graphicData>
            </a:graphic>
          </wp:inline>
        </w:drawing>
      </w:r>
    </w:p>
    <w:p w14:paraId="2CA90C67" w14:textId="1F57CCCC" w:rsidR="00740E83" w:rsidRDefault="00684C31" w:rsidP="00740E83">
      <w:pPr>
        <w:rPr>
          <w:rFonts w:ascii="Times New Roman" w:hAnsi="Times New Roman" w:cs="Times New Roman"/>
        </w:rPr>
      </w:pPr>
      <w:r>
        <w:rPr>
          <w:rFonts w:ascii="Times New Roman" w:hAnsi="Times New Roman" w:cs="Times New Roman"/>
        </w:rPr>
        <w:t>Figure</w:t>
      </w:r>
      <w:r w:rsidR="00740E83">
        <w:rPr>
          <w:rFonts w:ascii="Times New Roman" w:hAnsi="Times New Roman" w:cs="Times New Roman"/>
        </w:rPr>
        <w:t xml:space="preserve"> O. </w:t>
      </w:r>
      <w:r w:rsidR="00740E83" w:rsidRPr="00740E83">
        <w:rPr>
          <w:rFonts w:ascii="Times New Roman" w:hAnsi="Times New Roman" w:cs="Times New Roman"/>
        </w:rPr>
        <w:t>Doctor of Nursing Practice Essentials Table</w:t>
      </w:r>
      <w:r w:rsidR="00740E83">
        <w:rPr>
          <w:rFonts w:ascii="Times New Roman" w:hAnsi="Times New Roman" w:cs="Times New Roman"/>
        </w:rPr>
        <w:t xml:space="preserve"> (American Association of Colleges of Nursing, 2006). </w:t>
      </w:r>
    </w:p>
    <w:p w14:paraId="33319CD8" w14:textId="3893DB24" w:rsidR="00DF2FB9" w:rsidRDefault="00DF2FB9" w:rsidP="00740E83">
      <w:pPr>
        <w:rPr>
          <w:rFonts w:ascii="Times New Roman" w:hAnsi="Times New Roman" w:cs="Times New Roman"/>
        </w:rPr>
      </w:pPr>
    </w:p>
    <w:p w14:paraId="1B4AC59A" w14:textId="77777777" w:rsidR="00DF2FB9" w:rsidRDefault="00DF2FB9">
      <w:pPr>
        <w:rPr>
          <w:rFonts w:ascii="Times New Roman" w:hAnsi="Times New Roman" w:cs="Times New Roman"/>
        </w:rPr>
      </w:pPr>
      <w:r>
        <w:rPr>
          <w:rFonts w:ascii="Times New Roman" w:hAnsi="Times New Roman" w:cs="Times New Roman"/>
        </w:rPr>
        <w:br w:type="page"/>
      </w:r>
    </w:p>
    <w:p w14:paraId="23ACD5D4" w14:textId="0035AE19" w:rsidR="00DF2FB9" w:rsidRDefault="00DF2FB9" w:rsidP="00DF2FB9">
      <w:pPr>
        <w:spacing w:line="480" w:lineRule="auto"/>
        <w:jc w:val="center"/>
        <w:rPr>
          <w:rFonts w:ascii="Times New Roman" w:hAnsi="Times New Roman" w:cs="Times New Roman"/>
          <w:b/>
          <w:bCs/>
        </w:rPr>
      </w:pPr>
      <w:r>
        <w:rPr>
          <w:rFonts w:ascii="Times New Roman" w:hAnsi="Times New Roman" w:cs="Times New Roman"/>
          <w:b/>
          <w:bCs/>
        </w:rPr>
        <w:lastRenderedPageBreak/>
        <w:t>Appendix P</w:t>
      </w:r>
    </w:p>
    <w:p w14:paraId="3DA60A67" w14:textId="2484ABDC" w:rsidR="00DF2FB9" w:rsidRPr="00DF2FB9" w:rsidRDefault="00684C31" w:rsidP="00684C31">
      <w:pPr>
        <w:spacing w:line="480" w:lineRule="auto"/>
        <w:jc w:val="cente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35040" behindDoc="0" locked="0" layoutInCell="1" allowOverlap="1" wp14:anchorId="10C1ED78" wp14:editId="6FC1F109">
                <wp:simplePos x="0" y="0"/>
                <wp:positionH relativeFrom="column">
                  <wp:posOffset>-189781</wp:posOffset>
                </wp:positionH>
                <wp:positionV relativeFrom="page">
                  <wp:posOffset>5128895</wp:posOffset>
                </wp:positionV>
                <wp:extent cx="1253490" cy="350520"/>
                <wp:effectExtent l="0" t="0" r="16510" b="17780"/>
                <wp:wrapNone/>
                <wp:docPr id="69" name="Rectangle 69"/>
                <wp:cNvGraphicFramePr/>
                <a:graphic xmlns:a="http://schemas.openxmlformats.org/drawingml/2006/main">
                  <a:graphicData uri="http://schemas.microsoft.com/office/word/2010/wordprocessingShape">
                    <wps:wsp>
                      <wps:cNvSpPr/>
                      <wps:spPr>
                        <a:xfrm>
                          <a:off x="0" y="0"/>
                          <a:ext cx="1253490" cy="35052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A84935" id="Rectangle 69" o:spid="_x0000_s1026" style="position:absolute;margin-left:-14.95pt;margin-top:403.85pt;width:98.7pt;height:27.6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" fillcolor="black [3200]" strokecolor="black [1600]" strokeweight="1pt">
                <w10:wrap anchory="page"/>
              </v:rect>
            </w:pict>
          </mc:Fallback>
        </mc:AlternateContent>
      </w:r>
      <w:r>
        <w:rPr>
          <w:rFonts w:ascii="Times New Roman" w:hAnsi="Times New Roman" w:cs="Times New Roman"/>
          <w:noProof/>
        </w:rPr>
        <mc:AlternateContent>
          <mc:Choice Requires="wps">
            <w:drawing>
              <wp:anchor distT="0" distB="0" distL="114300" distR="114300" simplePos="0" relativeHeight="251732992" behindDoc="0" locked="0" layoutInCell="1" allowOverlap="1" wp14:anchorId="5C7799B6" wp14:editId="24E93125">
                <wp:simplePos x="0" y="0"/>
                <wp:positionH relativeFrom="column">
                  <wp:posOffset>5014140</wp:posOffset>
                </wp:positionH>
                <wp:positionV relativeFrom="paragraph">
                  <wp:posOffset>673100</wp:posOffset>
                </wp:positionV>
                <wp:extent cx="1207135" cy="316230"/>
                <wp:effectExtent l="0" t="0" r="12065" b="13970"/>
                <wp:wrapNone/>
                <wp:docPr id="68" name="Rectangle 68"/>
                <wp:cNvGraphicFramePr/>
                <a:graphic xmlns:a="http://schemas.openxmlformats.org/drawingml/2006/main">
                  <a:graphicData uri="http://schemas.microsoft.com/office/word/2010/wordprocessingShape">
                    <wps:wsp>
                      <wps:cNvSpPr/>
                      <wps:spPr>
                        <a:xfrm>
                          <a:off x="0" y="0"/>
                          <a:ext cx="1207135" cy="31623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D4D3B7" id="Rectangle 68" o:spid="_x0000_s1026" style="position:absolute;margin-left:394.8pt;margin-top:53pt;width:95.05pt;height:24.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" fillcolor="black [3200]" strokecolor="black [1600]" strokeweight="1pt"/>
            </w:pict>
          </mc:Fallback>
        </mc:AlternateContent>
      </w:r>
      <w:r w:rsidR="00DF2FB9">
        <w:rPr>
          <w:rFonts w:ascii="Times New Roman" w:hAnsi="Times New Roman" w:cs="Times New Roman"/>
        </w:rPr>
        <w:t>DNP Project Poster</w:t>
      </w:r>
      <w:r w:rsidR="00DF2FB9">
        <w:rPr>
          <w:rFonts w:ascii="Times New Roman" w:hAnsi="Times New Roman" w:cs="Times New Roman"/>
          <w:noProof/>
        </w:rPr>
        <w:drawing>
          <wp:anchor distT="0" distB="0" distL="114300" distR="114300" simplePos="0" relativeHeight="251730944" behindDoc="0" locked="0" layoutInCell="1" allowOverlap="1" wp14:anchorId="061CD881" wp14:editId="6FDECE48">
            <wp:simplePos x="0" y="0"/>
            <wp:positionH relativeFrom="column">
              <wp:posOffset>-378888</wp:posOffset>
            </wp:positionH>
            <wp:positionV relativeFrom="page">
              <wp:posOffset>1895475</wp:posOffset>
            </wp:positionV>
            <wp:extent cx="6722110" cy="3794125"/>
            <wp:effectExtent l="12700" t="12700" r="8890" b="15875"/>
            <wp:wrapThrough wrapText="bothSides">
              <wp:wrapPolygon edited="0">
                <wp:start x="-41" y="-72"/>
                <wp:lineTo x="-41" y="21618"/>
                <wp:lineTo x="21588" y="21618"/>
                <wp:lineTo x="21588" y="-72"/>
                <wp:lineTo x="-41" y="-72"/>
              </wp:wrapPolygon>
            </wp:wrapThrough>
            <wp:docPr id="67" name="Picture 6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Graphical user interface, application&#10;&#10;Description automatically generated"/>
                    <pic:cNvPicPr/>
                  </pic:nvPicPr>
                  <pic:blipFill>
                    <a:blip r:embed="rId61" cstate="print">
                      <a:extLst>
                        <a:ext uri="{28A0092B-C50C-407E-A947-70E740481C1C}">
                          <a14:useLocalDpi xmlns:a14="http://schemas.microsoft.com/office/drawing/2010/main" val="0"/>
                        </a:ext>
                      </a:extLst>
                    </a:blip>
                    <a:stretch>
                      <a:fillRect/>
                    </a:stretch>
                  </pic:blipFill>
                  <pic:spPr>
                    <a:xfrm>
                      <a:off x="0" y="0"/>
                      <a:ext cx="6722110" cy="379412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sectPr w:rsidR="00DF2FB9" w:rsidRPr="00DF2FB9" w:rsidSect="00023F39">
      <w:headerReference w:type="even" r:id="rId62"/>
      <w:headerReference w:type="default" r:id="rId6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7BC2B8" w14:textId="77777777" w:rsidR="005D501E" w:rsidRDefault="005D501E" w:rsidP="00B70FA9">
      <w:r>
        <w:separator/>
      </w:r>
    </w:p>
  </w:endnote>
  <w:endnote w:type="continuationSeparator" w:id="0">
    <w:p w14:paraId="44DC74EC" w14:textId="77777777" w:rsidR="005D501E" w:rsidRDefault="005D501E" w:rsidP="00B70F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1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FBFEEF" w14:textId="77777777" w:rsidR="005D501E" w:rsidRDefault="005D501E" w:rsidP="00B70FA9">
      <w:r>
        <w:separator/>
      </w:r>
    </w:p>
  </w:footnote>
  <w:footnote w:type="continuationSeparator" w:id="0">
    <w:p w14:paraId="10A9F8D9" w14:textId="77777777" w:rsidR="005D501E" w:rsidRDefault="005D501E" w:rsidP="00B70F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02029443"/>
      <w:docPartObj>
        <w:docPartGallery w:val="Page Numbers (Top of Page)"/>
        <w:docPartUnique/>
      </w:docPartObj>
    </w:sdtPr>
    <w:sdtEndPr>
      <w:rPr>
        <w:rStyle w:val="PageNumber"/>
      </w:rPr>
    </w:sdtEndPr>
    <w:sdtContent>
      <w:p w14:paraId="2C8B8462" w14:textId="0064CA60" w:rsidR="00603FA5" w:rsidRDefault="00603FA5" w:rsidP="00FF7DC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5A8171D" w14:textId="77777777" w:rsidR="00603FA5" w:rsidRDefault="00603FA5" w:rsidP="00B70FA9">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rPr>
      <w:id w:val="-240487318"/>
      <w:docPartObj>
        <w:docPartGallery w:val="Page Numbers (Top of Page)"/>
        <w:docPartUnique/>
      </w:docPartObj>
    </w:sdtPr>
    <w:sdtEndPr>
      <w:rPr>
        <w:rStyle w:val="PageNumber"/>
      </w:rPr>
    </w:sdtEndPr>
    <w:sdtContent>
      <w:p w14:paraId="5B384101" w14:textId="15363886" w:rsidR="00FF7DC4" w:rsidRPr="00FF7DC4" w:rsidRDefault="00FF7DC4" w:rsidP="00272E64">
        <w:pPr>
          <w:pStyle w:val="Header"/>
          <w:framePr w:wrap="none" w:vAnchor="text" w:hAnchor="margin" w:xAlign="right" w:y="1"/>
          <w:rPr>
            <w:rStyle w:val="PageNumber"/>
            <w:rFonts w:ascii="Times New Roman" w:hAnsi="Times New Roman" w:cs="Times New Roman"/>
          </w:rPr>
        </w:pPr>
        <w:r w:rsidRPr="00FF7DC4">
          <w:rPr>
            <w:rStyle w:val="PageNumber"/>
            <w:rFonts w:ascii="Times New Roman" w:hAnsi="Times New Roman" w:cs="Times New Roman"/>
          </w:rPr>
          <w:fldChar w:fldCharType="begin"/>
        </w:r>
        <w:r w:rsidRPr="00FF7DC4">
          <w:rPr>
            <w:rStyle w:val="PageNumber"/>
            <w:rFonts w:ascii="Times New Roman" w:hAnsi="Times New Roman" w:cs="Times New Roman"/>
          </w:rPr>
          <w:instrText xml:space="preserve"> PAGE </w:instrText>
        </w:r>
        <w:r w:rsidRPr="00FF7DC4">
          <w:rPr>
            <w:rStyle w:val="PageNumber"/>
            <w:rFonts w:ascii="Times New Roman" w:hAnsi="Times New Roman" w:cs="Times New Roman"/>
          </w:rPr>
          <w:fldChar w:fldCharType="separate"/>
        </w:r>
        <w:r w:rsidRPr="00FF7DC4">
          <w:rPr>
            <w:rStyle w:val="PageNumber"/>
            <w:rFonts w:ascii="Times New Roman" w:hAnsi="Times New Roman" w:cs="Times New Roman"/>
            <w:noProof/>
          </w:rPr>
          <w:t>1</w:t>
        </w:r>
        <w:r w:rsidRPr="00FF7DC4">
          <w:rPr>
            <w:rStyle w:val="PageNumber"/>
            <w:rFonts w:ascii="Times New Roman" w:hAnsi="Times New Roman" w:cs="Times New Roman"/>
          </w:rPr>
          <w:fldChar w:fldCharType="end"/>
        </w:r>
      </w:p>
    </w:sdtContent>
  </w:sdt>
  <w:p w14:paraId="2EEBFB76" w14:textId="79C37BDD" w:rsidR="00603FA5" w:rsidRDefault="00FE31D3" w:rsidP="00B70FA9">
    <w:pPr>
      <w:pStyle w:val="Header"/>
      <w:ind w:right="360"/>
    </w:pPr>
    <w:r>
      <w:rPr>
        <w:rFonts w:ascii="Times New Roman" w:hAnsi="Times New Roman" w:cs="Times New Roman"/>
      </w:rPr>
      <w:t>MEDICATION COST REDUCTION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4" type="#_x0000_t75" alt="Stop outline" style="width:14.7pt;height:14.7pt;visibility:visible"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" o:bullet="t">
        <v:imagedata r:id="rId1" o:title="" cropbottom="-1170f" cropright="-1170f"/>
      </v:shape>
    </w:pict>
  </w:numPicBullet>
  <w:abstractNum w:abstractNumId="0" w15:restartNumberingAfterBreak="0">
    <w:nsid w:val="021A5AFE"/>
    <w:multiLevelType w:val="hybridMultilevel"/>
    <w:tmpl w:val="39FCD0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404F587A"/>
    <w:multiLevelType w:val="hybridMultilevel"/>
    <w:tmpl w:val="0D48F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4181BB8"/>
    <w:multiLevelType w:val="multilevel"/>
    <w:tmpl w:val="45AE9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92C1D61"/>
    <w:multiLevelType w:val="hybridMultilevel"/>
    <w:tmpl w:val="F34096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30A3"/>
    <w:rsid w:val="0001062C"/>
    <w:rsid w:val="00023F39"/>
    <w:rsid w:val="00024202"/>
    <w:rsid w:val="00026216"/>
    <w:rsid w:val="00027A8B"/>
    <w:rsid w:val="00033414"/>
    <w:rsid w:val="000344C9"/>
    <w:rsid w:val="000346F1"/>
    <w:rsid w:val="000516FA"/>
    <w:rsid w:val="000724BE"/>
    <w:rsid w:val="00075A22"/>
    <w:rsid w:val="00076A9C"/>
    <w:rsid w:val="00077C37"/>
    <w:rsid w:val="000929EF"/>
    <w:rsid w:val="000B5318"/>
    <w:rsid w:val="000D4F86"/>
    <w:rsid w:val="000E3A15"/>
    <w:rsid w:val="0010711F"/>
    <w:rsid w:val="00123624"/>
    <w:rsid w:val="001341A1"/>
    <w:rsid w:val="00152332"/>
    <w:rsid w:val="00180BE1"/>
    <w:rsid w:val="00183F77"/>
    <w:rsid w:val="0019121C"/>
    <w:rsid w:val="00192E9C"/>
    <w:rsid w:val="00196313"/>
    <w:rsid w:val="001B087C"/>
    <w:rsid w:val="001B0A77"/>
    <w:rsid w:val="001B3660"/>
    <w:rsid w:val="001C5FAF"/>
    <w:rsid w:val="001F2D3D"/>
    <w:rsid w:val="00222184"/>
    <w:rsid w:val="00223116"/>
    <w:rsid w:val="002269C9"/>
    <w:rsid w:val="00240E4E"/>
    <w:rsid w:val="002529D0"/>
    <w:rsid w:val="002836B7"/>
    <w:rsid w:val="002A5422"/>
    <w:rsid w:val="002B48DC"/>
    <w:rsid w:val="002D14C2"/>
    <w:rsid w:val="002D77CE"/>
    <w:rsid w:val="002E0363"/>
    <w:rsid w:val="002E0BE2"/>
    <w:rsid w:val="002E1CC3"/>
    <w:rsid w:val="002E3EA2"/>
    <w:rsid w:val="003132D6"/>
    <w:rsid w:val="003330A3"/>
    <w:rsid w:val="00374554"/>
    <w:rsid w:val="00377D11"/>
    <w:rsid w:val="0038555D"/>
    <w:rsid w:val="003A76B3"/>
    <w:rsid w:val="003B037D"/>
    <w:rsid w:val="003C6134"/>
    <w:rsid w:val="003E021A"/>
    <w:rsid w:val="003E29F3"/>
    <w:rsid w:val="003F4CDF"/>
    <w:rsid w:val="003F5A33"/>
    <w:rsid w:val="00400D9B"/>
    <w:rsid w:val="00442957"/>
    <w:rsid w:val="004477B4"/>
    <w:rsid w:val="0046153E"/>
    <w:rsid w:val="004716AD"/>
    <w:rsid w:val="00473E12"/>
    <w:rsid w:val="00480ECA"/>
    <w:rsid w:val="00483863"/>
    <w:rsid w:val="00483ADA"/>
    <w:rsid w:val="00486EAF"/>
    <w:rsid w:val="004A20D4"/>
    <w:rsid w:val="004D1D3B"/>
    <w:rsid w:val="004F0257"/>
    <w:rsid w:val="00503632"/>
    <w:rsid w:val="00505956"/>
    <w:rsid w:val="00505CF2"/>
    <w:rsid w:val="005174D9"/>
    <w:rsid w:val="00523C28"/>
    <w:rsid w:val="00544C6E"/>
    <w:rsid w:val="00551F4D"/>
    <w:rsid w:val="0056419B"/>
    <w:rsid w:val="00576504"/>
    <w:rsid w:val="005951C5"/>
    <w:rsid w:val="005A2820"/>
    <w:rsid w:val="005A78C6"/>
    <w:rsid w:val="005B6BB0"/>
    <w:rsid w:val="005D501E"/>
    <w:rsid w:val="005D637B"/>
    <w:rsid w:val="005E0F07"/>
    <w:rsid w:val="005F42F7"/>
    <w:rsid w:val="005F4A9E"/>
    <w:rsid w:val="00603FA5"/>
    <w:rsid w:val="0060573E"/>
    <w:rsid w:val="00612FF5"/>
    <w:rsid w:val="00613450"/>
    <w:rsid w:val="00615F59"/>
    <w:rsid w:val="0062072F"/>
    <w:rsid w:val="006403F7"/>
    <w:rsid w:val="00641E1A"/>
    <w:rsid w:val="006663B7"/>
    <w:rsid w:val="00674892"/>
    <w:rsid w:val="00684C31"/>
    <w:rsid w:val="00691DFD"/>
    <w:rsid w:val="006B5B0C"/>
    <w:rsid w:val="006C456D"/>
    <w:rsid w:val="006D0C33"/>
    <w:rsid w:val="006D78B5"/>
    <w:rsid w:val="006E528B"/>
    <w:rsid w:val="00707F17"/>
    <w:rsid w:val="00713A0C"/>
    <w:rsid w:val="007252F2"/>
    <w:rsid w:val="00726EDA"/>
    <w:rsid w:val="00731276"/>
    <w:rsid w:val="00740E83"/>
    <w:rsid w:val="00767053"/>
    <w:rsid w:val="007674BE"/>
    <w:rsid w:val="00776834"/>
    <w:rsid w:val="00793CBC"/>
    <w:rsid w:val="00794BA7"/>
    <w:rsid w:val="007A0F9E"/>
    <w:rsid w:val="007A72E9"/>
    <w:rsid w:val="007D61C1"/>
    <w:rsid w:val="007E36CB"/>
    <w:rsid w:val="007F1FF3"/>
    <w:rsid w:val="00800B3B"/>
    <w:rsid w:val="008110EE"/>
    <w:rsid w:val="008148B8"/>
    <w:rsid w:val="008227A7"/>
    <w:rsid w:val="00823224"/>
    <w:rsid w:val="0083329F"/>
    <w:rsid w:val="00836D7B"/>
    <w:rsid w:val="00840092"/>
    <w:rsid w:val="00840CB8"/>
    <w:rsid w:val="00847F17"/>
    <w:rsid w:val="00852DF5"/>
    <w:rsid w:val="00856BA6"/>
    <w:rsid w:val="00862329"/>
    <w:rsid w:val="00874AFC"/>
    <w:rsid w:val="008931FF"/>
    <w:rsid w:val="008943B7"/>
    <w:rsid w:val="00895544"/>
    <w:rsid w:val="008B646C"/>
    <w:rsid w:val="008B68DF"/>
    <w:rsid w:val="008D4218"/>
    <w:rsid w:val="008E709F"/>
    <w:rsid w:val="008F3B6A"/>
    <w:rsid w:val="00912786"/>
    <w:rsid w:val="00941ECF"/>
    <w:rsid w:val="009439F4"/>
    <w:rsid w:val="0097378D"/>
    <w:rsid w:val="0098674E"/>
    <w:rsid w:val="009901CD"/>
    <w:rsid w:val="00997C3C"/>
    <w:rsid w:val="009B7808"/>
    <w:rsid w:val="009C0471"/>
    <w:rsid w:val="009C0EF1"/>
    <w:rsid w:val="009D4339"/>
    <w:rsid w:val="009D7391"/>
    <w:rsid w:val="009F1698"/>
    <w:rsid w:val="009F2EA4"/>
    <w:rsid w:val="009F452D"/>
    <w:rsid w:val="00A024F8"/>
    <w:rsid w:val="00A11026"/>
    <w:rsid w:val="00A153FA"/>
    <w:rsid w:val="00A160DC"/>
    <w:rsid w:val="00A21D41"/>
    <w:rsid w:val="00A4143D"/>
    <w:rsid w:val="00A54E43"/>
    <w:rsid w:val="00A719A1"/>
    <w:rsid w:val="00A763B2"/>
    <w:rsid w:val="00A9707F"/>
    <w:rsid w:val="00AA0B93"/>
    <w:rsid w:val="00AB715C"/>
    <w:rsid w:val="00AC50E1"/>
    <w:rsid w:val="00AC727C"/>
    <w:rsid w:val="00AD2239"/>
    <w:rsid w:val="00AD27A8"/>
    <w:rsid w:val="00AD4F6C"/>
    <w:rsid w:val="00B06712"/>
    <w:rsid w:val="00B1092A"/>
    <w:rsid w:val="00B15ECE"/>
    <w:rsid w:val="00B25A08"/>
    <w:rsid w:val="00B323B5"/>
    <w:rsid w:val="00B32E91"/>
    <w:rsid w:val="00B54547"/>
    <w:rsid w:val="00B62972"/>
    <w:rsid w:val="00B70FA9"/>
    <w:rsid w:val="00B713F7"/>
    <w:rsid w:val="00B80D24"/>
    <w:rsid w:val="00B945DA"/>
    <w:rsid w:val="00BA5E6A"/>
    <w:rsid w:val="00BA762A"/>
    <w:rsid w:val="00BA7C1A"/>
    <w:rsid w:val="00BB7BE1"/>
    <w:rsid w:val="00BC2B71"/>
    <w:rsid w:val="00BC6BAD"/>
    <w:rsid w:val="00BD6F2B"/>
    <w:rsid w:val="00BD7D28"/>
    <w:rsid w:val="00BF5F29"/>
    <w:rsid w:val="00C3318A"/>
    <w:rsid w:val="00C36677"/>
    <w:rsid w:val="00C42D05"/>
    <w:rsid w:val="00C52CAB"/>
    <w:rsid w:val="00C62821"/>
    <w:rsid w:val="00C64CFC"/>
    <w:rsid w:val="00C727FA"/>
    <w:rsid w:val="00C7345A"/>
    <w:rsid w:val="00C80A8C"/>
    <w:rsid w:val="00CA7023"/>
    <w:rsid w:val="00CF484D"/>
    <w:rsid w:val="00D226BD"/>
    <w:rsid w:val="00D359C0"/>
    <w:rsid w:val="00D35C74"/>
    <w:rsid w:val="00D458BD"/>
    <w:rsid w:val="00D5753D"/>
    <w:rsid w:val="00D74E7A"/>
    <w:rsid w:val="00D80024"/>
    <w:rsid w:val="00D84351"/>
    <w:rsid w:val="00DA4D01"/>
    <w:rsid w:val="00DA7AB9"/>
    <w:rsid w:val="00DB39D9"/>
    <w:rsid w:val="00DC1DBF"/>
    <w:rsid w:val="00DC5A73"/>
    <w:rsid w:val="00DD2750"/>
    <w:rsid w:val="00DF2FB9"/>
    <w:rsid w:val="00E00AF4"/>
    <w:rsid w:val="00E33959"/>
    <w:rsid w:val="00E40AD2"/>
    <w:rsid w:val="00E47354"/>
    <w:rsid w:val="00E85CD3"/>
    <w:rsid w:val="00E963C5"/>
    <w:rsid w:val="00EA30C1"/>
    <w:rsid w:val="00EB0615"/>
    <w:rsid w:val="00EB1993"/>
    <w:rsid w:val="00ED4EF2"/>
    <w:rsid w:val="00EE0325"/>
    <w:rsid w:val="00EE1BF2"/>
    <w:rsid w:val="00F160E6"/>
    <w:rsid w:val="00F22C49"/>
    <w:rsid w:val="00F31270"/>
    <w:rsid w:val="00F34B3C"/>
    <w:rsid w:val="00F4093B"/>
    <w:rsid w:val="00F442C1"/>
    <w:rsid w:val="00F45972"/>
    <w:rsid w:val="00F93244"/>
    <w:rsid w:val="00FB191D"/>
    <w:rsid w:val="00FB5C6E"/>
    <w:rsid w:val="00FB60D9"/>
    <w:rsid w:val="00FB6FCA"/>
    <w:rsid w:val="00FC6037"/>
    <w:rsid w:val="00FD7C28"/>
    <w:rsid w:val="00FE31D3"/>
    <w:rsid w:val="00FF5869"/>
    <w:rsid w:val="00FF7D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C5109"/>
  <w15:chartTrackingRefBased/>
  <w15:docId w15:val="{EEB87CF1-A5B8-4947-A471-60879B343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63C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
    <w:name w:val="APA"/>
    <w:basedOn w:val="BodyText"/>
    <w:rsid w:val="003330A3"/>
    <w:pPr>
      <w:overflowPunct w:val="0"/>
      <w:autoSpaceDE w:val="0"/>
      <w:autoSpaceDN w:val="0"/>
      <w:adjustRightInd w:val="0"/>
      <w:spacing w:after="0" w:line="480" w:lineRule="auto"/>
      <w:ind w:firstLine="720"/>
    </w:pPr>
    <w:rPr>
      <w:rFonts w:ascii="Times New Roman" w:eastAsia="Times New Roman" w:hAnsi="Times New Roman" w:cs="Times New Roman"/>
      <w:szCs w:val="20"/>
    </w:rPr>
  </w:style>
  <w:style w:type="paragraph" w:styleId="BodyText">
    <w:name w:val="Body Text"/>
    <w:basedOn w:val="Normal"/>
    <w:link w:val="BodyTextChar"/>
    <w:uiPriority w:val="99"/>
    <w:semiHidden/>
    <w:unhideWhenUsed/>
    <w:rsid w:val="003330A3"/>
    <w:pPr>
      <w:spacing w:after="120"/>
    </w:pPr>
  </w:style>
  <w:style w:type="character" w:customStyle="1" w:styleId="BodyTextChar">
    <w:name w:val="Body Text Char"/>
    <w:basedOn w:val="DefaultParagraphFont"/>
    <w:link w:val="BodyText"/>
    <w:uiPriority w:val="99"/>
    <w:semiHidden/>
    <w:rsid w:val="003330A3"/>
  </w:style>
  <w:style w:type="character" w:styleId="Hyperlink">
    <w:name w:val="Hyperlink"/>
    <w:basedOn w:val="DefaultParagraphFont"/>
    <w:uiPriority w:val="99"/>
    <w:unhideWhenUsed/>
    <w:rsid w:val="00DB39D9"/>
    <w:rPr>
      <w:color w:val="0563C1" w:themeColor="hyperlink"/>
      <w:u w:val="single"/>
    </w:rPr>
  </w:style>
  <w:style w:type="character" w:styleId="UnresolvedMention">
    <w:name w:val="Unresolved Mention"/>
    <w:basedOn w:val="DefaultParagraphFont"/>
    <w:uiPriority w:val="99"/>
    <w:semiHidden/>
    <w:unhideWhenUsed/>
    <w:rsid w:val="00DB39D9"/>
    <w:rPr>
      <w:color w:val="605E5C"/>
      <w:shd w:val="clear" w:color="auto" w:fill="E1DFDD"/>
    </w:rPr>
  </w:style>
  <w:style w:type="paragraph" w:styleId="Header">
    <w:name w:val="header"/>
    <w:basedOn w:val="Normal"/>
    <w:link w:val="HeaderChar"/>
    <w:uiPriority w:val="99"/>
    <w:unhideWhenUsed/>
    <w:rsid w:val="00B70FA9"/>
    <w:pPr>
      <w:tabs>
        <w:tab w:val="center" w:pos="4680"/>
        <w:tab w:val="right" w:pos="9360"/>
      </w:tabs>
    </w:pPr>
  </w:style>
  <w:style w:type="character" w:customStyle="1" w:styleId="HeaderChar">
    <w:name w:val="Header Char"/>
    <w:basedOn w:val="DefaultParagraphFont"/>
    <w:link w:val="Header"/>
    <w:uiPriority w:val="99"/>
    <w:rsid w:val="00B70FA9"/>
  </w:style>
  <w:style w:type="character" w:styleId="PageNumber">
    <w:name w:val="page number"/>
    <w:basedOn w:val="DefaultParagraphFont"/>
    <w:uiPriority w:val="99"/>
    <w:semiHidden/>
    <w:unhideWhenUsed/>
    <w:rsid w:val="00B70FA9"/>
  </w:style>
  <w:style w:type="character" w:styleId="FollowedHyperlink">
    <w:name w:val="FollowedHyperlink"/>
    <w:basedOn w:val="DefaultParagraphFont"/>
    <w:uiPriority w:val="99"/>
    <w:semiHidden/>
    <w:unhideWhenUsed/>
    <w:rsid w:val="007252F2"/>
    <w:rPr>
      <w:color w:val="954F72" w:themeColor="followedHyperlink"/>
      <w:u w:val="single"/>
    </w:rPr>
  </w:style>
  <w:style w:type="paragraph" w:styleId="NormalWeb">
    <w:name w:val="Normal (Web)"/>
    <w:basedOn w:val="Normal"/>
    <w:uiPriority w:val="99"/>
    <w:unhideWhenUsed/>
    <w:rsid w:val="0001062C"/>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01062C"/>
    <w:rPr>
      <w:b/>
      <w:bCs/>
    </w:rPr>
  </w:style>
  <w:style w:type="character" w:styleId="Emphasis">
    <w:name w:val="Emphasis"/>
    <w:basedOn w:val="DefaultParagraphFont"/>
    <w:uiPriority w:val="20"/>
    <w:qFormat/>
    <w:rsid w:val="0001062C"/>
    <w:rPr>
      <w:i/>
      <w:iCs/>
    </w:rPr>
  </w:style>
  <w:style w:type="paragraph" w:styleId="Footer">
    <w:name w:val="footer"/>
    <w:basedOn w:val="Normal"/>
    <w:link w:val="FooterChar"/>
    <w:uiPriority w:val="99"/>
    <w:unhideWhenUsed/>
    <w:rsid w:val="00033414"/>
    <w:pPr>
      <w:tabs>
        <w:tab w:val="center" w:pos="4680"/>
        <w:tab w:val="right" w:pos="9360"/>
      </w:tabs>
    </w:pPr>
  </w:style>
  <w:style w:type="character" w:customStyle="1" w:styleId="FooterChar">
    <w:name w:val="Footer Char"/>
    <w:basedOn w:val="DefaultParagraphFont"/>
    <w:link w:val="Footer"/>
    <w:uiPriority w:val="99"/>
    <w:rsid w:val="00033414"/>
  </w:style>
  <w:style w:type="paragraph" w:styleId="ListParagraph">
    <w:name w:val="List Paragraph"/>
    <w:basedOn w:val="Normal"/>
    <w:uiPriority w:val="34"/>
    <w:qFormat/>
    <w:rsid w:val="00ED4EF2"/>
    <w:pPr>
      <w:ind w:left="720"/>
      <w:contextualSpacing/>
    </w:pPr>
  </w:style>
  <w:style w:type="table" w:styleId="TableGrid">
    <w:name w:val="Table Grid"/>
    <w:basedOn w:val="TableNormal"/>
    <w:uiPriority w:val="39"/>
    <w:rsid w:val="00BA5E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BA5E6A"/>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BA5E6A"/>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ListTable3-Accent3">
    <w:name w:val="List Table 3 Accent 3"/>
    <w:basedOn w:val="TableNormal"/>
    <w:uiPriority w:val="48"/>
    <w:rsid w:val="00BA5E6A"/>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PlainTable2">
    <w:name w:val="Plain Table 2"/>
    <w:basedOn w:val="TableNormal"/>
    <w:uiPriority w:val="42"/>
    <w:rsid w:val="00BA5E6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BA5E6A"/>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Light">
    <w:name w:val="Grid Table Light"/>
    <w:basedOn w:val="TableNormal"/>
    <w:uiPriority w:val="40"/>
    <w:rsid w:val="00D8435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07423">
      <w:bodyDiv w:val="1"/>
      <w:marLeft w:val="0"/>
      <w:marRight w:val="0"/>
      <w:marTop w:val="0"/>
      <w:marBottom w:val="0"/>
      <w:divBdr>
        <w:top w:val="none" w:sz="0" w:space="0" w:color="auto"/>
        <w:left w:val="none" w:sz="0" w:space="0" w:color="auto"/>
        <w:bottom w:val="none" w:sz="0" w:space="0" w:color="auto"/>
        <w:right w:val="none" w:sz="0" w:space="0" w:color="auto"/>
      </w:divBdr>
    </w:div>
    <w:div w:id="41367022">
      <w:bodyDiv w:val="1"/>
      <w:marLeft w:val="0"/>
      <w:marRight w:val="0"/>
      <w:marTop w:val="0"/>
      <w:marBottom w:val="0"/>
      <w:divBdr>
        <w:top w:val="none" w:sz="0" w:space="0" w:color="auto"/>
        <w:left w:val="none" w:sz="0" w:space="0" w:color="auto"/>
        <w:bottom w:val="none" w:sz="0" w:space="0" w:color="auto"/>
        <w:right w:val="none" w:sz="0" w:space="0" w:color="auto"/>
      </w:divBdr>
    </w:div>
    <w:div w:id="81336684">
      <w:bodyDiv w:val="1"/>
      <w:marLeft w:val="0"/>
      <w:marRight w:val="0"/>
      <w:marTop w:val="0"/>
      <w:marBottom w:val="0"/>
      <w:divBdr>
        <w:top w:val="none" w:sz="0" w:space="0" w:color="auto"/>
        <w:left w:val="none" w:sz="0" w:space="0" w:color="auto"/>
        <w:bottom w:val="none" w:sz="0" w:space="0" w:color="auto"/>
        <w:right w:val="none" w:sz="0" w:space="0" w:color="auto"/>
      </w:divBdr>
    </w:div>
    <w:div w:id="156193809">
      <w:bodyDiv w:val="1"/>
      <w:marLeft w:val="0"/>
      <w:marRight w:val="0"/>
      <w:marTop w:val="0"/>
      <w:marBottom w:val="0"/>
      <w:divBdr>
        <w:top w:val="none" w:sz="0" w:space="0" w:color="auto"/>
        <w:left w:val="none" w:sz="0" w:space="0" w:color="auto"/>
        <w:bottom w:val="none" w:sz="0" w:space="0" w:color="auto"/>
        <w:right w:val="none" w:sz="0" w:space="0" w:color="auto"/>
      </w:divBdr>
    </w:div>
    <w:div w:id="203905731">
      <w:bodyDiv w:val="1"/>
      <w:marLeft w:val="0"/>
      <w:marRight w:val="0"/>
      <w:marTop w:val="0"/>
      <w:marBottom w:val="0"/>
      <w:divBdr>
        <w:top w:val="none" w:sz="0" w:space="0" w:color="auto"/>
        <w:left w:val="none" w:sz="0" w:space="0" w:color="auto"/>
        <w:bottom w:val="none" w:sz="0" w:space="0" w:color="auto"/>
        <w:right w:val="none" w:sz="0" w:space="0" w:color="auto"/>
      </w:divBdr>
    </w:div>
    <w:div w:id="204997757">
      <w:bodyDiv w:val="1"/>
      <w:marLeft w:val="0"/>
      <w:marRight w:val="0"/>
      <w:marTop w:val="0"/>
      <w:marBottom w:val="0"/>
      <w:divBdr>
        <w:top w:val="none" w:sz="0" w:space="0" w:color="auto"/>
        <w:left w:val="none" w:sz="0" w:space="0" w:color="auto"/>
        <w:bottom w:val="none" w:sz="0" w:space="0" w:color="auto"/>
        <w:right w:val="none" w:sz="0" w:space="0" w:color="auto"/>
      </w:divBdr>
    </w:div>
    <w:div w:id="235896386">
      <w:bodyDiv w:val="1"/>
      <w:marLeft w:val="0"/>
      <w:marRight w:val="0"/>
      <w:marTop w:val="0"/>
      <w:marBottom w:val="0"/>
      <w:divBdr>
        <w:top w:val="none" w:sz="0" w:space="0" w:color="auto"/>
        <w:left w:val="none" w:sz="0" w:space="0" w:color="auto"/>
        <w:bottom w:val="none" w:sz="0" w:space="0" w:color="auto"/>
        <w:right w:val="none" w:sz="0" w:space="0" w:color="auto"/>
      </w:divBdr>
    </w:div>
    <w:div w:id="280460816">
      <w:bodyDiv w:val="1"/>
      <w:marLeft w:val="0"/>
      <w:marRight w:val="0"/>
      <w:marTop w:val="0"/>
      <w:marBottom w:val="0"/>
      <w:divBdr>
        <w:top w:val="none" w:sz="0" w:space="0" w:color="auto"/>
        <w:left w:val="none" w:sz="0" w:space="0" w:color="auto"/>
        <w:bottom w:val="none" w:sz="0" w:space="0" w:color="auto"/>
        <w:right w:val="none" w:sz="0" w:space="0" w:color="auto"/>
      </w:divBdr>
    </w:div>
    <w:div w:id="281765445">
      <w:bodyDiv w:val="1"/>
      <w:marLeft w:val="0"/>
      <w:marRight w:val="0"/>
      <w:marTop w:val="0"/>
      <w:marBottom w:val="0"/>
      <w:divBdr>
        <w:top w:val="none" w:sz="0" w:space="0" w:color="auto"/>
        <w:left w:val="none" w:sz="0" w:space="0" w:color="auto"/>
        <w:bottom w:val="none" w:sz="0" w:space="0" w:color="auto"/>
        <w:right w:val="none" w:sz="0" w:space="0" w:color="auto"/>
      </w:divBdr>
    </w:div>
    <w:div w:id="284890439">
      <w:bodyDiv w:val="1"/>
      <w:marLeft w:val="0"/>
      <w:marRight w:val="0"/>
      <w:marTop w:val="0"/>
      <w:marBottom w:val="0"/>
      <w:divBdr>
        <w:top w:val="none" w:sz="0" w:space="0" w:color="auto"/>
        <w:left w:val="none" w:sz="0" w:space="0" w:color="auto"/>
        <w:bottom w:val="none" w:sz="0" w:space="0" w:color="auto"/>
        <w:right w:val="none" w:sz="0" w:space="0" w:color="auto"/>
      </w:divBdr>
    </w:div>
    <w:div w:id="345520744">
      <w:bodyDiv w:val="1"/>
      <w:marLeft w:val="0"/>
      <w:marRight w:val="0"/>
      <w:marTop w:val="0"/>
      <w:marBottom w:val="0"/>
      <w:divBdr>
        <w:top w:val="none" w:sz="0" w:space="0" w:color="auto"/>
        <w:left w:val="none" w:sz="0" w:space="0" w:color="auto"/>
        <w:bottom w:val="none" w:sz="0" w:space="0" w:color="auto"/>
        <w:right w:val="none" w:sz="0" w:space="0" w:color="auto"/>
      </w:divBdr>
    </w:div>
    <w:div w:id="356662482">
      <w:bodyDiv w:val="1"/>
      <w:marLeft w:val="0"/>
      <w:marRight w:val="0"/>
      <w:marTop w:val="0"/>
      <w:marBottom w:val="0"/>
      <w:divBdr>
        <w:top w:val="none" w:sz="0" w:space="0" w:color="auto"/>
        <w:left w:val="none" w:sz="0" w:space="0" w:color="auto"/>
        <w:bottom w:val="none" w:sz="0" w:space="0" w:color="auto"/>
        <w:right w:val="none" w:sz="0" w:space="0" w:color="auto"/>
      </w:divBdr>
    </w:div>
    <w:div w:id="375281059">
      <w:bodyDiv w:val="1"/>
      <w:marLeft w:val="0"/>
      <w:marRight w:val="0"/>
      <w:marTop w:val="0"/>
      <w:marBottom w:val="0"/>
      <w:divBdr>
        <w:top w:val="none" w:sz="0" w:space="0" w:color="auto"/>
        <w:left w:val="none" w:sz="0" w:space="0" w:color="auto"/>
        <w:bottom w:val="none" w:sz="0" w:space="0" w:color="auto"/>
        <w:right w:val="none" w:sz="0" w:space="0" w:color="auto"/>
      </w:divBdr>
    </w:div>
    <w:div w:id="388966025">
      <w:bodyDiv w:val="1"/>
      <w:marLeft w:val="0"/>
      <w:marRight w:val="0"/>
      <w:marTop w:val="0"/>
      <w:marBottom w:val="0"/>
      <w:divBdr>
        <w:top w:val="none" w:sz="0" w:space="0" w:color="auto"/>
        <w:left w:val="none" w:sz="0" w:space="0" w:color="auto"/>
        <w:bottom w:val="none" w:sz="0" w:space="0" w:color="auto"/>
        <w:right w:val="none" w:sz="0" w:space="0" w:color="auto"/>
      </w:divBdr>
    </w:div>
    <w:div w:id="392823123">
      <w:bodyDiv w:val="1"/>
      <w:marLeft w:val="0"/>
      <w:marRight w:val="0"/>
      <w:marTop w:val="0"/>
      <w:marBottom w:val="0"/>
      <w:divBdr>
        <w:top w:val="none" w:sz="0" w:space="0" w:color="auto"/>
        <w:left w:val="none" w:sz="0" w:space="0" w:color="auto"/>
        <w:bottom w:val="none" w:sz="0" w:space="0" w:color="auto"/>
        <w:right w:val="none" w:sz="0" w:space="0" w:color="auto"/>
      </w:divBdr>
    </w:div>
    <w:div w:id="463697441">
      <w:bodyDiv w:val="1"/>
      <w:marLeft w:val="0"/>
      <w:marRight w:val="0"/>
      <w:marTop w:val="0"/>
      <w:marBottom w:val="0"/>
      <w:divBdr>
        <w:top w:val="none" w:sz="0" w:space="0" w:color="auto"/>
        <w:left w:val="none" w:sz="0" w:space="0" w:color="auto"/>
        <w:bottom w:val="none" w:sz="0" w:space="0" w:color="auto"/>
        <w:right w:val="none" w:sz="0" w:space="0" w:color="auto"/>
      </w:divBdr>
    </w:div>
    <w:div w:id="501043488">
      <w:bodyDiv w:val="1"/>
      <w:marLeft w:val="0"/>
      <w:marRight w:val="0"/>
      <w:marTop w:val="0"/>
      <w:marBottom w:val="0"/>
      <w:divBdr>
        <w:top w:val="none" w:sz="0" w:space="0" w:color="auto"/>
        <w:left w:val="none" w:sz="0" w:space="0" w:color="auto"/>
        <w:bottom w:val="none" w:sz="0" w:space="0" w:color="auto"/>
        <w:right w:val="none" w:sz="0" w:space="0" w:color="auto"/>
      </w:divBdr>
    </w:div>
    <w:div w:id="531652185">
      <w:bodyDiv w:val="1"/>
      <w:marLeft w:val="0"/>
      <w:marRight w:val="0"/>
      <w:marTop w:val="0"/>
      <w:marBottom w:val="0"/>
      <w:divBdr>
        <w:top w:val="none" w:sz="0" w:space="0" w:color="auto"/>
        <w:left w:val="none" w:sz="0" w:space="0" w:color="auto"/>
        <w:bottom w:val="none" w:sz="0" w:space="0" w:color="auto"/>
        <w:right w:val="none" w:sz="0" w:space="0" w:color="auto"/>
      </w:divBdr>
    </w:div>
    <w:div w:id="533351279">
      <w:bodyDiv w:val="1"/>
      <w:marLeft w:val="0"/>
      <w:marRight w:val="0"/>
      <w:marTop w:val="0"/>
      <w:marBottom w:val="0"/>
      <w:divBdr>
        <w:top w:val="none" w:sz="0" w:space="0" w:color="auto"/>
        <w:left w:val="none" w:sz="0" w:space="0" w:color="auto"/>
        <w:bottom w:val="none" w:sz="0" w:space="0" w:color="auto"/>
        <w:right w:val="none" w:sz="0" w:space="0" w:color="auto"/>
      </w:divBdr>
    </w:div>
    <w:div w:id="534579433">
      <w:bodyDiv w:val="1"/>
      <w:marLeft w:val="0"/>
      <w:marRight w:val="0"/>
      <w:marTop w:val="0"/>
      <w:marBottom w:val="0"/>
      <w:divBdr>
        <w:top w:val="none" w:sz="0" w:space="0" w:color="auto"/>
        <w:left w:val="none" w:sz="0" w:space="0" w:color="auto"/>
        <w:bottom w:val="none" w:sz="0" w:space="0" w:color="auto"/>
        <w:right w:val="none" w:sz="0" w:space="0" w:color="auto"/>
      </w:divBdr>
    </w:div>
    <w:div w:id="539168411">
      <w:bodyDiv w:val="1"/>
      <w:marLeft w:val="0"/>
      <w:marRight w:val="0"/>
      <w:marTop w:val="0"/>
      <w:marBottom w:val="0"/>
      <w:divBdr>
        <w:top w:val="none" w:sz="0" w:space="0" w:color="auto"/>
        <w:left w:val="none" w:sz="0" w:space="0" w:color="auto"/>
        <w:bottom w:val="none" w:sz="0" w:space="0" w:color="auto"/>
        <w:right w:val="none" w:sz="0" w:space="0" w:color="auto"/>
      </w:divBdr>
      <w:divsChild>
        <w:div w:id="571163977">
          <w:marLeft w:val="0"/>
          <w:marRight w:val="0"/>
          <w:marTop w:val="0"/>
          <w:marBottom w:val="0"/>
          <w:divBdr>
            <w:top w:val="none" w:sz="0" w:space="0" w:color="auto"/>
            <w:left w:val="none" w:sz="0" w:space="0" w:color="auto"/>
            <w:bottom w:val="none" w:sz="0" w:space="0" w:color="auto"/>
            <w:right w:val="none" w:sz="0" w:space="0" w:color="auto"/>
          </w:divBdr>
        </w:div>
      </w:divsChild>
    </w:div>
    <w:div w:id="557134282">
      <w:bodyDiv w:val="1"/>
      <w:marLeft w:val="0"/>
      <w:marRight w:val="0"/>
      <w:marTop w:val="0"/>
      <w:marBottom w:val="0"/>
      <w:divBdr>
        <w:top w:val="none" w:sz="0" w:space="0" w:color="auto"/>
        <w:left w:val="none" w:sz="0" w:space="0" w:color="auto"/>
        <w:bottom w:val="none" w:sz="0" w:space="0" w:color="auto"/>
        <w:right w:val="none" w:sz="0" w:space="0" w:color="auto"/>
      </w:divBdr>
    </w:div>
    <w:div w:id="579632963">
      <w:bodyDiv w:val="1"/>
      <w:marLeft w:val="0"/>
      <w:marRight w:val="0"/>
      <w:marTop w:val="0"/>
      <w:marBottom w:val="0"/>
      <w:divBdr>
        <w:top w:val="none" w:sz="0" w:space="0" w:color="auto"/>
        <w:left w:val="none" w:sz="0" w:space="0" w:color="auto"/>
        <w:bottom w:val="none" w:sz="0" w:space="0" w:color="auto"/>
        <w:right w:val="none" w:sz="0" w:space="0" w:color="auto"/>
      </w:divBdr>
    </w:div>
    <w:div w:id="612127917">
      <w:bodyDiv w:val="1"/>
      <w:marLeft w:val="0"/>
      <w:marRight w:val="0"/>
      <w:marTop w:val="0"/>
      <w:marBottom w:val="0"/>
      <w:divBdr>
        <w:top w:val="none" w:sz="0" w:space="0" w:color="auto"/>
        <w:left w:val="none" w:sz="0" w:space="0" w:color="auto"/>
        <w:bottom w:val="none" w:sz="0" w:space="0" w:color="auto"/>
        <w:right w:val="none" w:sz="0" w:space="0" w:color="auto"/>
      </w:divBdr>
    </w:div>
    <w:div w:id="643238954">
      <w:bodyDiv w:val="1"/>
      <w:marLeft w:val="0"/>
      <w:marRight w:val="0"/>
      <w:marTop w:val="0"/>
      <w:marBottom w:val="0"/>
      <w:divBdr>
        <w:top w:val="none" w:sz="0" w:space="0" w:color="auto"/>
        <w:left w:val="none" w:sz="0" w:space="0" w:color="auto"/>
        <w:bottom w:val="none" w:sz="0" w:space="0" w:color="auto"/>
        <w:right w:val="none" w:sz="0" w:space="0" w:color="auto"/>
      </w:divBdr>
    </w:div>
    <w:div w:id="656812149">
      <w:bodyDiv w:val="1"/>
      <w:marLeft w:val="0"/>
      <w:marRight w:val="0"/>
      <w:marTop w:val="0"/>
      <w:marBottom w:val="0"/>
      <w:divBdr>
        <w:top w:val="none" w:sz="0" w:space="0" w:color="auto"/>
        <w:left w:val="none" w:sz="0" w:space="0" w:color="auto"/>
        <w:bottom w:val="none" w:sz="0" w:space="0" w:color="auto"/>
        <w:right w:val="none" w:sz="0" w:space="0" w:color="auto"/>
      </w:divBdr>
    </w:div>
    <w:div w:id="657003827">
      <w:bodyDiv w:val="1"/>
      <w:marLeft w:val="0"/>
      <w:marRight w:val="0"/>
      <w:marTop w:val="0"/>
      <w:marBottom w:val="0"/>
      <w:divBdr>
        <w:top w:val="none" w:sz="0" w:space="0" w:color="auto"/>
        <w:left w:val="none" w:sz="0" w:space="0" w:color="auto"/>
        <w:bottom w:val="none" w:sz="0" w:space="0" w:color="auto"/>
        <w:right w:val="none" w:sz="0" w:space="0" w:color="auto"/>
      </w:divBdr>
    </w:div>
    <w:div w:id="660428119">
      <w:bodyDiv w:val="1"/>
      <w:marLeft w:val="0"/>
      <w:marRight w:val="0"/>
      <w:marTop w:val="0"/>
      <w:marBottom w:val="0"/>
      <w:divBdr>
        <w:top w:val="none" w:sz="0" w:space="0" w:color="auto"/>
        <w:left w:val="none" w:sz="0" w:space="0" w:color="auto"/>
        <w:bottom w:val="none" w:sz="0" w:space="0" w:color="auto"/>
        <w:right w:val="none" w:sz="0" w:space="0" w:color="auto"/>
      </w:divBdr>
    </w:div>
    <w:div w:id="669865908">
      <w:bodyDiv w:val="1"/>
      <w:marLeft w:val="0"/>
      <w:marRight w:val="0"/>
      <w:marTop w:val="0"/>
      <w:marBottom w:val="0"/>
      <w:divBdr>
        <w:top w:val="none" w:sz="0" w:space="0" w:color="auto"/>
        <w:left w:val="none" w:sz="0" w:space="0" w:color="auto"/>
        <w:bottom w:val="none" w:sz="0" w:space="0" w:color="auto"/>
        <w:right w:val="none" w:sz="0" w:space="0" w:color="auto"/>
      </w:divBdr>
    </w:div>
    <w:div w:id="743458164">
      <w:bodyDiv w:val="1"/>
      <w:marLeft w:val="0"/>
      <w:marRight w:val="0"/>
      <w:marTop w:val="0"/>
      <w:marBottom w:val="0"/>
      <w:divBdr>
        <w:top w:val="none" w:sz="0" w:space="0" w:color="auto"/>
        <w:left w:val="none" w:sz="0" w:space="0" w:color="auto"/>
        <w:bottom w:val="none" w:sz="0" w:space="0" w:color="auto"/>
        <w:right w:val="none" w:sz="0" w:space="0" w:color="auto"/>
      </w:divBdr>
    </w:div>
    <w:div w:id="782843720">
      <w:bodyDiv w:val="1"/>
      <w:marLeft w:val="0"/>
      <w:marRight w:val="0"/>
      <w:marTop w:val="0"/>
      <w:marBottom w:val="0"/>
      <w:divBdr>
        <w:top w:val="none" w:sz="0" w:space="0" w:color="auto"/>
        <w:left w:val="none" w:sz="0" w:space="0" w:color="auto"/>
        <w:bottom w:val="none" w:sz="0" w:space="0" w:color="auto"/>
        <w:right w:val="none" w:sz="0" w:space="0" w:color="auto"/>
      </w:divBdr>
    </w:div>
    <w:div w:id="794252355">
      <w:bodyDiv w:val="1"/>
      <w:marLeft w:val="0"/>
      <w:marRight w:val="0"/>
      <w:marTop w:val="0"/>
      <w:marBottom w:val="0"/>
      <w:divBdr>
        <w:top w:val="none" w:sz="0" w:space="0" w:color="auto"/>
        <w:left w:val="none" w:sz="0" w:space="0" w:color="auto"/>
        <w:bottom w:val="none" w:sz="0" w:space="0" w:color="auto"/>
        <w:right w:val="none" w:sz="0" w:space="0" w:color="auto"/>
      </w:divBdr>
    </w:div>
    <w:div w:id="797645945">
      <w:bodyDiv w:val="1"/>
      <w:marLeft w:val="0"/>
      <w:marRight w:val="0"/>
      <w:marTop w:val="0"/>
      <w:marBottom w:val="0"/>
      <w:divBdr>
        <w:top w:val="none" w:sz="0" w:space="0" w:color="auto"/>
        <w:left w:val="none" w:sz="0" w:space="0" w:color="auto"/>
        <w:bottom w:val="none" w:sz="0" w:space="0" w:color="auto"/>
        <w:right w:val="none" w:sz="0" w:space="0" w:color="auto"/>
      </w:divBdr>
    </w:div>
    <w:div w:id="818693474">
      <w:bodyDiv w:val="1"/>
      <w:marLeft w:val="0"/>
      <w:marRight w:val="0"/>
      <w:marTop w:val="0"/>
      <w:marBottom w:val="0"/>
      <w:divBdr>
        <w:top w:val="none" w:sz="0" w:space="0" w:color="auto"/>
        <w:left w:val="none" w:sz="0" w:space="0" w:color="auto"/>
        <w:bottom w:val="none" w:sz="0" w:space="0" w:color="auto"/>
        <w:right w:val="none" w:sz="0" w:space="0" w:color="auto"/>
      </w:divBdr>
    </w:div>
    <w:div w:id="845167771">
      <w:bodyDiv w:val="1"/>
      <w:marLeft w:val="0"/>
      <w:marRight w:val="0"/>
      <w:marTop w:val="0"/>
      <w:marBottom w:val="0"/>
      <w:divBdr>
        <w:top w:val="none" w:sz="0" w:space="0" w:color="auto"/>
        <w:left w:val="none" w:sz="0" w:space="0" w:color="auto"/>
        <w:bottom w:val="none" w:sz="0" w:space="0" w:color="auto"/>
        <w:right w:val="none" w:sz="0" w:space="0" w:color="auto"/>
      </w:divBdr>
    </w:div>
    <w:div w:id="879241846">
      <w:bodyDiv w:val="1"/>
      <w:marLeft w:val="0"/>
      <w:marRight w:val="0"/>
      <w:marTop w:val="0"/>
      <w:marBottom w:val="0"/>
      <w:divBdr>
        <w:top w:val="none" w:sz="0" w:space="0" w:color="auto"/>
        <w:left w:val="none" w:sz="0" w:space="0" w:color="auto"/>
        <w:bottom w:val="none" w:sz="0" w:space="0" w:color="auto"/>
        <w:right w:val="none" w:sz="0" w:space="0" w:color="auto"/>
      </w:divBdr>
    </w:div>
    <w:div w:id="883442545">
      <w:bodyDiv w:val="1"/>
      <w:marLeft w:val="0"/>
      <w:marRight w:val="0"/>
      <w:marTop w:val="0"/>
      <w:marBottom w:val="0"/>
      <w:divBdr>
        <w:top w:val="none" w:sz="0" w:space="0" w:color="auto"/>
        <w:left w:val="none" w:sz="0" w:space="0" w:color="auto"/>
        <w:bottom w:val="none" w:sz="0" w:space="0" w:color="auto"/>
        <w:right w:val="none" w:sz="0" w:space="0" w:color="auto"/>
      </w:divBdr>
      <w:divsChild>
        <w:div w:id="521863827">
          <w:marLeft w:val="0"/>
          <w:marRight w:val="0"/>
          <w:marTop w:val="100"/>
          <w:marBottom w:val="100"/>
          <w:divBdr>
            <w:top w:val="dashed" w:sz="6" w:space="0" w:color="A8A8A8"/>
            <w:left w:val="none" w:sz="0" w:space="0" w:color="auto"/>
            <w:bottom w:val="none" w:sz="0" w:space="0" w:color="auto"/>
            <w:right w:val="none" w:sz="0" w:space="0" w:color="auto"/>
          </w:divBdr>
          <w:divsChild>
            <w:div w:id="729966203">
              <w:marLeft w:val="0"/>
              <w:marRight w:val="0"/>
              <w:marTop w:val="750"/>
              <w:marBottom w:val="750"/>
              <w:divBdr>
                <w:top w:val="none" w:sz="0" w:space="0" w:color="auto"/>
                <w:left w:val="none" w:sz="0" w:space="0" w:color="auto"/>
                <w:bottom w:val="none" w:sz="0" w:space="0" w:color="auto"/>
                <w:right w:val="none" w:sz="0" w:space="0" w:color="auto"/>
              </w:divBdr>
              <w:divsChild>
                <w:div w:id="1740787882">
                  <w:marLeft w:val="0"/>
                  <w:marRight w:val="0"/>
                  <w:marTop w:val="0"/>
                  <w:marBottom w:val="0"/>
                  <w:divBdr>
                    <w:top w:val="none" w:sz="0" w:space="0" w:color="auto"/>
                    <w:left w:val="none" w:sz="0" w:space="0" w:color="auto"/>
                    <w:bottom w:val="none" w:sz="0" w:space="0" w:color="auto"/>
                    <w:right w:val="none" w:sz="0" w:space="0" w:color="auto"/>
                  </w:divBdr>
                  <w:divsChild>
                    <w:div w:id="398673751">
                      <w:marLeft w:val="0"/>
                      <w:marRight w:val="0"/>
                      <w:marTop w:val="0"/>
                      <w:marBottom w:val="0"/>
                      <w:divBdr>
                        <w:top w:val="none" w:sz="0" w:space="0" w:color="auto"/>
                        <w:left w:val="none" w:sz="0" w:space="0" w:color="auto"/>
                        <w:bottom w:val="none" w:sz="0" w:space="0" w:color="auto"/>
                        <w:right w:val="none" w:sz="0" w:space="0" w:color="auto"/>
                      </w:divBdr>
                      <w:divsChild>
                        <w:div w:id="28574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383933">
          <w:marLeft w:val="0"/>
          <w:marRight w:val="0"/>
          <w:marTop w:val="100"/>
          <w:marBottom w:val="100"/>
          <w:divBdr>
            <w:top w:val="dashed" w:sz="6" w:space="0" w:color="A8A8A8"/>
            <w:left w:val="none" w:sz="0" w:space="0" w:color="auto"/>
            <w:bottom w:val="none" w:sz="0" w:space="0" w:color="auto"/>
            <w:right w:val="none" w:sz="0" w:space="0" w:color="auto"/>
          </w:divBdr>
          <w:divsChild>
            <w:div w:id="1207990881">
              <w:marLeft w:val="0"/>
              <w:marRight w:val="0"/>
              <w:marTop w:val="750"/>
              <w:marBottom w:val="750"/>
              <w:divBdr>
                <w:top w:val="none" w:sz="0" w:space="0" w:color="auto"/>
                <w:left w:val="none" w:sz="0" w:space="0" w:color="auto"/>
                <w:bottom w:val="none" w:sz="0" w:space="0" w:color="auto"/>
                <w:right w:val="none" w:sz="0" w:space="0" w:color="auto"/>
              </w:divBdr>
              <w:divsChild>
                <w:div w:id="987588383">
                  <w:marLeft w:val="0"/>
                  <w:marRight w:val="0"/>
                  <w:marTop w:val="0"/>
                  <w:marBottom w:val="0"/>
                  <w:divBdr>
                    <w:top w:val="none" w:sz="0" w:space="0" w:color="auto"/>
                    <w:left w:val="none" w:sz="0" w:space="0" w:color="auto"/>
                    <w:bottom w:val="none" w:sz="0" w:space="0" w:color="auto"/>
                    <w:right w:val="none" w:sz="0" w:space="0" w:color="auto"/>
                  </w:divBdr>
                  <w:divsChild>
                    <w:div w:id="1551648171">
                      <w:marLeft w:val="0"/>
                      <w:marRight w:val="0"/>
                      <w:marTop w:val="0"/>
                      <w:marBottom w:val="0"/>
                      <w:divBdr>
                        <w:top w:val="none" w:sz="0" w:space="0" w:color="auto"/>
                        <w:left w:val="none" w:sz="0" w:space="0" w:color="auto"/>
                        <w:bottom w:val="none" w:sz="0" w:space="0" w:color="auto"/>
                        <w:right w:val="none" w:sz="0" w:space="0" w:color="auto"/>
                      </w:divBdr>
                      <w:divsChild>
                        <w:div w:id="1018703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2728646">
      <w:bodyDiv w:val="1"/>
      <w:marLeft w:val="0"/>
      <w:marRight w:val="0"/>
      <w:marTop w:val="0"/>
      <w:marBottom w:val="0"/>
      <w:divBdr>
        <w:top w:val="none" w:sz="0" w:space="0" w:color="auto"/>
        <w:left w:val="none" w:sz="0" w:space="0" w:color="auto"/>
        <w:bottom w:val="none" w:sz="0" w:space="0" w:color="auto"/>
        <w:right w:val="none" w:sz="0" w:space="0" w:color="auto"/>
      </w:divBdr>
    </w:div>
    <w:div w:id="982155021">
      <w:bodyDiv w:val="1"/>
      <w:marLeft w:val="0"/>
      <w:marRight w:val="0"/>
      <w:marTop w:val="0"/>
      <w:marBottom w:val="0"/>
      <w:divBdr>
        <w:top w:val="none" w:sz="0" w:space="0" w:color="auto"/>
        <w:left w:val="none" w:sz="0" w:space="0" w:color="auto"/>
        <w:bottom w:val="none" w:sz="0" w:space="0" w:color="auto"/>
        <w:right w:val="none" w:sz="0" w:space="0" w:color="auto"/>
      </w:divBdr>
    </w:div>
    <w:div w:id="998532864">
      <w:bodyDiv w:val="1"/>
      <w:marLeft w:val="0"/>
      <w:marRight w:val="0"/>
      <w:marTop w:val="0"/>
      <w:marBottom w:val="0"/>
      <w:divBdr>
        <w:top w:val="none" w:sz="0" w:space="0" w:color="auto"/>
        <w:left w:val="none" w:sz="0" w:space="0" w:color="auto"/>
        <w:bottom w:val="none" w:sz="0" w:space="0" w:color="auto"/>
        <w:right w:val="none" w:sz="0" w:space="0" w:color="auto"/>
      </w:divBdr>
    </w:div>
    <w:div w:id="1013461136">
      <w:bodyDiv w:val="1"/>
      <w:marLeft w:val="0"/>
      <w:marRight w:val="0"/>
      <w:marTop w:val="0"/>
      <w:marBottom w:val="0"/>
      <w:divBdr>
        <w:top w:val="none" w:sz="0" w:space="0" w:color="auto"/>
        <w:left w:val="none" w:sz="0" w:space="0" w:color="auto"/>
        <w:bottom w:val="none" w:sz="0" w:space="0" w:color="auto"/>
        <w:right w:val="none" w:sz="0" w:space="0" w:color="auto"/>
      </w:divBdr>
    </w:div>
    <w:div w:id="1013528046">
      <w:bodyDiv w:val="1"/>
      <w:marLeft w:val="0"/>
      <w:marRight w:val="0"/>
      <w:marTop w:val="0"/>
      <w:marBottom w:val="0"/>
      <w:divBdr>
        <w:top w:val="none" w:sz="0" w:space="0" w:color="auto"/>
        <w:left w:val="none" w:sz="0" w:space="0" w:color="auto"/>
        <w:bottom w:val="none" w:sz="0" w:space="0" w:color="auto"/>
        <w:right w:val="none" w:sz="0" w:space="0" w:color="auto"/>
      </w:divBdr>
    </w:div>
    <w:div w:id="1022166775">
      <w:bodyDiv w:val="1"/>
      <w:marLeft w:val="0"/>
      <w:marRight w:val="0"/>
      <w:marTop w:val="0"/>
      <w:marBottom w:val="0"/>
      <w:divBdr>
        <w:top w:val="none" w:sz="0" w:space="0" w:color="auto"/>
        <w:left w:val="none" w:sz="0" w:space="0" w:color="auto"/>
        <w:bottom w:val="none" w:sz="0" w:space="0" w:color="auto"/>
        <w:right w:val="none" w:sz="0" w:space="0" w:color="auto"/>
      </w:divBdr>
    </w:div>
    <w:div w:id="1037856035">
      <w:bodyDiv w:val="1"/>
      <w:marLeft w:val="0"/>
      <w:marRight w:val="0"/>
      <w:marTop w:val="0"/>
      <w:marBottom w:val="0"/>
      <w:divBdr>
        <w:top w:val="none" w:sz="0" w:space="0" w:color="auto"/>
        <w:left w:val="none" w:sz="0" w:space="0" w:color="auto"/>
        <w:bottom w:val="none" w:sz="0" w:space="0" w:color="auto"/>
        <w:right w:val="none" w:sz="0" w:space="0" w:color="auto"/>
      </w:divBdr>
    </w:div>
    <w:div w:id="1043676122">
      <w:bodyDiv w:val="1"/>
      <w:marLeft w:val="0"/>
      <w:marRight w:val="0"/>
      <w:marTop w:val="0"/>
      <w:marBottom w:val="0"/>
      <w:divBdr>
        <w:top w:val="none" w:sz="0" w:space="0" w:color="auto"/>
        <w:left w:val="none" w:sz="0" w:space="0" w:color="auto"/>
        <w:bottom w:val="none" w:sz="0" w:space="0" w:color="auto"/>
        <w:right w:val="none" w:sz="0" w:space="0" w:color="auto"/>
      </w:divBdr>
    </w:div>
    <w:div w:id="1047149431">
      <w:bodyDiv w:val="1"/>
      <w:marLeft w:val="0"/>
      <w:marRight w:val="0"/>
      <w:marTop w:val="0"/>
      <w:marBottom w:val="0"/>
      <w:divBdr>
        <w:top w:val="none" w:sz="0" w:space="0" w:color="auto"/>
        <w:left w:val="none" w:sz="0" w:space="0" w:color="auto"/>
        <w:bottom w:val="none" w:sz="0" w:space="0" w:color="auto"/>
        <w:right w:val="none" w:sz="0" w:space="0" w:color="auto"/>
      </w:divBdr>
    </w:div>
    <w:div w:id="1067266651">
      <w:bodyDiv w:val="1"/>
      <w:marLeft w:val="0"/>
      <w:marRight w:val="0"/>
      <w:marTop w:val="0"/>
      <w:marBottom w:val="0"/>
      <w:divBdr>
        <w:top w:val="none" w:sz="0" w:space="0" w:color="auto"/>
        <w:left w:val="none" w:sz="0" w:space="0" w:color="auto"/>
        <w:bottom w:val="none" w:sz="0" w:space="0" w:color="auto"/>
        <w:right w:val="none" w:sz="0" w:space="0" w:color="auto"/>
      </w:divBdr>
    </w:div>
    <w:div w:id="1101679496">
      <w:bodyDiv w:val="1"/>
      <w:marLeft w:val="0"/>
      <w:marRight w:val="0"/>
      <w:marTop w:val="0"/>
      <w:marBottom w:val="0"/>
      <w:divBdr>
        <w:top w:val="none" w:sz="0" w:space="0" w:color="auto"/>
        <w:left w:val="none" w:sz="0" w:space="0" w:color="auto"/>
        <w:bottom w:val="none" w:sz="0" w:space="0" w:color="auto"/>
        <w:right w:val="none" w:sz="0" w:space="0" w:color="auto"/>
      </w:divBdr>
    </w:div>
    <w:div w:id="1104154459">
      <w:bodyDiv w:val="1"/>
      <w:marLeft w:val="0"/>
      <w:marRight w:val="0"/>
      <w:marTop w:val="0"/>
      <w:marBottom w:val="0"/>
      <w:divBdr>
        <w:top w:val="none" w:sz="0" w:space="0" w:color="auto"/>
        <w:left w:val="none" w:sz="0" w:space="0" w:color="auto"/>
        <w:bottom w:val="none" w:sz="0" w:space="0" w:color="auto"/>
        <w:right w:val="none" w:sz="0" w:space="0" w:color="auto"/>
      </w:divBdr>
    </w:div>
    <w:div w:id="1150177125">
      <w:bodyDiv w:val="1"/>
      <w:marLeft w:val="0"/>
      <w:marRight w:val="0"/>
      <w:marTop w:val="0"/>
      <w:marBottom w:val="0"/>
      <w:divBdr>
        <w:top w:val="none" w:sz="0" w:space="0" w:color="auto"/>
        <w:left w:val="none" w:sz="0" w:space="0" w:color="auto"/>
        <w:bottom w:val="none" w:sz="0" w:space="0" w:color="auto"/>
        <w:right w:val="none" w:sz="0" w:space="0" w:color="auto"/>
      </w:divBdr>
    </w:div>
    <w:div w:id="1150438977">
      <w:bodyDiv w:val="1"/>
      <w:marLeft w:val="0"/>
      <w:marRight w:val="0"/>
      <w:marTop w:val="0"/>
      <w:marBottom w:val="0"/>
      <w:divBdr>
        <w:top w:val="none" w:sz="0" w:space="0" w:color="auto"/>
        <w:left w:val="none" w:sz="0" w:space="0" w:color="auto"/>
        <w:bottom w:val="none" w:sz="0" w:space="0" w:color="auto"/>
        <w:right w:val="none" w:sz="0" w:space="0" w:color="auto"/>
      </w:divBdr>
    </w:div>
    <w:div w:id="1194805290">
      <w:bodyDiv w:val="1"/>
      <w:marLeft w:val="0"/>
      <w:marRight w:val="0"/>
      <w:marTop w:val="0"/>
      <w:marBottom w:val="0"/>
      <w:divBdr>
        <w:top w:val="none" w:sz="0" w:space="0" w:color="auto"/>
        <w:left w:val="none" w:sz="0" w:space="0" w:color="auto"/>
        <w:bottom w:val="none" w:sz="0" w:space="0" w:color="auto"/>
        <w:right w:val="none" w:sz="0" w:space="0" w:color="auto"/>
      </w:divBdr>
    </w:div>
    <w:div w:id="1212615928">
      <w:bodyDiv w:val="1"/>
      <w:marLeft w:val="0"/>
      <w:marRight w:val="0"/>
      <w:marTop w:val="0"/>
      <w:marBottom w:val="0"/>
      <w:divBdr>
        <w:top w:val="none" w:sz="0" w:space="0" w:color="auto"/>
        <w:left w:val="none" w:sz="0" w:space="0" w:color="auto"/>
        <w:bottom w:val="none" w:sz="0" w:space="0" w:color="auto"/>
        <w:right w:val="none" w:sz="0" w:space="0" w:color="auto"/>
      </w:divBdr>
    </w:div>
    <w:div w:id="1227186088">
      <w:bodyDiv w:val="1"/>
      <w:marLeft w:val="0"/>
      <w:marRight w:val="0"/>
      <w:marTop w:val="0"/>
      <w:marBottom w:val="0"/>
      <w:divBdr>
        <w:top w:val="none" w:sz="0" w:space="0" w:color="auto"/>
        <w:left w:val="none" w:sz="0" w:space="0" w:color="auto"/>
        <w:bottom w:val="none" w:sz="0" w:space="0" w:color="auto"/>
        <w:right w:val="none" w:sz="0" w:space="0" w:color="auto"/>
      </w:divBdr>
    </w:div>
    <w:div w:id="1231577416">
      <w:bodyDiv w:val="1"/>
      <w:marLeft w:val="0"/>
      <w:marRight w:val="0"/>
      <w:marTop w:val="0"/>
      <w:marBottom w:val="0"/>
      <w:divBdr>
        <w:top w:val="none" w:sz="0" w:space="0" w:color="auto"/>
        <w:left w:val="none" w:sz="0" w:space="0" w:color="auto"/>
        <w:bottom w:val="none" w:sz="0" w:space="0" w:color="auto"/>
        <w:right w:val="none" w:sz="0" w:space="0" w:color="auto"/>
      </w:divBdr>
    </w:div>
    <w:div w:id="1249775557">
      <w:bodyDiv w:val="1"/>
      <w:marLeft w:val="0"/>
      <w:marRight w:val="0"/>
      <w:marTop w:val="0"/>
      <w:marBottom w:val="0"/>
      <w:divBdr>
        <w:top w:val="none" w:sz="0" w:space="0" w:color="auto"/>
        <w:left w:val="none" w:sz="0" w:space="0" w:color="auto"/>
        <w:bottom w:val="none" w:sz="0" w:space="0" w:color="auto"/>
        <w:right w:val="none" w:sz="0" w:space="0" w:color="auto"/>
      </w:divBdr>
    </w:div>
    <w:div w:id="1297417695">
      <w:bodyDiv w:val="1"/>
      <w:marLeft w:val="0"/>
      <w:marRight w:val="0"/>
      <w:marTop w:val="0"/>
      <w:marBottom w:val="0"/>
      <w:divBdr>
        <w:top w:val="none" w:sz="0" w:space="0" w:color="auto"/>
        <w:left w:val="none" w:sz="0" w:space="0" w:color="auto"/>
        <w:bottom w:val="none" w:sz="0" w:space="0" w:color="auto"/>
        <w:right w:val="none" w:sz="0" w:space="0" w:color="auto"/>
      </w:divBdr>
    </w:div>
    <w:div w:id="1300379531">
      <w:bodyDiv w:val="1"/>
      <w:marLeft w:val="0"/>
      <w:marRight w:val="0"/>
      <w:marTop w:val="0"/>
      <w:marBottom w:val="0"/>
      <w:divBdr>
        <w:top w:val="none" w:sz="0" w:space="0" w:color="auto"/>
        <w:left w:val="none" w:sz="0" w:space="0" w:color="auto"/>
        <w:bottom w:val="none" w:sz="0" w:space="0" w:color="auto"/>
        <w:right w:val="none" w:sz="0" w:space="0" w:color="auto"/>
      </w:divBdr>
    </w:div>
    <w:div w:id="1313868987">
      <w:bodyDiv w:val="1"/>
      <w:marLeft w:val="0"/>
      <w:marRight w:val="0"/>
      <w:marTop w:val="0"/>
      <w:marBottom w:val="0"/>
      <w:divBdr>
        <w:top w:val="none" w:sz="0" w:space="0" w:color="auto"/>
        <w:left w:val="none" w:sz="0" w:space="0" w:color="auto"/>
        <w:bottom w:val="none" w:sz="0" w:space="0" w:color="auto"/>
        <w:right w:val="none" w:sz="0" w:space="0" w:color="auto"/>
      </w:divBdr>
    </w:div>
    <w:div w:id="1314019925">
      <w:bodyDiv w:val="1"/>
      <w:marLeft w:val="0"/>
      <w:marRight w:val="0"/>
      <w:marTop w:val="0"/>
      <w:marBottom w:val="0"/>
      <w:divBdr>
        <w:top w:val="none" w:sz="0" w:space="0" w:color="auto"/>
        <w:left w:val="none" w:sz="0" w:space="0" w:color="auto"/>
        <w:bottom w:val="none" w:sz="0" w:space="0" w:color="auto"/>
        <w:right w:val="none" w:sz="0" w:space="0" w:color="auto"/>
      </w:divBdr>
      <w:divsChild>
        <w:div w:id="1407611844">
          <w:marLeft w:val="0"/>
          <w:marRight w:val="0"/>
          <w:marTop w:val="0"/>
          <w:marBottom w:val="0"/>
          <w:divBdr>
            <w:top w:val="none" w:sz="0" w:space="0" w:color="auto"/>
            <w:left w:val="none" w:sz="0" w:space="0" w:color="auto"/>
            <w:bottom w:val="none" w:sz="0" w:space="0" w:color="auto"/>
            <w:right w:val="none" w:sz="0" w:space="0" w:color="auto"/>
          </w:divBdr>
          <w:divsChild>
            <w:div w:id="126777932">
              <w:marLeft w:val="0"/>
              <w:marRight w:val="0"/>
              <w:marTop w:val="0"/>
              <w:marBottom w:val="0"/>
              <w:divBdr>
                <w:top w:val="none" w:sz="0" w:space="0" w:color="auto"/>
                <w:left w:val="none" w:sz="0" w:space="0" w:color="auto"/>
                <w:bottom w:val="none" w:sz="0" w:space="0" w:color="auto"/>
                <w:right w:val="none" w:sz="0" w:space="0" w:color="auto"/>
              </w:divBdr>
              <w:divsChild>
                <w:div w:id="1197546928">
                  <w:marLeft w:val="0"/>
                  <w:marRight w:val="0"/>
                  <w:marTop w:val="0"/>
                  <w:marBottom w:val="300"/>
                  <w:divBdr>
                    <w:top w:val="single" w:sz="6" w:space="0" w:color="CCCCCC"/>
                    <w:left w:val="single" w:sz="6" w:space="0" w:color="CCCCCC"/>
                    <w:bottom w:val="single" w:sz="6" w:space="0" w:color="CCCCCC"/>
                    <w:right w:val="single" w:sz="6" w:space="0" w:color="CCCCCC"/>
                  </w:divBdr>
                  <w:divsChild>
                    <w:div w:id="169026988">
                      <w:marLeft w:val="0"/>
                      <w:marRight w:val="0"/>
                      <w:marTop w:val="0"/>
                      <w:marBottom w:val="0"/>
                      <w:divBdr>
                        <w:top w:val="none" w:sz="0" w:space="0" w:color="auto"/>
                        <w:left w:val="none" w:sz="0" w:space="0" w:color="auto"/>
                        <w:bottom w:val="none" w:sz="0" w:space="0" w:color="auto"/>
                        <w:right w:val="none" w:sz="0" w:space="0" w:color="auto"/>
                      </w:divBdr>
                      <w:divsChild>
                        <w:div w:id="91358872">
                          <w:marLeft w:val="0"/>
                          <w:marRight w:val="0"/>
                          <w:marTop w:val="0"/>
                          <w:marBottom w:val="0"/>
                          <w:divBdr>
                            <w:top w:val="none" w:sz="0" w:space="0" w:color="auto"/>
                            <w:left w:val="none" w:sz="0" w:space="0" w:color="auto"/>
                            <w:bottom w:val="none" w:sz="0" w:space="0" w:color="auto"/>
                            <w:right w:val="none" w:sz="0" w:space="0" w:color="auto"/>
                          </w:divBdr>
                          <w:divsChild>
                            <w:div w:id="313678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4792705">
          <w:marLeft w:val="0"/>
          <w:marRight w:val="0"/>
          <w:marTop w:val="0"/>
          <w:marBottom w:val="0"/>
          <w:divBdr>
            <w:top w:val="none" w:sz="0" w:space="0" w:color="auto"/>
            <w:left w:val="none" w:sz="0" w:space="0" w:color="auto"/>
            <w:bottom w:val="none" w:sz="0" w:space="0" w:color="auto"/>
            <w:right w:val="none" w:sz="0" w:space="0" w:color="auto"/>
          </w:divBdr>
          <w:divsChild>
            <w:div w:id="1431004656">
              <w:marLeft w:val="0"/>
              <w:marRight w:val="0"/>
              <w:marTop w:val="0"/>
              <w:marBottom w:val="0"/>
              <w:divBdr>
                <w:top w:val="none" w:sz="0" w:space="0" w:color="auto"/>
                <w:left w:val="none" w:sz="0" w:space="0" w:color="auto"/>
                <w:bottom w:val="none" w:sz="0" w:space="0" w:color="auto"/>
                <w:right w:val="none" w:sz="0" w:space="0" w:color="auto"/>
              </w:divBdr>
              <w:divsChild>
                <w:div w:id="1591311618">
                  <w:marLeft w:val="0"/>
                  <w:marRight w:val="0"/>
                  <w:marTop w:val="0"/>
                  <w:marBottom w:val="300"/>
                  <w:divBdr>
                    <w:top w:val="single" w:sz="6" w:space="0" w:color="CCCCCC"/>
                    <w:left w:val="single" w:sz="6" w:space="0" w:color="CCCCCC"/>
                    <w:bottom w:val="single" w:sz="6" w:space="0" w:color="CCCCCC"/>
                    <w:right w:val="single" w:sz="6" w:space="0" w:color="CCCCCC"/>
                  </w:divBdr>
                </w:div>
              </w:divsChild>
            </w:div>
          </w:divsChild>
        </w:div>
      </w:divsChild>
    </w:div>
    <w:div w:id="1324240367">
      <w:bodyDiv w:val="1"/>
      <w:marLeft w:val="0"/>
      <w:marRight w:val="0"/>
      <w:marTop w:val="0"/>
      <w:marBottom w:val="0"/>
      <w:divBdr>
        <w:top w:val="none" w:sz="0" w:space="0" w:color="auto"/>
        <w:left w:val="none" w:sz="0" w:space="0" w:color="auto"/>
        <w:bottom w:val="none" w:sz="0" w:space="0" w:color="auto"/>
        <w:right w:val="none" w:sz="0" w:space="0" w:color="auto"/>
      </w:divBdr>
    </w:div>
    <w:div w:id="1326860698">
      <w:bodyDiv w:val="1"/>
      <w:marLeft w:val="0"/>
      <w:marRight w:val="0"/>
      <w:marTop w:val="0"/>
      <w:marBottom w:val="0"/>
      <w:divBdr>
        <w:top w:val="none" w:sz="0" w:space="0" w:color="auto"/>
        <w:left w:val="none" w:sz="0" w:space="0" w:color="auto"/>
        <w:bottom w:val="none" w:sz="0" w:space="0" w:color="auto"/>
        <w:right w:val="none" w:sz="0" w:space="0" w:color="auto"/>
      </w:divBdr>
    </w:div>
    <w:div w:id="1333799904">
      <w:bodyDiv w:val="1"/>
      <w:marLeft w:val="0"/>
      <w:marRight w:val="0"/>
      <w:marTop w:val="0"/>
      <w:marBottom w:val="0"/>
      <w:divBdr>
        <w:top w:val="none" w:sz="0" w:space="0" w:color="auto"/>
        <w:left w:val="none" w:sz="0" w:space="0" w:color="auto"/>
        <w:bottom w:val="none" w:sz="0" w:space="0" w:color="auto"/>
        <w:right w:val="none" w:sz="0" w:space="0" w:color="auto"/>
      </w:divBdr>
    </w:div>
    <w:div w:id="1345672964">
      <w:bodyDiv w:val="1"/>
      <w:marLeft w:val="0"/>
      <w:marRight w:val="0"/>
      <w:marTop w:val="0"/>
      <w:marBottom w:val="0"/>
      <w:divBdr>
        <w:top w:val="none" w:sz="0" w:space="0" w:color="auto"/>
        <w:left w:val="none" w:sz="0" w:space="0" w:color="auto"/>
        <w:bottom w:val="none" w:sz="0" w:space="0" w:color="auto"/>
        <w:right w:val="none" w:sz="0" w:space="0" w:color="auto"/>
      </w:divBdr>
    </w:div>
    <w:div w:id="1373916435">
      <w:bodyDiv w:val="1"/>
      <w:marLeft w:val="0"/>
      <w:marRight w:val="0"/>
      <w:marTop w:val="0"/>
      <w:marBottom w:val="0"/>
      <w:divBdr>
        <w:top w:val="none" w:sz="0" w:space="0" w:color="auto"/>
        <w:left w:val="none" w:sz="0" w:space="0" w:color="auto"/>
        <w:bottom w:val="none" w:sz="0" w:space="0" w:color="auto"/>
        <w:right w:val="none" w:sz="0" w:space="0" w:color="auto"/>
      </w:divBdr>
    </w:div>
    <w:div w:id="1394308718">
      <w:bodyDiv w:val="1"/>
      <w:marLeft w:val="0"/>
      <w:marRight w:val="0"/>
      <w:marTop w:val="0"/>
      <w:marBottom w:val="0"/>
      <w:divBdr>
        <w:top w:val="none" w:sz="0" w:space="0" w:color="auto"/>
        <w:left w:val="none" w:sz="0" w:space="0" w:color="auto"/>
        <w:bottom w:val="none" w:sz="0" w:space="0" w:color="auto"/>
        <w:right w:val="none" w:sz="0" w:space="0" w:color="auto"/>
      </w:divBdr>
    </w:div>
    <w:div w:id="1431777152">
      <w:bodyDiv w:val="1"/>
      <w:marLeft w:val="0"/>
      <w:marRight w:val="0"/>
      <w:marTop w:val="0"/>
      <w:marBottom w:val="0"/>
      <w:divBdr>
        <w:top w:val="none" w:sz="0" w:space="0" w:color="auto"/>
        <w:left w:val="none" w:sz="0" w:space="0" w:color="auto"/>
        <w:bottom w:val="none" w:sz="0" w:space="0" w:color="auto"/>
        <w:right w:val="none" w:sz="0" w:space="0" w:color="auto"/>
      </w:divBdr>
    </w:div>
    <w:div w:id="1442914968">
      <w:bodyDiv w:val="1"/>
      <w:marLeft w:val="0"/>
      <w:marRight w:val="0"/>
      <w:marTop w:val="0"/>
      <w:marBottom w:val="0"/>
      <w:divBdr>
        <w:top w:val="none" w:sz="0" w:space="0" w:color="auto"/>
        <w:left w:val="none" w:sz="0" w:space="0" w:color="auto"/>
        <w:bottom w:val="none" w:sz="0" w:space="0" w:color="auto"/>
        <w:right w:val="none" w:sz="0" w:space="0" w:color="auto"/>
      </w:divBdr>
    </w:div>
    <w:div w:id="1449935049">
      <w:bodyDiv w:val="1"/>
      <w:marLeft w:val="0"/>
      <w:marRight w:val="0"/>
      <w:marTop w:val="0"/>
      <w:marBottom w:val="0"/>
      <w:divBdr>
        <w:top w:val="none" w:sz="0" w:space="0" w:color="auto"/>
        <w:left w:val="none" w:sz="0" w:space="0" w:color="auto"/>
        <w:bottom w:val="none" w:sz="0" w:space="0" w:color="auto"/>
        <w:right w:val="none" w:sz="0" w:space="0" w:color="auto"/>
      </w:divBdr>
    </w:div>
    <w:div w:id="1471829048">
      <w:bodyDiv w:val="1"/>
      <w:marLeft w:val="0"/>
      <w:marRight w:val="0"/>
      <w:marTop w:val="0"/>
      <w:marBottom w:val="0"/>
      <w:divBdr>
        <w:top w:val="none" w:sz="0" w:space="0" w:color="auto"/>
        <w:left w:val="none" w:sz="0" w:space="0" w:color="auto"/>
        <w:bottom w:val="none" w:sz="0" w:space="0" w:color="auto"/>
        <w:right w:val="none" w:sz="0" w:space="0" w:color="auto"/>
      </w:divBdr>
    </w:div>
    <w:div w:id="1472482612">
      <w:bodyDiv w:val="1"/>
      <w:marLeft w:val="0"/>
      <w:marRight w:val="0"/>
      <w:marTop w:val="0"/>
      <w:marBottom w:val="0"/>
      <w:divBdr>
        <w:top w:val="none" w:sz="0" w:space="0" w:color="auto"/>
        <w:left w:val="none" w:sz="0" w:space="0" w:color="auto"/>
        <w:bottom w:val="none" w:sz="0" w:space="0" w:color="auto"/>
        <w:right w:val="none" w:sz="0" w:space="0" w:color="auto"/>
      </w:divBdr>
    </w:div>
    <w:div w:id="1505588031">
      <w:bodyDiv w:val="1"/>
      <w:marLeft w:val="0"/>
      <w:marRight w:val="0"/>
      <w:marTop w:val="0"/>
      <w:marBottom w:val="0"/>
      <w:divBdr>
        <w:top w:val="none" w:sz="0" w:space="0" w:color="auto"/>
        <w:left w:val="none" w:sz="0" w:space="0" w:color="auto"/>
        <w:bottom w:val="none" w:sz="0" w:space="0" w:color="auto"/>
        <w:right w:val="none" w:sz="0" w:space="0" w:color="auto"/>
      </w:divBdr>
    </w:div>
    <w:div w:id="1513184709">
      <w:bodyDiv w:val="1"/>
      <w:marLeft w:val="0"/>
      <w:marRight w:val="0"/>
      <w:marTop w:val="0"/>
      <w:marBottom w:val="0"/>
      <w:divBdr>
        <w:top w:val="none" w:sz="0" w:space="0" w:color="auto"/>
        <w:left w:val="none" w:sz="0" w:space="0" w:color="auto"/>
        <w:bottom w:val="none" w:sz="0" w:space="0" w:color="auto"/>
        <w:right w:val="none" w:sz="0" w:space="0" w:color="auto"/>
      </w:divBdr>
    </w:div>
    <w:div w:id="1541360158">
      <w:bodyDiv w:val="1"/>
      <w:marLeft w:val="0"/>
      <w:marRight w:val="0"/>
      <w:marTop w:val="0"/>
      <w:marBottom w:val="0"/>
      <w:divBdr>
        <w:top w:val="none" w:sz="0" w:space="0" w:color="auto"/>
        <w:left w:val="none" w:sz="0" w:space="0" w:color="auto"/>
        <w:bottom w:val="none" w:sz="0" w:space="0" w:color="auto"/>
        <w:right w:val="none" w:sz="0" w:space="0" w:color="auto"/>
      </w:divBdr>
    </w:div>
    <w:div w:id="1654330652">
      <w:bodyDiv w:val="1"/>
      <w:marLeft w:val="0"/>
      <w:marRight w:val="0"/>
      <w:marTop w:val="0"/>
      <w:marBottom w:val="0"/>
      <w:divBdr>
        <w:top w:val="none" w:sz="0" w:space="0" w:color="auto"/>
        <w:left w:val="none" w:sz="0" w:space="0" w:color="auto"/>
        <w:bottom w:val="none" w:sz="0" w:space="0" w:color="auto"/>
        <w:right w:val="none" w:sz="0" w:space="0" w:color="auto"/>
      </w:divBdr>
    </w:div>
    <w:div w:id="1655067846">
      <w:bodyDiv w:val="1"/>
      <w:marLeft w:val="0"/>
      <w:marRight w:val="0"/>
      <w:marTop w:val="0"/>
      <w:marBottom w:val="0"/>
      <w:divBdr>
        <w:top w:val="none" w:sz="0" w:space="0" w:color="auto"/>
        <w:left w:val="none" w:sz="0" w:space="0" w:color="auto"/>
        <w:bottom w:val="none" w:sz="0" w:space="0" w:color="auto"/>
        <w:right w:val="none" w:sz="0" w:space="0" w:color="auto"/>
      </w:divBdr>
    </w:div>
    <w:div w:id="1656569661">
      <w:bodyDiv w:val="1"/>
      <w:marLeft w:val="0"/>
      <w:marRight w:val="0"/>
      <w:marTop w:val="0"/>
      <w:marBottom w:val="0"/>
      <w:divBdr>
        <w:top w:val="none" w:sz="0" w:space="0" w:color="auto"/>
        <w:left w:val="none" w:sz="0" w:space="0" w:color="auto"/>
        <w:bottom w:val="none" w:sz="0" w:space="0" w:color="auto"/>
        <w:right w:val="none" w:sz="0" w:space="0" w:color="auto"/>
      </w:divBdr>
    </w:div>
    <w:div w:id="1666086022">
      <w:bodyDiv w:val="1"/>
      <w:marLeft w:val="0"/>
      <w:marRight w:val="0"/>
      <w:marTop w:val="0"/>
      <w:marBottom w:val="0"/>
      <w:divBdr>
        <w:top w:val="none" w:sz="0" w:space="0" w:color="auto"/>
        <w:left w:val="none" w:sz="0" w:space="0" w:color="auto"/>
        <w:bottom w:val="none" w:sz="0" w:space="0" w:color="auto"/>
        <w:right w:val="none" w:sz="0" w:space="0" w:color="auto"/>
      </w:divBdr>
    </w:div>
    <w:div w:id="1667130114">
      <w:bodyDiv w:val="1"/>
      <w:marLeft w:val="0"/>
      <w:marRight w:val="0"/>
      <w:marTop w:val="0"/>
      <w:marBottom w:val="0"/>
      <w:divBdr>
        <w:top w:val="none" w:sz="0" w:space="0" w:color="auto"/>
        <w:left w:val="none" w:sz="0" w:space="0" w:color="auto"/>
        <w:bottom w:val="none" w:sz="0" w:space="0" w:color="auto"/>
        <w:right w:val="none" w:sz="0" w:space="0" w:color="auto"/>
      </w:divBdr>
    </w:div>
    <w:div w:id="1709408255">
      <w:bodyDiv w:val="1"/>
      <w:marLeft w:val="0"/>
      <w:marRight w:val="0"/>
      <w:marTop w:val="0"/>
      <w:marBottom w:val="0"/>
      <w:divBdr>
        <w:top w:val="none" w:sz="0" w:space="0" w:color="auto"/>
        <w:left w:val="none" w:sz="0" w:space="0" w:color="auto"/>
        <w:bottom w:val="none" w:sz="0" w:space="0" w:color="auto"/>
        <w:right w:val="none" w:sz="0" w:space="0" w:color="auto"/>
      </w:divBdr>
    </w:div>
    <w:div w:id="1712850130">
      <w:bodyDiv w:val="1"/>
      <w:marLeft w:val="0"/>
      <w:marRight w:val="0"/>
      <w:marTop w:val="0"/>
      <w:marBottom w:val="0"/>
      <w:divBdr>
        <w:top w:val="none" w:sz="0" w:space="0" w:color="auto"/>
        <w:left w:val="none" w:sz="0" w:space="0" w:color="auto"/>
        <w:bottom w:val="none" w:sz="0" w:space="0" w:color="auto"/>
        <w:right w:val="none" w:sz="0" w:space="0" w:color="auto"/>
      </w:divBdr>
    </w:div>
    <w:div w:id="1722749320">
      <w:bodyDiv w:val="1"/>
      <w:marLeft w:val="0"/>
      <w:marRight w:val="0"/>
      <w:marTop w:val="0"/>
      <w:marBottom w:val="0"/>
      <w:divBdr>
        <w:top w:val="none" w:sz="0" w:space="0" w:color="auto"/>
        <w:left w:val="none" w:sz="0" w:space="0" w:color="auto"/>
        <w:bottom w:val="none" w:sz="0" w:space="0" w:color="auto"/>
        <w:right w:val="none" w:sz="0" w:space="0" w:color="auto"/>
      </w:divBdr>
    </w:div>
    <w:div w:id="1728529626">
      <w:bodyDiv w:val="1"/>
      <w:marLeft w:val="0"/>
      <w:marRight w:val="0"/>
      <w:marTop w:val="0"/>
      <w:marBottom w:val="0"/>
      <w:divBdr>
        <w:top w:val="none" w:sz="0" w:space="0" w:color="auto"/>
        <w:left w:val="none" w:sz="0" w:space="0" w:color="auto"/>
        <w:bottom w:val="none" w:sz="0" w:space="0" w:color="auto"/>
        <w:right w:val="none" w:sz="0" w:space="0" w:color="auto"/>
      </w:divBdr>
    </w:div>
    <w:div w:id="1784574349">
      <w:bodyDiv w:val="1"/>
      <w:marLeft w:val="0"/>
      <w:marRight w:val="0"/>
      <w:marTop w:val="0"/>
      <w:marBottom w:val="0"/>
      <w:divBdr>
        <w:top w:val="none" w:sz="0" w:space="0" w:color="auto"/>
        <w:left w:val="none" w:sz="0" w:space="0" w:color="auto"/>
        <w:bottom w:val="none" w:sz="0" w:space="0" w:color="auto"/>
        <w:right w:val="none" w:sz="0" w:space="0" w:color="auto"/>
      </w:divBdr>
    </w:div>
    <w:div w:id="1788936212">
      <w:bodyDiv w:val="1"/>
      <w:marLeft w:val="0"/>
      <w:marRight w:val="0"/>
      <w:marTop w:val="0"/>
      <w:marBottom w:val="0"/>
      <w:divBdr>
        <w:top w:val="none" w:sz="0" w:space="0" w:color="auto"/>
        <w:left w:val="none" w:sz="0" w:space="0" w:color="auto"/>
        <w:bottom w:val="none" w:sz="0" w:space="0" w:color="auto"/>
        <w:right w:val="none" w:sz="0" w:space="0" w:color="auto"/>
      </w:divBdr>
    </w:div>
    <w:div w:id="1798529145">
      <w:bodyDiv w:val="1"/>
      <w:marLeft w:val="0"/>
      <w:marRight w:val="0"/>
      <w:marTop w:val="0"/>
      <w:marBottom w:val="0"/>
      <w:divBdr>
        <w:top w:val="none" w:sz="0" w:space="0" w:color="auto"/>
        <w:left w:val="none" w:sz="0" w:space="0" w:color="auto"/>
        <w:bottom w:val="none" w:sz="0" w:space="0" w:color="auto"/>
        <w:right w:val="none" w:sz="0" w:space="0" w:color="auto"/>
      </w:divBdr>
    </w:div>
    <w:div w:id="1802455414">
      <w:bodyDiv w:val="1"/>
      <w:marLeft w:val="0"/>
      <w:marRight w:val="0"/>
      <w:marTop w:val="0"/>
      <w:marBottom w:val="0"/>
      <w:divBdr>
        <w:top w:val="none" w:sz="0" w:space="0" w:color="auto"/>
        <w:left w:val="none" w:sz="0" w:space="0" w:color="auto"/>
        <w:bottom w:val="none" w:sz="0" w:space="0" w:color="auto"/>
        <w:right w:val="none" w:sz="0" w:space="0" w:color="auto"/>
      </w:divBdr>
    </w:div>
    <w:div w:id="1813406725">
      <w:bodyDiv w:val="1"/>
      <w:marLeft w:val="0"/>
      <w:marRight w:val="0"/>
      <w:marTop w:val="0"/>
      <w:marBottom w:val="0"/>
      <w:divBdr>
        <w:top w:val="none" w:sz="0" w:space="0" w:color="auto"/>
        <w:left w:val="none" w:sz="0" w:space="0" w:color="auto"/>
        <w:bottom w:val="none" w:sz="0" w:space="0" w:color="auto"/>
        <w:right w:val="none" w:sz="0" w:space="0" w:color="auto"/>
      </w:divBdr>
    </w:div>
    <w:div w:id="1813595300">
      <w:bodyDiv w:val="1"/>
      <w:marLeft w:val="0"/>
      <w:marRight w:val="0"/>
      <w:marTop w:val="0"/>
      <w:marBottom w:val="0"/>
      <w:divBdr>
        <w:top w:val="none" w:sz="0" w:space="0" w:color="auto"/>
        <w:left w:val="none" w:sz="0" w:space="0" w:color="auto"/>
        <w:bottom w:val="none" w:sz="0" w:space="0" w:color="auto"/>
        <w:right w:val="none" w:sz="0" w:space="0" w:color="auto"/>
      </w:divBdr>
    </w:div>
    <w:div w:id="1830290857">
      <w:bodyDiv w:val="1"/>
      <w:marLeft w:val="0"/>
      <w:marRight w:val="0"/>
      <w:marTop w:val="0"/>
      <w:marBottom w:val="0"/>
      <w:divBdr>
        <w:top w:val="none" w:sz="0" w:space="0" w:color="auto"/>
        <w:left w:val="none" w:sz="0" w:space="0" w:color="auto"/>
        <w:bottom w:val="none" w:sz="0" w:space="0" w:color="auto"/>
        <w:right w:val="none" w:sz="0" w:space="0" w:color="auto"/>
      </w:divBdr>
    </w:div>
    <w:div w:id="1841385439">
      <w:bodyDiv w:val="1"/>
      <w:marLeft w:val="0"/>
      <w:marRight w:val="0"/>
      <w:marTop w:val="0"/>
      <w:marBottom w:val="0"/>
      <w:divBdr>
        <w:top w:val="none" w:sz="0" w:space="0" w:color="auto"/>
        <w:left w:val="none" w:sz="0" w:space="0" w:color="auto"/>
        <w:bottom w:val="none" w:sz="0" w:space="0" w:color="auto"/>
        <w:right w:val="none" w:sz="0" w:space="0" w:color="auto"/>
      </w:divBdr>
    </w:div>
    <w:div w:id="1854611250">
      <w:bodyDiv w:val="1"/>
      <w:marLeft w:val="0"/>
      <w:marRight w:val="0"/>
      <w:marTop w:val="0"/>
      <w:marBottom w:val="0"/>
      <w:divBdr>
        <w:top w:val="none" w:sz="0" w:space="0" w:color="auto"/>
        <w:left w:val="none" w:sz="0" w:space="0" w:color="auto"/>
        <w:bottom w:val="none" w:sz="0" w:space="0" w:color="auto"/>
        <w:right w:val="none" w:sz="0" w:space="0" w:color="auto"/>
      </w:divBdr>
    </w:div>
    <w:div w:id="1856924572">
      <w:bodyDiv w:val="1"/>
      <w:marLeft w:val="0"/>
      <w:marRight w:val="0"/>
      <w:marTop w:val="0"/>
      <w:marBottom w:val="0"/>
      <w:divBdr>
        <w:top w:val="none" w:sz="0" w:space="0" w:color="auto"/>
        <w:left w:val="none" w:sz="0" w:space="0" w:color="auto"/>
        <w:bottom w:val="none" w:sz="0" w:space="0" w:color="auto"/>
        <w:right w:val="none" w:sz="0" w:space="0" w:color="auto"/>
      </w:divBdr>
    </w:div>
    <w:div w:id="1875650217">
      <w:bodyDiv w:val="1"/>
      <w:marLeft w:val="0"/>
      <w:marRight w:val="0"/>
      <w:marTop w:val="0"/>
      <w:marBottom w:val="0"/>
      <w:divBdr>
        <w:top w:val="none" w:sz="0" w:space="0" w:color="auto"/>
        <w:left w:val="none" w:sz="0" w:space="0" w:color="auto"/>
        <w:bottom w:val="none" w:sz="0" w:space="0" w:color="auto"/>
        <w:right w:val="none" w:sz="0" w:space="0" w:color="auto"/>
      </w:divBdr>
    </w:div>
    <w:div w:id="1905598394">
      <w:bodyDiv w:val="1"/>
      <w:marLeft w:val="0"/>
      <w:marRight w:val="0"/>
      <w:marTop w:val="0"/>
      <w:marBottom w:val="0"/>
      <w:divBdr>
        <w:top w:val="none" w:sz="0" w:space="0" w:color="auto"/>
        <w:left w:val="none" w:sz="0" w:space="0" w:color="auto"/>
        <w:bottom w:val="none" w:sz="0" w:space="0" w:color="auto"/>
        <w:right w:val="none" w:sz="0" w:space="0" w:color="auto"/>
      </w:divBdr>
    </w:div>
    <w:div w:id="1964967112">
      <w:bodyDiv w:val="1"/>
      <w:marLeft w:val="0"/>
      <w:marRight w:val="0"/>
      <w:marTop w:val="0"/>
      <w:marBottom w:val="0"/>
      <w:divBdr>
        <w:top w:val="none" w:sz="0" w:space="0" w:color="auto"/>
        <w:left w:val="none" w:sz="0" w:space="0" w:color="auto"/>
        <w:bottom w:val="none" w:sz="0" w:space="0" w:color="auto"/>
        <w:right w:val="none" w:sz="0" w:space="0" w:color="auto"/>
      </w:divBdr>
    </w:div>
    <w:div w:id="1967269401">
      <w:bodyDiv w:val="1"/>
      <w:marLeft w:val="0"/>
      <w:marRight w:val="0"/>
      <w:marTop w:val="0"/>
      <w:marBottom w:val="0"/>
      <w:divBdr>
        <w:top w:val="none" w:sz="0" w:space="0" w:color="auto"/>
        <w:left w:val="none" w:sz="0" w:space="0" w:color="auto"/>
        <w:bottom w:val="none" w:sz="0" w:space="0" w:color="auto"/>
        <w:right w:val="none" w:sz="0" w:space="0" w:color="auto"/>
      </w:divBdr>
    </w:div>
    <w:div w:id="2027176288">
      <w:bodyDiv w:val="1"/>
      <w:marLeft w:val="0"/>
      <w:marRight w:val="0"/>
      <w:marTop w:val="0"/>
      <w:marBottom w:val="0"/>
      <w:divBdr>
        <w:top w:val="none" w:sz="0" w:space="0" w:color="auto"/>
        <w:left w:val="none" w:sz="0" w:space="0" w:color="auto"/>
        <w:bottom w:val="none" w:sz="0" w:space="0" w:color="auto"/>
        <w:right w:val="none" w:sz="0" w:space="0" w:color="auto"/>
      </w:divBdr>
    </w:div>
    <w:div w:id="2029721837">
      <w:bodyDiv w:val="1"/>
      <w:marLeft w:val="0"/>
      <w:marRight w:val="0"/>
      <w:marTop w:val="0"/>
      <w:marBottom w:val="0"/>
      <w:divBdr>
        <w:top w:val="none" w:sz="0" w:space="0" w:color="auto"/>
        <w:left w:val="none" w:sz="0" w:space="0" w:color="auto"/>
        <w:bottom w:val="none" w:sz="0" w:space="0" w:color="auto"/>
        <w:right w:val="none" w:sz="0" w:space="0" w:color="auto"/>
      </w:divBdr>
    </w:div>
    <w:div w:id="2036342228">
      <w:bodyDiv w:val="1"/>
      <w:marLeft w:val="0"/>
      <w:marRight w:val="0"/>
      <w:marTop w:val="0"/>
      <w:marBottom w:val="0"/>
      <w:divBdr>
        <w:top w:val="none" w:sz="0" w:space="0" w:color="auto"/>
        <w:left w:val="none" w:sz="0" w:space="0" w:color="auto"/>
        <w:bottom w:val="none" w:sz="0" w:space="0" w:color="auto"/>
        <w:right w:val="none" w:sz="0" w:space="0" w:color="auto"/>
      </w:divBdr>
    </w:div>
    <w:div w:id="2058430278">
      <w:bodyDiv w:val="1"/>
      <w:marLeft w:val="0"/>
      <w:marRight w:val="0"/>
      <w:marTop w:val="0"/>
      <w:marBottom w:val="0"/>
      <w:divBdr>
        <w:top w:val="none" w:sz="0" w:space="0" w:color="auto"/>
        <w:left w:val="none" w:sz="0" w:space="0" w:color="auto"/>
        <w:bottom w:val="none" w:sz="0" w:space="0" w:color="auto"/>
        <w:right w:val="none" w:sz="0" w:space="0" w:color="auto"/>
      </w:divBdr>
    </w:div>
    <w:div w:id="2082871872">
      <w:bodyDiv w:val="1"/>
      <w:marLeft w:val="0"/>
      <w:marRight w:val="0"/>
      <w:marTop w:val="0"/>
      <w:marBottom w:val="0"/>
      <w:divBdr>
        <w:top w:val="none" w:sz="0" w:space="0" w:color="auto"/>
        <w:left w:val="none" w:sz="0" w:space="0" w:color="auto"/>
        <w:bottom w:val="none" w:sz="0" w:space="0" w:color="auto"/>
        <w:right w:val="none" w:sz="0" w:space="0" w:color="auto"/>
      </w:divBdr>
    </w:div>
    <w:div w:id="2090804624">
      <w:bodyDiv w:val="1"/>
      <w:marLeft w:val="0"/>
      <w:marRight w:val="0"/>
      <w:marTop w:val="0"/>
      <w:marBottom w:val="0"/>
      <w:divBdr>
        <w:top w:val="none" w:sz="0" w:space="0" w:color="auto"/>
        <w:left w:val="none" w:sz="0" w:space="0" w:color="auto"/>
        <w:bottom w:val="none" w:sz="0" w:space="0" w:color="auto"/>
        <w:right w:val="none" w:sz="0" w:space="0" w:color="auto"/>
      </w:divBdr>
    </w:div>
    <w:div w:id="2093506970">
      <w:bodyDiv w:val="1"/>
      <w:marLeft w:val="0"/>
      <w:marRight w:val="0"/>
      <w:marTop w:val="0"/>
      <w:marBottom w:val="0"/>
      <w:divBdr>
        <w:top w:val="none" w:sz="0" w:space="0" w:color="auto"/>
        <w:left w:val="none" w:sz="0" w:space="0" w:color="auto"/>
        <w:bottom w:val="none" w:sz="0" w:space="0" w:color="auto"/>
        <w:right w:val="none" w:sz="0" w:space="0" w:color="auto"/>
      </w:divBdr>
    </w:div>
    <w:div w:id="2094470822">
      <w:bodyDiv w:val="1"/>
      <w:marLeft w:val="0"/>
      <w:marRight w:val="0"/>
      <w:marTop w:val="0"/>
      <w:marBottom w:val="0"/>
      <w:divBdr>
        <w:top w:val="none" w:sz="0" w:space="0" w:color="auto"/>
        <w:left w:val="none" w:sz="0" w:space="0" w:color="auto"/>
        <w:bottom w:val="none" w:sz="0" w:space="0" w:color="auto"/>
        <w:right w:val="none" w:sz="0" w:space="0" w:color="auto"/>
      </w:divBdr>
    </w:div>
    <w:div w:id="2119520440">
      <w:bodyDiv w:val="1"/>
      <w:marLeft w:val="0"/>
      <w:marRight w:val="0"/>
      <w:marTop w:val="0"/>
      <w:marBottom w:val="0"/>
      <w:divBdr>
        <w:top w:val="none" w:sz="0" w:space="0" w:color="auto"/>
        <w:left w:val="none" w:sz="0" w:space="0" w:color="auto"/>
        <w:bottom w:val="none" w:sz="0" w:space="0" w:color="auto"/>
        <w:right w:val="none" w:sz="0" w:space="0" w:color="auto"/>
      </w:divBdr>
    </w:div>
    <w:div w:id="2123844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inyurl.com/ys43tdhn" TargetMode="External"/><Relationship Id="rId21" Type="http://schemas.openxmlformats.org/officeDocument/2006/relationships/hyperlink" Target="https://tinyurl.com/2p8336xs" TargetMode="External"/><Relationship Id="rId34" Type="http://schemas.openxmlformats.org/officeDocument/2006/relationships/hyperlink" Target="https://tinyurl.com/mryw9eds" TargetMode="External"/><Relationship Id="rId42" Type="http://schemas.microsoft.com/office/2007/relationships/diagramDrawing" Target="diagrams/drawing1.xml"/><Relationship Id="rId47" Type="http://schemas.microsoft.com/office/2007/relationships/diagramDrawing" Target="diagrams/drawing2.xml"/><Relationship Id="rId50" Type="http://schemas.openxmlformats.org/officeDocument/2006/relationships/chart" Target="charts/chart3.xml"/><Relationship Id="rId55" Type="http://schemas.openxmlformats.org/officeDocument/2006/relationships/image" Target="media/image7.svg"/><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tinyurl.com/36ej56zs" TargetMode="External"/><Relationship Id="rId29" Type="http://schemas.openxmlformats.org/officeDocument/2006/relationships/hyperlink" Target="https://tinyurl.com/36ej56zs" TargetMode="External"/><Relationship Id="rId11" Type="http://schemas.openxmlformats.org/officeDocument/2006/relationships/hyperlink" Target="https://tinyurl.com/yc77w47h" TargetMode="External"/><Relationship Id="rId24" Type="http://schemas.openxmlformats.org/officeDocument/2006/relationships/hyperlink" Target="https://tinyurl.com/46n7kbaz" TargetMode="External"/><Relationship Id="rId32" Type="http://schemas.openxmlformats.org/officeDocument/2006/relationships/hyperlink" Target="https://tinyurl.com/2p9yjbry" TargetMode="External"/><Relationship Id="rId37" Type="http://schemas.openxmlformats.org/officeDocument/2006/relationships/image" Target="media/image2.png"/><Relationship Id="rId40" Type="http://schemas.openxmlformats.org/officeDocument/2006/relationships/diagramQuickStyle" Target="diagrams/quickStyle1.xml"/><Relationship Id="rId45" Type="http://schemas.openxmlformats.org/officeDocument/2006/relationships/diagramQuickStyle" Target="diagrams/quickStyle2.xml"/><Relationship Id="rId53" Type="http://schemas.openxmlformats.org/officeDocument/2006/relationships/image" Target="media/image5.png"/><Relationship Id="rId58" Type="http://schemas.openxmlformats.org/officeDocument/2006/relationships/image" Target="media/image10.jpeg"/><Relationship Id="rId5" Type="http://schemas.openxmlformats.org/officeDocument/2006/relationships/webSettings" Target="webSettings.xml"/><Relationship Id="rId61" Type="http://schemas.openxmlformats.org/officeDocument/2006/relationships/image" Target="media/image13.png"/><Relationship Id="rId19" Type="http://schemas.openxmlformats.org/officeDocument/2006/relationships/hyperlink" Target="https://tinyurl.com/2p9yjbry" TargetMode="External"/><Relationship Id="rId14" Type="http://schemas.openxmlformats.org/officeDocument/2006/relationships/hyperlink" Target="https://tinyurl.com/2p95h68t" TargetMode="External"/><Relationship Id="rId22" Type="http://schemas.openxmlformats.org/officeDocument/2006/relationships/hyperlink" Target="https://tinyurl.com/mryw9eds" TargetMode="External"/><Relationship Id="rId27" Type="http://schemas.openxmlformats.org/officeDocument/2006/relationships/hyperlink" Target="https://tinyurl.com/yc77w47h" TargetMode="External"/><Relationship Id="rId30" Type="http://schemas.openxmlformats.org/officeDocument/2006/relationships/hyperlink" Target="https://tinyurl.com/yz3urp5n" TargetMode="External"/><Relationship Id="rId35" Type="http://schemas.openxmlformats.org/officeDocument/2006/relationships/hyperlink" Target="https://tinyurl.com/ycks2dhc" TargetMode="External"/><Relationship Id="rId43" Type="http://schemas.openxmlformats.org/officeDocument/2006/relationships/diagramData" Target="diagrams/data2.xml"/><Relationship Id="rId48" Type="http://schemas.openxmlformats.org/officeDocument/2006/relationships/chart" Target="charts/chart1.xml"/><Relationship Id="rId56" Type="http://schemas.openxmlformats.org/officeDocument/2006/relationships/image" Target="media/image8.jpeg"/><Relationship Id="rId64" Type="http://schemas.openxmlformats.org/officeDocument/2006/relationships/fontTable" Target="fontTable.xml"/><Relationship Id="rId8" Type="http://schemas.openxmlformats.org/officeDocument/2006/relationships/hyperlink" Target="https://tinyurl.com/2jb6xknn" TargetMode="External"/><Relationship Id="rId51" Type="http://schemas.openxmlformats.org/officeDocument/2006/relationships/image" Target="media/image3.png"/><Relationship Id="rId3" Type="http://schemas.openxmlformats.org/officeDocument/2006/relationships/styles" Target="styles.xml"/><Relationship Id="rId12" Type="http://schemas.openxmlformats.org/officeDocument/2006/relationships/hyperlink" Target="https://tinyurl.com/2jt22snb" TargetMode="External"/><Relationship Id="rId17" Type="http://schemas.openxmlformats.org/officeDocument/2006/relationships/hyperlink" Target="https://tinyurl.com/yz3urp5n" TargetMode="External"/><Relationship Id="rId25" Type="http://schemas.openxmlformats.org/officeDocument/2006/relationships/hyperlink" Target="https://tinyurl.com/bde9zund" TargetMode="External"/><Relationship Id="rId33" Type="http://schemas.openxmlformats.org/officeDocument/2006/relationships/hyperlink" Target="https://tinyurl.com/bp8etm8z" TargetMode="External"/><Relationship Id="rId38" Type="http://schemas.openxmlformats.org/officeDocument/2006/relationships/diagramData" Target="diagrams/data1.xml"/><Relationship Id="rId46" Type="http://schemas.openxmlformats.org/officeDocument/2006/relationships/diagramColors" Target="diagrams/colors2.xml"/><Relationship Id="rId59" Type="http://schemas.openxmlformats.org/officeDocument/2006/relationships/image" Target="media/image11.png"/><Relationship Id="rId20" Type="http://schemas.openxmlformats.org/officeDocument/2006/relationships/hyperlink" Target="https://tinyurl.com/bp8etm8z" TargetMode="External"/><Relationship Id="rId41" Type="http://schemas.openxmlformats.org/officeDocument/2006/relationships/diagramColors" Target="diagrams/colors1.xml"/><Relationship Id="rId54" Type="http://schemas.openxmlformats.org/officeDocument/2006/relationships/image" Target="media/image6.png"/><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tinyurl.com/88e2b4f3" TargetMode="External"/><Relationship Id="rId23" Type="http://schemas.openxmlformats.org/officeDocument/2006/relationships/hyperlink" Target="https://tinyurl.com/ycks2dhc" TargetMode="External"/><Relationship Id="rId28" Type="http://schemas.openxmlformats.org/officeDocument/2006/relationships/hyperlink" Target="https://tinyurl.com/2jt22snb" TargetMode="External"/><Relationship Id="rId36" Type="http://schemas.openxmlformats.org/officeDocument/2006/relationships/hyperlink" Target="https://tinyurl.com/46n7kbaz" TargetMode="External"/><Relationship Id="rId49" Type="http://schemas.openxmlformats.org/officeDocument/2006/relationships/chart" Target="charts/chart2.xml"/><Relationship Id="rId57" Type="http://schemas.openxmlformats.org/officeDocument/2006/relationships/image" Target="media/image9.emf"/><Relationship Id="rId10" Type="http://schemas.openxmlformats.org/officeDocument/2006/relationships/hyperlink" Target="https://tinyurl.com/yckhkev8" TargetMode="External"/><Relationship Id="rId31" Type="http://schemas.openxmlformats.org/officeDocument/2006/relationships/hyperlink" Target="https://tinyurl.com/2p9xdw8p" TargetMode="External"/><Relationship Id="rId44" Type="http://schemas.openxmlformats.org/officeDocument/2006/relationships/diagramLayout" Target="diagrams/layout2.xml"/><Relationship Id="rId52" Type="http://schemas.openxmlformats.org/officeDocument/2006/relationships/image" Target="media/image4.svg"/><Relationship Id="rId60" Type="http://schemas.openxmlformats.org/officeDocument/2006/relationships/image" Target="media/image12.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tinyurl.com/ys43tdhn" TargetMode="External"/><Relationship Id="rId13" Type="http://schemas.openxmlformats.org/officeDocument/2006/relationships/hyperlink" Target="https://tinyurl.com/2p85t3ut" TargetMode="External"/><Relationship Id="rId18" Type="http://schemas.openxmlformats.org/officeDocument/2006/relationships/hyperlink" Target="https://tinyurl.com/2p9xdw8p" TargetMode="External"/><Relationship Id="rId39" Type="http://schemas.openxmlformats.org/officeDocument/2006/relationships/diagramLayout" Target="diagrams/layout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All Med Cost PPD</c:v>
                </c:pt>
              </c:strCache>
            </c:strRef>
          </c:tx>
          <c:spPr>
            <a:ln w="38100" cap="rnd">
              <a:solidFill>
                <a:schemeClr val="accent1"/>
              </a:solidFill>
              <a:round/>
            </a:ln>
            <a:effectLst/>
          </c:spPr>
          <c:marker>
            <c:symbol val="none"/>
          </c:marker>
          <c:dLbls>
            <c:dLbl>
              <c:idx val="0"/>
              <c:layout>
                <c:manualLayout>
                  <c:x val="-4.3414442986293378E-2"/>
                  <c:y val="-4.761904761904765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97A-9F40-9C29-0CBC7FA34CD8}"/>
                </c:ext>
              </c:extLst>
            </c:dLbl>
            <c:dLbl>
              <c:idx val="1"/>
              <c:layout>
                <c:manualLayout>
                  <c:x val="-4.8692220764071155E-2"/>
                  <c:y val="-3.571428571428571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97A-9F40-9C29-0CBC7FA34CD8}"/>
                </c:ext>
              </c:extLst>
            </c:dLbl>
            <c:dLbl>
              <c:idx val="2"/>
              <c:layout>
                <c:manualLayout>
                  <c:x val="-3.6469998541848979E-2"/>
                  <c:y val="-5.952380952380952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97A-9F40-9C29-0CBC7FA34CD8}"/>
                </c:ext>
              </c:extLst>
            </c:dLbl>
            <c:dLbl>
              <c:idx val="3"/>
              <c:layout>
                <c:manualLayout>
                  <c:x val="-4.3414442986293551E-2"/>
                  <c:y val="-5.952380952380952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97A-9F40-9C29-0CBC7FA34CD8}"/>
                </c:ext>
              </c:extLst>
            </c:dLbl>
            <c:dLbl>
              <c:idx val="4"/>
              <c:layout>
                <c:manualLayout>
                  <c:x val="-4.3414442986293551E-2"/>
                  <c:y val="-4.761904761904765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97A-9F40-9C29-0CBC7FA34CD8}"/>
                </c:ext>
              </c:extLst>
            </c:dLbl>
            <c:dLbl>
              <c:idx val="5"/>
              <c:layout>
                <c:manualLayout>
                  <c:x val="-4.3414442986293378E-2"/>
                  <c:y val="-5.158730158730166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97A-9F40-9C29-0CBC7FA34CD8}"/>
                </c:ext>
              </c:extLst>
            </c:dLbl>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Sheet1!$A$2:$A$7</c:f>
              <c:numCache>
                <c:formatCode>mmm\-yy</c:formatCode>
                <c:ptCount val="6"/>
                <c:pt idx="0">
                  <c:v>44317</c:v>
                </c:pt>
                <c:pt idx="1">
                  <c:v>44348</c:v>
                </c:pt>
                <c:pt idx="2">
                  <c:v>44378</c:v>
                </c:pt>
                <c:pt idx="3">
                  <c:v>44470</c:v>
                </c:pt>
                <c:pt idx="4">
                  <c:v>44501</c:v>
                </c:pt>
                <c:pt idx="5">
                  <c:v>44531</c:v>
                </c:pt>
              </c:numCache>
            </c:numRef>
          </c:cat>
          <c:val>
            <c:numRef>
              <c:f>Sheet1!$B$2:$B$7</c:f>
              <c:numCache>
                <c:formatCode>"$"#,##0.00_);[Red]\("$"#,##0.00\)</c:formatCode>
                <c:ptCount val="6"/>
                <c:pt idx="0">
                  <c:v>9.41</c:v>
                </c:pt>
                <c:pt idx="1">
                  <c:v>11.46</c:v>
                </c:pt>
                <c:pt idx="2">
                  <c:v>9.32</c:v>
                </c:pt>
                <c:pt idx="3">
                  <c:v>6.33</c:v>
                </c:pt>
                <c:pt idx="4">
                  <c:v>7.77</c:v>
                </c:pt>
                <c:pt idx="5">
                  <c:v>7.33</c:v>
                </c:pt>
              </c:numCache>
            </c:numRef>
          </c:val>
          <c:smooth val="0"/>
          <c:extLst>
            <c:ext xmlns:c16="http://schemas.microsoft.com/office/drawing/2014/chart" uri="{C3380CC4-5D6E-409C-BE32-E72D297353CC}">
              <c16:uniqueId val="{00000006-A97A-9F40-9C29-0CBC7FA34CD8}"/>
            </c:ext>
          </c:extLst>
        </c:ser>
        <c:ser>
          <c:idx val="1"/>
          <c:order val="1"/>
          <c:tx>
            <c:strRef>
              <c:f>Sheet1!$C$1</c:f>
              <c:strCache>
                <c:ptCount val="1"/>
                <c:pt idx="0">
                  <c:v>NF Med Cost PPD</c:v>
                </c:pt>
              </c:strCache>
            </c:strRef>
          </c:tx>
          <c:spPr>
            <a:ln w="38100" cap="rnd">
              <a:solidFill>
                <a:schemeClr val="accent2"/>
              </a:solidFill>
              <a:round/>
            </a:ln>
            <a:effectLst/>
          </c:spPr>
          <c:marker>
            <c:symbol val="none"/>
          </c:marker>
          <c:dLbls>
            <c:dLbl>
              <c:idx val="0"/>
              <c:layout>
                <c:manualLayout>
                  <c:x val="-4.3414442986293378E-2"/>
                  <c:y val="-3.968253968253961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97A-9F40-9C29-0CBC7FA34CD8}"/>
                </c:ext>
              </c:extLst>
            </c:dLbl>
            <c:dLbl>
              <c:idx val="1"/>
              <c:layout>
                <c:manualLayout>
                  <c:x val="-4.3414442986293378E-2"/>
                  <c:y val="-3.96825396825396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97A-9F40-9C29-0CBC7FA34CD8}"/>
                </c:ext>
              </c:extLst>
            </c:dLbl>
            <c:dLbl>
              <c:idx val="2"/>
              <c:layout>
                <c:manualLayout>
                  <c:x val="-4.3414442986293378E-2"/>
                  <c:y val="-4.761904761904761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97A-9F40-9C29-0CBC7FA34CD8}"/>
                </c:ext>
              </c:extLst>
            </c:dLbl>
            <c:dLbl>
              <c:idx val="3"/>
              <c:layout>
                <c:manualLayout>
                  <c:x val="-4.3414442986293551E-2"/>
                  <c:y val="-4.365079365079379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97A-9F40-9C29-0CBC7FA34CD8}"/>
                </c:ext>
              </c:extLst>
            </c:dLbl>
            <c:dLbl>
              <c:idx val="4"/>
              <c:layout>
                <c:manualLayout>
                  <c:x val="-4.5729257801108196E-2"/>
                  <c:y val="-3.968253968253975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97A-9F40-9C29-0CBC7FA34CD8}"/>
                </c:ext>
              </c:extLst>
            </c:dLbl>
            <c:dLbl>
              <c:idx val="5"/>
              <c:layout>
                <c:manualLayout>
                  <c:x val="-4.3414442986293378E-2"/>
                  <c:y val="-4.365079365079364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A97A-9F40-9C29-0CBC7FA34CD8}"/>
                </c:ext>
              </c:extLst>
            </c:dLbl>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Sheet1!$A$2:$A$7</c:f>
              <c:numCache>
                <c:formatCode>mmm\-yy</c:formatCode>
                <c:ptCount val="6"/>
                <c:pt idx="0">
                  <c:v>44317</c:v>
                </c:pt>
                <c:pt idx="1">
                  <c:v>44348</c:v>
                </c:pt>
                <c:pt idx="2">
                  <c:v>44378</c:v>
                </c:pt>
                <c:pt idx="3">
                  <c:v>44470</c:v>
                </c:pt>
                <c:pt idx="4">
                  <c:v>44501</c:v>
                </c:pt>
                <c:pt idx="5">
                  <c:v>44531</c:v>
                </c:pt>
              </c:numCache>
            </c:numRef>
          </c:cat>
          <c:val>
            <c:numRef>
              <c:f>Sheet1!$C$2:$C$7</c:f>
              <c:numCache>
                <c:formatCode>"$"#,##0.00_);[Red]\("$"#,##0.00\)</c:formatCode>
                <c:ptCount val="6"/>
                <c:pt idx="0">
                  <c:v>2.2400000000000002</c:v>
                </c:pt>
                <c:pt idx="1">
                  <c:v>2.36</c:v>
                </c:pt>
                <c:pt idx="2">
                  <c:v>2.12</c:v>
                </c:pt>
                <c:pt idx="3">
                  <c:v>1.5</c:v>
                </c:pt>
                <c:pt idx="4">
                  <c:v>2.14</c:v>
                </c:pt>
                <c:pt idx="5">
                  <c:v>2.0299999999999998</c:v>
                </c:pt>
              </c:numCache>
            </c:numRef>
          </c:val>
          <c:smooth val="0"/>
          <c:extLst>
            <c:ext xmlns:c16="http://schemas.microsoft.com/office/drawing/2014/chart" uri="{C3380CC4-5D6E-409C-BE32-E72D297353CC}">
              <c16:uniqueId val="{0000000D-A97A-9F40-9C29-0CBC7FA34CD8}"/>
            </c:ext>
          </c:extLst>
        </c:ser>
        <c:dLbls>
          <c:showLegendKey val="0"/>
          <c:showVal val="0"/>
          <c:showCatName val="0"/>
          <c:showSerName val="0"/>
          <c:showPercent val="0"/>
          <c:showBubbleSize val="0"/>
        </c:dLbls>
        <c:smooth val="0"/>
        <c:axId val="469614271"/>
        <c:axId val="494237039"/>
      </c:lineChart>
      <c:dateAx>
        <c:axId val="469614271"/>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cap="none" spc="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94237039"/>
        <c:crosses val="autoZero"/>
        <c:auto val="1"/>
        <c:lblOffset val="100"/>
        <c:baseTimeUnit val="months"/>
      </c:dateAx>
      <c:valAx>
        <c:axId val="49423703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quot;$&quot;#,##0.00_);[Red]\(&quot;$&quot;#,##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6961427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Average Overall Medication Cost Comparison</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2020</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October</c:v>
                </c:pt>
                <c:pt idx="1">
                  <c:v>November</c:v>
                </c:pt>
                <c:pt idx="2">
                  <c:v>December</c:v>
                </c:pt>
              </c:strCache>
            </c:strRef>
          </c:cat>
          <c:val>
            <c:numRef>
              <c:f>Sheet1!$B$2:$B$4</c:f>
              <c:numCache>
                <c:formatCode>"$"#,##0.00_);[Red]\("$"#,##0.00\)</c:formatCode>
                <c:ptCount val="3"/>
                <c:pt idx="0">
                  <c:v>10.62</c:v>
                </c:pt>
                <c:pt idx="1">
                  <c:v>11.02</c:v>
                </c:pt>
                <c:pt idx="2">
                  <c:v>10.79</c:v>
                </c:pt>
              </c:numCache>
            </c:numRef>
          </c:val>
          <c:extLst>
            <c:ext xmlns:c16="http://schemas.microsoft.com/office/drawing/2014/chart" uri="{C3380CC4-5D6E-409C-BE32-E72D297353CC}">
              <c16:uniqueId val="{00000000-8B71-8D4A-AF2A-71842FF14231}"/>
            </c:ext>
          </c:extLst>
        </c:ser>
        <c:ser>
          <c:idx val="1"/>
          <c:order val="1"/>
          <c:tx>
            <c:strRef>
              <c:f>Sheet1!$C$1</c:f>
              <c:strCache>
                <c:ptCount val="1"/>
                <c:pt idx="0">
                  <c:v>2021</c:v>
                </c:pt>
              </c:strCache>
            </c:strRef>
          </c:tx>
          <c:spPr>
            <a:solidFill>
              <a:schemeClr val="accent2"/>
            </a:solidFill>
            <a:ln>
              <a:noFill/>
            </a:ln>
            <a:effectLst/>
          </c:spPr>
          <c:invertIfNegative val="0"/>
          <c:dLbls>
            <c:dLbl>
              <c:idx val="0"/>
              <c:tx>
                <c:rich>
                  <a:bodyPr/>
                  <a:lstStyle/>
                  <a:p>
                    <a:r>
                      <a:rPr lang="en-US"/>
                      <a:t>$</a:t>
                    </a:r>
                    <a:fld id="{007B4AD0-6D16-F544-B0F1-A80B737A0165}" type="VALUE">
                      <a:rPr lang="en-US"/>
                      <a:pPr/>
                      <a:t>[VALUE]</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8B71-8D4A-AF2A-71842FF14231}"/>
                </c:ext>
              </c:extLst>
            </c:dLbl>
            <c:dLbl>
              <c:idx val="1"/>
              <c:tx>
                <c:rich>
                  <a:bodyPr/>
                  <a:lstStyle/>
                  <a:p>
                    <a:r>
                      <a:rPr lang="en-US"/>
                      <a:t>$</a:t>
                    </a:r>
                    <a:fld id="{1E90F681-D3A4-B240-BE38-1FB4C5D479C7}" type="VALUE">
                      <a:rPr lang="en-US"/>
                      <a:pPr/>
                      <a:t>[VALUE]</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8B71-8D4A-AF2A-71842FF14231}"/>
                </c:ext>
              </c:extLst>
            </c:dLbl>
            <c:dLbl>
              <c:idx val="2"/>
              <c:tx>
                <c:rich>
                  <a:bodyPr/>
                  <a:lstStyle/>
                  <a:p>
                    <a:r>
                      <a:rPr lang="en-US"/>
                      <a:t>$</a:t>
                    </a:r>
                    <a:fld id="{D8D38946-6497-844D-BB0D-C7A56781F92B}" type="VALUE">
                      <a:rPr lang="en-US"/>
                      <a:pPr/>
                      <a:t>[VALUE]</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8B71-8D4A-AF2A-71842FF14231}"/>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October</c:v>
                </c:pt>
                <c:pt idx="1">
                  <c:v>November</c:v>
                </c:pt>
                <c:pt idx="2">
                  <c:v>December</c:v>
                </c:pt>
              </c:strCache>
            </c:strRef>
          </c:cat>
          <c:val>
            <c:numRef>
              <c:f>Sheet1!$C$2:$C$4</c:f>
              <c:numCache>
                <c:formatCode>General</c:formatCode>
                <c:ptCount val="3"/>
                <c:pt idx="0">
                  <c:v>6.33</c:v>
                </c:pt>
                <c:pt idx="1">
                  <c:v>7.77</c:v>
                </c:pt>
                <c:pt idx="2">
                  <c:v>7.33</c:v>
                </c:pt>
              </c:numCache>
            </c:numRef>
          </c:val>
          <c:extLst>
            <c:ext xmlns:c16="http://schemas.microsoft.com/office/drawing/2014/chart" uri="{C3380CC4-5D6E-409C-BE32-E72D297353CC}">
              <c16:uniqueId val="{00000001-8B71-8D4A-AF2A-71842FF14231}"/>
            </c:ext>
          </c:extLst>
        </c:ser>
        <c:dLbls>
          <c:dLblPos val="outEnd"/>
          <c:showLegendKey val="0"/>
          <c:showVal val="1"/>
          <c:showCatName val="0"/>
          <c:showSerName val="0"/>
          <c:showPercent val="0"/>
          <c:showBubbleSize val="0"/>
        </c:dLbls>
        <c:gapWidth val="444"/>
        <c:overlap val="-90"/>
        <c:axId val="195447327"/>
        <c:axId val="522909071"/>
      </c:barChart>
      <c:catAx>
        <c:axId val="19544732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22909071"/>
        <c:crosses val="autoZero"/>
        <c:auto val="1"/>
        <c:lblAlgn val="ctr"/>
        <c:lblOffset val="100"/>
        <c:noMultiLvlLbl val="0"/>
      </c:catAx>
      <c:valAx>
        <c:axId val="522909071"/>
        <c:scaling>
          <c:orientation val="minMax"/>
        </c:scaling>
        <c:delete val="1"/>
        <c:axPos val="l"/>
        <c:numFmt formatCode="&quot;$&quot;#,##0.00_);[Red]\(&quot;$&quot;#,##0.00\)" sourceLinked="1"/>
        <c:majorTickMark val="none"/>
        <c:minorTickMark val="none"/>
        <c:tickLblPos val="nextTo"/>
        <c:crossAx val="195447327"/>
        <c:crosses val="autoZero"/>
        <c:crossBetween val="between"/>
      </c:valAx>
      <c:spPr>
        <a:noFill/>
        <a:ln>
          <a:noFill/>
        </a:ln>
        <a:effectLst/>
      </c:spPr>
    </c:plotArea>
    <c:legend>
      <c:legendPos val="t"/>
      <c:layout>
        <c:manualLayout>
          <c:xMode val="edge"/>
          <c:yMode val="edge"/>
          <c:x val="0.41914455137552248"/>
          <c:y val="0.20188177849339906"/>
          <c:w val="0.15981335666375038"/>
          <c:h val="7.345071449402157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Average Non-formulary Cost Comparison</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2020</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October</c:v>
                </c:pt>
                <c:pt idx="1">
                  <c:v>November</c:v>
                </c:pt>
                <c:pt idx="2">
                  <c:v>December</c:v>
                </c:pt>
              </c:strCache>
            </c:strRef>
          </c:cat>
          <c:val>
            <c:numRef>
              <c:f>Sheet1!$B$2:$B$4</c:f>
              <c:numCache>
                <c:formatCode>"$"#,##0.00_);[Red]\("$"#,##0.00\)</c:formatCode>
                <c:ptCount val="3"/>
                <c:pt idx="0">
                  <c:v>3.05</c:v>
                </c:pt>
                <c:pt idx="1">
                  <c:v>3.44</c:v>
                </c:pt>
                <c:pt idx="2">
                  <c:v>3.17</c:v>
                </c:pt>
              </c:numCache>
            </c:numRef>
          </c:val>
          <c:extLst>
            <c:ext xmlns:c16="http://schemas.microsoft.com/office/drawing/2014/chart" uri="{C3380CC4-5D6E-409C-BE32-E72D297353CC}">
              <c16:uniqueId val="{00000000-82B2-BB44-8D14-48A147A90B41}"/>
            </c:ext>
          </c:extLst>
        </c:ser>
        <c:ser>
          <c:idx val="1"/>
          <c:order val="1"/>
          <c:tx>
            <c:strRef>
              <c:f>Sheet1!$C$1</c:f>
              <c:strCache>
                <c:ptCount val="1"/>
                <c:pt idx="0">
                  <c:v>2021</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October</c:v>
                </c:pt>
                <c:pt idx="1">
                  <c:v>November</c:v>
                </c:pt>
                <c:pt idx="2">
                  <c:v>December</c:v>
                </c:pt>
              </c:strCache>
            </c:strRef>
          </c:cat>
          <c:val>
            <c:numRef>
              <c:f>Sheet1!$C$2:$C$4</c:f>
              <c:numCache>
                <c:formatCode>"$"#,##0.00_);[Red]\("$"#,##0.00\)</c:formatCode>
                <c:ptCount val="3"/>
                <c:pt idx="0">
                  <c:v>1.5</c:v>
                </c:pt>
                <c:pt idx="1">
                  <c:v>2.14</c:v>
                </c:pt>
                <c:pt idx="2">
                  <c:v>2.0299999999999998</c:v>
                </c:pt>
              </c:numCache>
            </c:numRef>
          </c:val>
          <c:extLst>
            <c:ext xmlns:c16="http://schemas.microsoft.com/office/drawing/2014/chart" uri="{C3380CC4-5D6E-409C-BE32-E72D297353CC}">
              <c16:uniqueId val="{00000001-82B2-BB44-8D14-48A147A90B41}"/>
            </c:ext>
          </c:extLst>
        </c:ser>
        <c:dLbls>
          <c:dLblPos val="outEnd"/>
          <c:showLegendKey val="0"/>
          <c:showVal val="1"/>
          <c:showCatName val="0"/>
          <c:showSerName val="0"/>
          <c:showPercent val="0"/>
          <c:showBubbleSize val="0"/>
        </c:dLbls>
        <c:gapWidth val="444"/>
        <c:overlap val="-90"/>
        <c:axId val="170029535"/>
        <c:axId val="2019407056"/>
      </c:barChart>
      <c:catAx>
        <c:axId val="17002953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19407056"/>
        <c:crosses val="autoZero"/>
        <c:auto val="1"/>
        <c:lblAlgn val="ctr"/>
        <c:lblOffset val="100"/>
        <c:noMultiLvlLbl val="0"/>
      </c:catAx>
      <c:valAx>
        <c:axId val="2019407056"/>
        <c:scaling>
          <c:orientation val="minMax"/>
        </c:scaling>
        <c:delete val="1"/>
        <c:axPos val="l"/>
        <c:numFmt formatCode="&quot;$&quot;#,##0.00_);[Red]\(&quot;$&quot;#,##0.00\)" sourceLinked="1"/>
        <c:majorTickMark val="none"/>
        <c:minorTickMark val="none"/>
        <c:tickLblPos val="nextTo"/>
        <c:crossAx val="170029535"/>
        <c:crosses val="autoZero"/>
        <c:crossBetween val="between"/>
      </c:valAx>
      <c:spPr>
        <a:noFill/>
        <a:ln>
          <a:noFill/>
        </a:ln>
        <a:effectLst/>
      </c:spPr>
    </c:plotArea>
    <c:legend>
      <c:legendPos val="t"/>
      <c:layout>
        <c:manualLayout>
          <c:xMode val="edge"/>
          <c:yMode val="edge"/>
          <c:x val="0.41704410842450002"/>
          <c:y val="0.19925373134328359"/>
          <c:w val="0.15967536560705292"/>
          <c:h val="7.345071449402157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BCDD429-05A5-C041-BD8C-2C3BE36CD554}" type="doc">
      <dgm:prSet loTypeId="urn:microsoft.com/office/officeart/2005/8/layout/hierarchy2" loCatId="" qsTypeId="urn:microsoft.com/office/officeart/2005/8/quickstyle/simple1" qsCatId="simple" csTypeId="urn:microsoft.com/office/officeart/2005/8/colors/accent1_2" csCatId="accent1" phldr="1"/>
      <dgm:spPr/>
      <dgm:t>
        <a:bodyPr/>
        <a:lstStyle/>
        <a:p>
          <a:endParaRPr lang="en-US"/>
        </a:p>
      </dgm:t>
    </dgm:pt>
    <dgm:pt modelId="{91B9F9FB-7AA6-F44D-91DE-734B30B76A8C}">
      <dgm:prSet phldrT="[Text]" custT="1"/>
      <dgm:spPr/>
      <dgm:t>
        <a:bodyPr/>
        <a:lstStyle/>
        <a:p>
          <a:pPr algn="ctr"/>
          <a:r>
            <a:rPr lang="en-US" sz="950">
              <a:latin typeface="Times New Roman" panose="02020603050405020304" pitchFamily="18" charset="0"/>
              <a:cs typeface="Times New Roman" panose="02020603050405020304" pitchFamily="18" charset="0"/>
            </a:rPr>
            <a:t>To reduce  overall medication cost and nonformulary medication cost by 10% through increasing formulary compliance following project implementation on 9/17/21 with Hospice organization</a:t>
          </a:r>
        </a:p>
      </dgm:t>
    </dgm:pt>
    <dgm:pt modelId="{6F2DD06C-7151-0C41-A140-37DDEF003BC8}" type="sibTrans" cxnId="{6C9535B2-7AB2-EB40-831E-09D0BD6F19AA}">
      <dgm:prSet/>
      <dgm:spPr/>
      <dgm:t>
        <a:bodyPr/>
        <a:lstStyle/>
        <a:p>
          <a:pPr algn="ctr"/>
          <a:endParaRPr lang="en-US"/>
        </a:p>
      </dgm:t>
    </dgm:pt>
    <dgm:pt modelId="{F8046A27-B115-3E42-B094-A4FBD3C46431}" type="parTrans" cxnId="{6C9535B2-7AB2-EB40-831E-09D0BD6F19AA}">
      <dgm:prSet/>
      <dgm:spPr/>
      <dgm:t>
        <a:bodyPr/>
        <a:lstStyle/>
        <a:p>
          <a:pPr algn="ctr"/>
          <a:endParaRPr lang="en-US"/>
        </a:p>
      </dgm:t>
    </dgm:pt>
    <dgm:pt modelId="{C59766F7-4992-994D-BD10-3A55A37CFF14}">
      <dgm:prSet custT="1"/>
      <dgm:spPr/>
      <dgm:t>
        <a:bodyPr/>
        <a:lstStyle/>
        <a:p>
          <a:pPr algn="ctr"/>
          <a:r>
            <a:rPr lang="en-US" sz="950">
              <a:latin typeface="Times New Roman" panose="02020603050405020304" pitchFamily="18" charset="0"/>
              <a:cs typeface="Times New Roman" panose="02020603050405020304" pitchFamily="18" charset="0"/>
            </a:rPr>
            <a:t>Computation of appropriate medication orders according to drug formulary</a:t>
          </a:r>
        </a:p>
      </dgm:t>
    </dgm:pt>
    <dgm:pt modelId="{65537E6B-09BD-8A48-AB6C-2BE549F04D5A}" type="parTrans" cxnId="{191202A3-8B2D-0A4C-84C0-B536AE409B2A}">
      <dgm:prSet/>
      <dgm:spPr/>
      <dgm:t>
        <a:bodyPr/>
        <a:lstStyle/>
        <a:p>
          <a:pPr algn="ctr"/>
          <a:endParaRPr lang="en-US"/>
        </a:p>
      </dgm:t>
    </dgm:pt>
    <dgm:pt modelId="{0BB020ED-C002-2948-BCDE-86F332D70A40}" type="sibTrans" cxnId="{191202A3-8B2D-0A4C-84C0-B536AE409B2A}">
      <dgm:prSet/>
      <dgm:spPr/>
      <dgm:t>
        <a:bodyPr/>
        <a:lstStyle/>
        <a:p>
          <a:pPr algn="ctr"/>
          <a:endParaRPr lang="en-US"/>
        </a:p>
      </dgm:t>
    </dgm:pt>
    <dgm:pt modelId="{39819761-AFEE-4843-BA04-E4E4D113970D}">
      <dgm:prSet custT="1"/>
      <dgm:spPr/>
      <dgm:t>
        <a:bodyPr/>
        <a:lstStyle/>
        <a:p>
          <a:pPr algn="ctr"/>
          <a:r>
            <a:rPr lang="en-US" sz="950">
              <a:latin typeface="Times New Roman" panose="02020603050405020304" pitchFamily="18" charset="0"/>
              <a:cs typeface="Times New Roman" panose="02020603050405020304" pitchFamily="18" charset="0"/>
            </a:rPr>
            <a:t>Heavy patient loads/ work loads</a:t>
          </a:r>
        </a:p>
      </dgm:t>
    </dgm:pt>
    <dgm:pt modelId="{A80D49C6-9830-8940-8916-6FDF255B6CB6}" type="parTrans" cxnId="{AA28E2AA-35A2-0249-BCF5-EECE02BD5D50}">
      <dgm:prSet/>
      <dgm:spPr/>
      <dgm:t>
        <a:bodyPr/>
        <a:lstStyle/>
        <a:p>
          <a:pPr algn="ctr"/>
          <a:endParaRPr lang="en-US"/>
        </a:p>
      </dgm:t>
    </dgm:pt>
    <dgm:pt modelId="{00C3CEB8-5C95-854C-9456-AD810596D344}" type="sibTrans" cxnId="{AA28E2AA-35A2-0249-BCF5-EECE02BD5D50}">
      <dgm:prSet/>
      <dgm:spPr/>
      <dgm:t>
        <a:bodyPr/>
        <a:lstStyle/>
        <a:p>
          <a:pPr algn="ctr"/>
          <a:endParaRPr lang="en-US"/>
        </a:p>
      </dgm:t>
    </dgm:pt>
    <dgm:pt modelId="{73333C57-1547-3749-980D-CD0F13401EEB}">
      <dgm:prSet custT="1"/>
      <dgm:spPr/>
      <dgm:t>
        <a:bodyPr/>
        <a:lstStyle/>
        <a:p>
          <a:pPr algn="ctr"/>
          <a:r>
            <a:rPr lang="en-US" sz="950">
              <a:latin typeface="Times New Roman" panose="02020603050405020304" pitchFamily="18" charset="0"/>
              <a:cs typeface="Times New Roman" panose="02020603050405020304" pitchFamily="18" charset="0"/>
            </a:rPr>
            <a:t>RN knowledge of new drug formulary</a:t>
          </a:r>
        </a:p>
      </dgm:t>
    </dgm:pt>
    <dgm:pt modelId="{C9D788F0-B36C-2B48-B414-39988BAF2048}" type="parTrans" cxnId="{D9E39A8E-0BCC-9140-9235-9B601FC571BF}">
      <dgm:prSet/>
      <dgm:spPr/>
      <dgm:t>
        <a:bodyPr/>
        <a:lstStyle/>
        <a:p>
          <a:pPr algn="ctr"/>
          <a:endParaRPr lang="en-US"/>
        </a:p>
      </dgm:t>
    </dgm:pt>
    <dgm:pt modelId="{5AA4F7E4-3417-A14C-993B-95FA00B2E151}" type="sibTrans" cxnId="{D9E39A8E-0BCC-9140-9235-9B601FC571BF}">
      <dgm:prSet/>
      <dgm:spPr/>
      <dgm:t>
        <a:bodyPr/>
        <a:lstStyle/>
        <a:p>
          <a:pPr algn="ctr"/>
          <a:endParaRPr lang="en-US"/>
        </a:p>
      </dgm:t>
    </dgm:pt>
    <dgm:pt modelId="{C6E088B9-3E67-6747-8B69-6EF1DCD1CD23}">
      <dgm:prSet custT="1"/>
      <dgm:spPr/>
      <dgm:t>
        <a:bodyPr/>
        <a:lstStyle/>
        <a:p>
          <a:pPr algn="ctr"/>
          <a:r>
            <a:rPr lang="en-US" sz="950">
              <a:latin typeface="Times New Roman" panose="02020603050405020304" pitchFamily="18" charset="0"/>
              <a:cs typeface="Times New Roman" panose="02020603050405020304" pitchFamily="18" charset="0"/>
            </a:rPr>
            <a:t>Lack of cost information in ordering platform</a:t>
          </a:r>
        </a:p>
      </dgm:t>
    </dgm:pt>
    <dgm:pt modelId="{213B88AE-0B11-7342-AB50-45F4F0DC49CC}" type="parTrans" cxnId="{61B82E5B-5B40-BD4F-8DB2-B93D6D1013A0}">
      <dgm:prSet/>
      <dgm:spPr/>
      <dgm:t>
        <a:bodyPr/>
        <a:lstStyle/>
        <a:p>
          <a:pPr algn="ctr"/>
          <a:endParaRPr lang="en-US"/>
        </a:p>
      </dgm:t>
    </dgm:pt>
    <dgm:pt modelId="{A691D87D-B12C-234D-B2CE-54E423E4C4CE}" type="sibTrans" cxnId="{61B82E5B-5B40-BD4F-8DB2-B93D6D1013A0}">
      <dgm:prSet/>
      <dgm:spPr/>
      <dgm:t>
        <a:bodyPr/>
        <a:lstStyle/>
        <a:p>
          <a:pPr algn="ctr"/>
          <a:endParaRPr lang="en-US"/>
        </a:p>
      </dgm:t>
    </dgm:pt>
    <dgm:pt modelId="{33FA555C-279C-CF41-8603-F5D39FD3BE82}">
      <dgm:prSet custT="1"/>
      <dgm:spPr/>
      <dgm:t>
        <a:bodyPr/>
        <a:lstStyle/>
        <a:p>
          <a:pPr algn="ctr"/>
          <a:r>
            <a:rPr lang="en-US" sz="950">
              <a:latin typeface="Times New Roman" panose="02020603050405020304" pitchFamily="18" charset="0"/>
              <a:cs typeface="Times New Roman" panose="02020603050405020304" pitchFamily="18" charset="0"/>
            </a:rPr>
            <a:t>Create quick-reference guide to ease decision burden when inputting medication orders </a:t>
          </a:r>
        </a:p>
      </dgm:t>
    </dgm:pt>
    <dgm:pt modelId="{16386D1E-8BF9-C345-A812-D60EE94C78BF}" type="parTrans" cxnId="{D573AD6F-CF69-7B47-AA0A-C952F42900AC}">
      <dgm:prSet/>
      <dgm:spPr/>
      <dgm:t>
        <a:bodyPr/>
        <a:lstStyle/>
        <a:p>
          <a:pPr algn="ctr"/>
          <a:endParaRPr lang="en-US"/>
        </a:p>
      </dgm:t>
    </dgm:pt>
    <dgm:pt modelId="{AB2ACF82-44F6-4148-8536-16AA0847B479}" type="sibTrans" cxnId="{D573AD6F-CF69-7B47-AA0A-C952F42900AC}">
      <dgm:prSet/>
      <dgm:spPr/>
      <dgm:t>
        <a:bodyPr/>
        <a:lstStyle/>
        <a:p>
          <a:pPr algn="ctr"/>
          <a:endParaRPr lang="en-US"/>
        </a:p>
      </dgm:t>
    </dgm:pt>
    <dgm:pt modelId="{DE34046A-AEF8-9547-9F28-65D869375D9E}">
      <dgm:prSet phldrT="[Text]" custT="1"/>
      <dgm:spPr/>
      <dgm:t>
        <a:bodyPr/>
        <a:lstStyle/>
        <a:p>
          <a:pPr algn="ctr"/>
          <a:r>
            <a:rPr lang="en-US" sz="950">
              <a:latin typeface="Times New Roman" panose="02020603050405020304" pitchFamily="18" charset="0"/>
              <a:cs typeface="Times New Roman" panose="02020603050405020304" pitchFamily="18" charset="0"/>
            </a:rPr>
            <a:t>Nurse awareness of cost of commonly prescribed medications</a:t>
          </a:r>
        </a:p>
      </dgm:t>
    </dgm:pt>
    <dgm:pt modelId="{46125B73-1ED6-E948-BDDF-FF904460A7B1}" type="sibTrans" cxnId="{3A3B7156-033B-284F-B7DC-D609A348FF4D}">
      <dgm:prSet/>
      <dgm:spPr/>
      <dgm:t>
        <a:bodyPr/>
        <a:lstStyle/>
        <a:p>
          <a:pPr algn="ctr"/>
          <a:endParaRPr lang="en-US"/>
        </a:p>
      </dgm:t>
    </dgm:pt>
    <dgm:pt modelId="{A66A626F-4A8D-E745-A319-4503A9971074}" type="parTrans" cxnId="{3A3B7156-033B-284F-B7DC-D609A348FF4D}">
      <dgm:prSet/>
      <dgm:spPr/>
      <dgm:t>
        <a:bodyPr/>
        <a:lstStyle/>
        <a:p>
          <a:pPr algn="ctr"/>
          <a:endParaRPr lang="en-US"/>
        </a:p>
      </dgm:t>
    </dgm:pt>
    <dgm:pt modelId="{1F4E0A12-D987-FC4D-AEAF-E3C1C008797F}">
      <dgm:prSet custT="1"/>
      <dgm:spPr/>
      <dgm:t>
        <a:bodyPr/>
        <a:lstStyle/>
        <a:p>
          <a:pPr algn="ctr"/>
          <a:r>
            <a:rPr lang="en-US" sz="950">
              <a:latin typeface="Times New Roman" panose="02020603050405020304" pitchFamily="18" charset="0"/>
              <a:cs typeface="Times New Roman" panose="02020603050405020304" pitchFamily="18" charset="0"/>
            </a:rPr>
            <a:t>Include cost information on the quick-reference guide for nurses</a:t>
          </a:r>
        </a:p>
      </dgm:t>
    </dgm:pt>
    <dgm:pt modelId="{8F723439-7E6C-2342-8DA8-3EA31ECB6DCF}" type="parTrans" cxnId="{4A888251-FF92-A94E-825F-AF5CFCBDBCFE}">
      <dgm:prSet/>
      <dgm:spPr/>
      <dgm:t>
        <a:bodyPr/>
        <a:lstStyle/>
        <a:p>
          <a:pPr algn="ctr"/>
          <a:endParaRPr lang="en-US"/>
        </a:p>
      </dgm:t>
    </dgm:pt>
    <dgm:pt modelId="{03BB2CFD-FDA0-5B4F-8CA4-62EF8A52E757}" type="sibTrans" cxnId="{4A888251-FF92-A94E-825F-AF5CFCBDBCFE}">
      <dgm:prSet/>
      <dgm:spPr/>
      <dgm:t>
        <a:bodyPr/>
        <a:lstStyle/>
        <a:p>
          <a:pPr algn="ctr"/>
          <a:endParaRPr lang="en-US"/>
        </a:p>
      </dgm:t>
    </dgm:pt>
    <dgm:pt modelId="{D404F15A-FDFC-614C-9CFD-F9F32C45445C}">
      <dgm:prSet custT="1"/>
      <dgm:spPr/>
      <dgm:t>
        <a:bodyPr/>
        <a:lstStyle/>
        <a:p>
          <a:pPr algn="ctr"/>
          <a:r>
            <a:rPr lang="en-US" sz="950">
              <a:latin typeface="Times New Roman" panose="02020603050405020304" pitchFamily="18" charset="0"/>
              <a:cs typeface="Times New Roman" panose="02020603050405020304" pitchFamily="18" charset="0"/>
            </a:rPr>
            <a:t>Consult with pharmacy to determine cost effective formulary alternatives</a:t>
          </a:r>
        </a:p>
      </dgm:t>
    </dgm:pt>
    <dgm:pt modelId="{5037259F-8C74-D647-A26B-90EDE8175F83}" type="parTrans" cxnId="{34513AB4-3FAB-824E-81E4-9055A4D24586}">
      <dgm:prSet/>
      <dgm:spPr/>
      <dgm:t>
        <a:bodyPr/>
        <a:lstStyle/>
        <a:p>
          <a:pPr algn="ctr"/>
          <a:endParaRPr lang="en-US"/>
        </a:p>
      </dgm:t>
    </dgm:pt>
    <dgm:pt modelId="{4C2C0343-6B2B-AA47-865B-24017AB1F716}" type="sibTrans" cxnId="{34513AB4-3FAB-824E-81E4-9055A4D24586}">
      <dgm:prSet/>
      <dgm:spPr/>
      <dgm:t>
        <a:bodyPr/>
        <a:lstStyle/>
        <a:p>
          <a:pPr algn="ctr"/>
          <a:endParaRPr lang="en-US"/>
        </a:p>
      </dgm:t>
    </dgm:pt>
    <dgm:pt modelId="{AC38B22B-4F44-1D42-85D3-6CEE3BBAA92A}">
      <dgm:prSet custT="1"/>
      <dgm:spPr/>
      <dgm:t>
        <a:bodyPr/>
        <a:lstStyle/>
        <a:p>
          <a:pPr algn="ctr"/>
          <a:r>
            <a:rPr lang="en-US" sz="950">
              <a:latin typeface="Times New Roman" panose="02020603050405020304" pitchFamily="18" charset="0"/>
              <a:cs typeface="Times New Roman" panose="02020603050405020304" pitchFamily="18" charset="0"/>
            </a:rPr>
            <a:t>Qualtrics survey to gauge nurse's prespective</a:t>
          </a:r>
        </a:p>
      </dgm:t>
    </dgm:pt>
    <dgm:pt modelId="{F72FF0BB-1881-6749-8EAB-62E8A200FB77}" type="parTrans" cxnId="{0A1717A6-193C-B54F-A73F-677EDE94DF62}">
      <dgm:prSet/>
      <dgm:spPr/>
      <dgm:t>
        <a:bodyPr/>
        <a:lstStyle/>
        <a:p>
          <a:endParaRPr lang="en-US"/>
        </a:p>
      </dgm:t>
    </dgm:pt>
    <dgm:pt modelId="{88D2D966-6062-094A-8356-3715823EC970}" type="sibTrans" cxnId="{0A1717A6-193C-B54F-A73F-677EDE94DF62}">
      <dgm:prSet/>
      <dgm:spPr/>
      <dgm:t>
        <a:bodyPr/>
        <a:lstStyle/>
        <a:p>
          <a:endParaRPr lang="en-US"/>
        </a:p>
      </dgm:t>
    </dgm:pt>
    <dgm:pt modelId="{4AA3990D-F441-D840-B33D-FF2D6E27BCA3}" type="pres">
      <dgm:prSet presAssocID="{8BCDD429-05A5-C041-BD8C-2C3BE36CD554}" presName="diagram" presStyleCnt="0">
        <dgm:presLayoutVars>
          <dgm:chPref val="1"/>
          <dgm:dir/>
          <dgm:animOne val="branch"/>
          <dgm:animLvl val="lvl"/>
          <dgm:resizeHandles val="exact"/>
        </dgm:presLayoutVars>
      </dgm:prSet>
      <dgm:spPr/>
    </dgm:pt>
    <dgm:pt modelId="{9911D648-74FB-6E45-BBA6-35218D702920}" type="pres">
      <dgm:prSet presAssocID="{91B9F9FB-7AA6-F44D-91DE-734B30B76A8C}" presName="root1" presStyleCnt="0"/>
      <dgm:spPr/>
    </dgm:pt>
    <dgm:pt modelId="{073FA10E-26AD-FE40-B75C-E84598586BBE}" type="pres">
      <dgm:prSet presAssocID="{91B9F9FB-7AA6-F44D-91DE-734B30B76A8C}" presName="LevelOneTextNode" presStyleLbl="node0" presStyleIdx="0" presStyleCnt="1" custScaleY="372200">
        <dgm:presLayoutVars>
          <dgm:chPref val="3"/>
        </dgm:presLayoutVars>
      </dgm:prSet>
      <dgm:spPr/>
    </dgm:pt>
    <dgm:pt modelId="{466B2009-E317-5A46-983E-BFB45BD806BF}" type="pres">
      <dgm:prSet presAssocID="{91B9F9FB-7AA6-F44D-91DE-734B30B76A8C}" presName="level2hierChild" presStyleCnt="0"/>
      <dgm:spPr/>
    </dgm:pt>
    <dgm:pt modelId="{DDCF82B4-D276-6440-8599-77B5171C58AD}" type="pres">
      <dgm:prSet presAssocID="{65537E6B-09BD-8A48-AB6C-2BE549F04D5A}" presName="conn2-1" presStyleLbl="parChTrans1D2" presStyleIdx="0" presStyleCnt="2"/>
      <dgm:spPr/>
    </dgm:pt>
    <dgm:pt modelId="{391E013A-1787-8E4F-AB55-E3F7E6ED3B80}" type="pres">
      <dgm:prSet presAssocID="{65537E6B-09BD-8A48-AB6C-2BE549F04D5A}" presName="connTx" presStyleLbl="parChTrans1D2" presStyleIdx="0" presStyleCnt="2"/>
      <dgm:spPr/>
    </dgm:pt>
    <dgm:pt modelId="{F7F45881-78F4-A44E-96C2-6C1503C3BC7C}" type="pres">
      <dgm:prSet presAssocID="{C59766F7-4992-994D-BD10-3A55A37CFF14}" presName="root2" presStyleCnt="0"/>
      <dgm:spPr/>
    </dgm:pt>
    <dgm:pt modelId="{23467643-0812-F440-9FBA-EFB10D188FC9}" type="pres">
      <dgm:prSet presAssocID="{C59766F7-4992-994D-BD10-3A55A37CFF14}" presName="LevelTwoTextNode" presStyleLbl="node2" presStyleIdx="0" presStyleCnt="2" custScaleY="136818">
        <dgm:presLayoutVars>
          <dgm:chPref val="3"/>
        </dgm:presLayoutVars>
      </dgm:prSet>
      <dgm:spPr/>
    </dgm:pt>
    <dgm:pt modelId="{66A93AAD-20DB-C34B-AA97-54157F4ADF3C}" type="pres">
      <dgm:prSet presAssocID="{C59766F7-4992-994D-BD10-3A55A37CFF14}" presName="level3hierChild" presStyleCnt="0"/>
      <dgm:spPr/>
    </dgm:pt>
    <dgm:pt modelId="{7A7F73FD-6A84-6844-B361-DD21CCD38978}" type="pres">
      <dgm:prSet presAssocID="{A80D49C6-9830-8940-8916-6FDF255B6CB6}" presName="conn2-1" presStyleLbl="parChTrans1D3" presStyleIdx="0" presStyleCnt="3"/>
      <dgm:spPr/>
    </dgm:pt>
    <dgm:pt modelId="{AD662DB8-E65A-C549-8793-2D697219CA5D}" type="pres">
      <dgm:prSet presAssocID="{A80D49C6-9830-8940-8916-6FDF255B6CB6}" presName="connTx" presStyleLbl="parChTrans1D3" presStyleIdx="0" presStyleCnt="3"/>
      <dgm:spPr/>
    </dgm:pt>
    <dgm:pt modelId="{C66E6B14-F1DB-1F4C-9A7A-E322B06E0D17}" type="pres">
      <dgm:prSet presAssocID="{39819761-AFEE-4843-BA04-E4E4D113970D}" presName="root2" presStyleCnt="0"/>
      <dgm:spPr/>
    </dgm:pt>
    <dgm:pt modelId="{6433B035-4FFD-B147-886A-EBF98C565D05}" type="pres">
      <dgm:prSet presAssocID="{39819761-AFEE-4843-BA04-E4E4D113970D}" presName="LevelTwoTextNode" presStyleLbl="node3" presStyleIdx="0" presStyleCnt="3">
        <dgm:presLayoutVars>
          <dgm:chPref val="3"/>
        </dgm:presLayoutVars>
      </dgm:prSet>
      <dgm:spPr/>
    </dgm:pt>
    <dgm:pt modelId="{38544A28-215F-EF48-809D-EFEE3652364B}" type="pres">
      <dgm:prSet presAssocID="{39819761-AFEE-4843-BA04-E4E4D113970D}" presName="level3hierChild" presStyleCnt="0"/>
      <dgm:spPr/>
    </dgm:pt>
    <dgm:pt modelId="{A5CBF9A2-0C0B-F34C-BC73-0BD900A562FD}" type="pres">
      <dgm:prSet presAssocID="{F72FF0BB-1881-6749-8EAB-62E8A200FB77}" presName="conn2-1" presStyleLbl="parChTrans1D4" presStyleIdx="0" presStyleCnt="4"/>
      <dgm:spPr/>
    </dgm:pt>
    <dgm:pt modelId="{2636A05E-ADCD-E743-BEA3-ABD6C29954DC}" type="pres">
      <dgm:prSet presAssocID="{F72FF0BB-1881-6749-8EAB-62E8A200FB77}" presName="connTx" presStyleLbl="parChTrans1D4" presStyleIdx="0" presStyleCnt="4"/>
      <dgm:spPr/>
    </dgm:pt>
    <dgm:pt modelId="{329EC7E2-BEBC-904B-AF76-1BD393B66615}" type="pres">
      <dgm:prSet presAssocID="{AC38B22B-4F44-1D42-85D3-6CEE3BBAA92A}" presName="root2" presStyleCnt="0"/>
      <dgm:spPr/>
    </dgm:pt>
    <dgm:pt modelId="{7BC3D85A-01BE-6045-9AD1-4141C2457E1C}" type="pres">
      <dgm:prSet presAssocID="{AC38B22B-4F44-1D42-85D3-6CEE3BBAA92A}" presName="LevelTwoTextNode" presStyleLbl="node4" presStyleIdx="0" presStyleCnt="4">
        <dgm:presLayoutVars>
          <dgm:chPref val="3"/>
        </dgm:presLayoutVars>
      </dgm:prSet>
      <dgm:spPr/>
    </dgm:pt>
    <dgm:pt modelId="{E5E068ED-56FB-C54A-B555-E40FC560DDE3}" type="pres">
      <dgm:prSet presAssocID="{AC38B22B-4F44-1D42-85D3-6CEE3BBAA92A}" presName="level3hierChild" presStyleCnt="0"/>
      <dgm:spPr/>
    </dgm:pt>
    <dgm:pt modelId="{F12400F8-3ADA-1A48-A742-68E09D3C1035}" type="pres">
      <dgm:prSet presAssocID="{C9D788F0-B36C-2B48-B414-39988BAF2048}" presName="conn2-1" presStyleLbl="parChTrans1D3" presStyleIdx="1" presStyleCnt="3"/>
      <dgm:spPr/>
    </dgm:pt>
    <dgm:pt modelId="{FA21BB96-7457-B341-9721-A9CE1886AC20}" type="pres">
      <dgm:prSet presAssocID="{C9D788F0-B36C-2B48-B414-39988BAF2048}" presName="connTx" presStyleLbl="parChTrans1D3" presStyleIdx="1" presStyleCnt="3"/>
      <dgm:spPr/>
    </dgm:pt>
    <dgm:pt modelId="{CA9D74F4-4FF9-9049-8ADA-837097CBE5F4}" type="pres">
      <dgm:prSet presAssocID="{73333C57-1547-3749-980D-CD0F13401EEB}" presName="root2" presStyleCnt="0"/>
      <dgm:spPr/>
    </dgm:pt>
    <dgm:pt modelId="{8DC740FF-297F-D449-9685-AF64092834A8}" type="pres">
      <dgm:prSet presAssocID="{73333C57-1547-3749-980D-CD0F13401EEB}" presName="LevelTwoTextNode" presStyleLbl="node3" presStyleIdx="1" presStyleCnt="3">
        <dgm:presLayoutVars>
          <dgm:chPref val="3"/>
        </dgm:presLayoutVars>
      </dgm:prSet>
      <dgm:spPr/>
    </dgm:pt>
    <dgm:pt modelId="{DE15C465-2BDF-A448-95D7-A871F3B6D428}" type="pres">
      <dgm:prSet presAssocID="{73333C57-1547-3749-980D-CD0F13401EEB}" presName="level3hierChild" presStyleCnt="0"/>
      <dgm:spPr/>
    </dgm:pt>
    <dgm:pt modelId="{AAF7C62F-2BAC-B04D-A0AA-47D7C8FDFB52}" type="pres">
      <dgm:prSet presAssocID="{16386D1E-8BF9-C345-A812-D60EE94C78BF}" presName="conn2-1" presStyleLbl="parChTrans1D4" presStyleIdx="1" presStyleCnt="4"/>
      <dgm:spPr/>
    </dgm:pt>
    <dgm:pt modelId="{006535D3-E701-E340-BDD7-EB857C7401D6}" type="pres">
      <dgm:prSet presAssocID="{16386D1E-8BF9-C345-A812-D60EE94C78BF}" presName="connTx" presStyleLbl="parChTrans1D4" presStyleIdx="1" presStyleCnt="4"/>
      <dgm:spPr/>
    </dgm:pt>
    <dgm:pt modelId="{E673D7C8-CAFD-C047-99D3-DDC85969FA6C}" type="pres">
      <dgm:prSet presAssocID="{33FA555C-279C-CF41-8603-F5D39FD3BE82}" presName="root2" presStyleCnt="0"/>
      <dgm:spPr/>
    </dgm:pt>
    <dgm:pt modelId="{D8229DB1-2CB1-6A45-A232-D77738BE705D}" type="pres">
      <dgm:prSet presAssocID="{33FA555C-279C-CF41-8603-F5D39FD3BE82}" presName="LevelTwoTextNode" presStyleLbl="node4" presStyleIdx="1" presStyleCnt="4">
        <dgm:presLayoutVars>
          <dgm:chPref val="3"/>
        </dgm:presLayoutVars>
      </dgm:prSet>
      <dgm:spPr/>
    </dgm:pt>
    <dgm:pt modelId="{F4151C90-E7FE-C348-B8D5-43B290B35287}" type="pres">
      <dgm:prSet presAssocID="{33FA555C-279C-CF41-8603-F5D39FD3BE82}" presName="level3hierChild" presStyleCnt="0"/>
      <dgm:spPr/>
    </dgm:pt>
    <dgm:pt modelId="{E54749A6-6E18-1B45-8611-83B2FB5675C6}" type="pres">
      <dgm:prSet presAssocID="{A66A626F-4A8D-E745-A319-4503A9971074}" presName="conn2-1" presStyleLbl="parChTrans1D2" presStyleIdx="1" presStyleCnt="2"/>
      <dgm:spPr/>
    </dgm:pt>
    <dgm:pt modelId="{1730C5A0-93B8-D54D-88E5-7B2EB397BE22}" type="pres">
      <dgm:prSet presAssocID="{A66A626F-4A8D-E745-A319-4503A9971074}" presName="connTx" presStyleLbl="parChTrans1D2" presStyleIdx="1" presStyleCnt="2"/>
      <dgm:spPr/>
    </dgm:pt>
    <dgm:pt modelId="{B85C1DBD-4955-8244-A4FA-666F23DA266E}" type="pres">
      <dgm:prSet presAssocID="{DE34046A-AEF8-9547-9F28-65D869375D9E}" presName="root2" presStyleCnt="0"/>
      <dgm:spPr/>
    </dgm:pt>
    <dgm:pt modelId="{F4FD89AA-F324-1448-B85B-C01EB206C480}" type="pres">
      <dgm:prSet presAssocID="{DE34046A-AEF8-9547-9F28-65D869375D9E}" presName="LevelTwoTextNode" presStyleLbl="node2" presStyleIdx="1" presStyleCnt="2" custScaleY="136626">
        <dgm:presLayoutVars>
          <dgm:chPref val="3"/>
        </dgm:presLayoutVars>
      </dgm:prSet>
      <dgm:spPr/>
    </dgm:pt>
    <dgm:pt modelId="{B375535C-D2D6-A143-A533-367E1B560431}" type="pres">
      <dgm:prSet presAssocID="{DE34046A-AEF8-9547-9F28-65D869375D9E}" presName="level3hierChild" presStyleCnt="0"/>
      <dgm:spPr/>
    </dgm:pt>
    <dgm:pt modelId="{FB7C2766-B450-2247-A75C-5B44C7DB1F6D}" type="pres">
      <dgm:prSet presAssocID="{213B88AE-0B11-7342-AB50-45F4F0DC49CC}" presName="conn2-1" presStyleLbl="parChTrans1D3" presStyleIdx="2" presStyleCnt="3"/>
      <dgm:spPr/>
    </dgm:pt>
    <dgm:pt modelId="{C5BC742D-470D-5D4B-BD02-CB5009E95CDC}" type="pres">
      <dgm:prSet presAssocID="{213B88AE-0B11-7342-AB50-45F4F0DC49CC}" presName="connTx" presStyleLbl="parChTrans1D3" presStyleIdx="2" presStyleCnt="3"/>
      <dgm:spPr/>
    </dgm:pt>
    <dgm:pt modelId="{642BA4A8-92E3-7240-8EA1-FAA8CF1DC737}" type="pres">
      <dgm:prSet presAssocID="{C6E088B9-3E67-6747-8B69-6EF1DCD1CD23}" presName="root2" presStyleCnt="0"/>
      <dgm:spPr/>
    </dgm:pt>
    <dgm:pt modelId="{C1F63F1C-BF1C-CE4F-8F1D-5F61D5E2A088}" type="pres">
      <dgm:prSet presAssocID="{C6E088B9-3E67-6747-8B69-6EF1DCD1CD23}" presName="LevelTwoTextNode" presStyleLbl="node3" presStyleIdx="2" presStyleCnt="3" custLinFactNeighborX="1259" custLinFactNeighborY="1554">
        <dgm:presLayoutVars>
          <dgm:chPref val="3"/>
        </dgm:presLayoutVars>
      </dgm:prSet>
      <dgm:spPr/>
    </dgm:pt>
    <dgm:pt modelId="{DD8B8E48-4751-A640-8FBD-E5A7DC163C0B}" type="pres">
      <dgm:prSet presAssocID="{C6E088B9-3E67-6747-8B69-6EF1DCD1CD23}" presName="level3hierChild" presStyleCnt="0"/>
      <dgm:spPr/>
    </dgm:pt>
    <dgm:pt modelId="{6652387F-877D-6341-8038-766C7A2FE7D8}" type="pres">
      <dgm:prSet presAssocID="{8F723439-7E6C-2342-8DA8-3EA31ECB6DCF}" presName="conn2-1" presStyleLbl="parChTrans1D4" presStyleIdx="2" presStyleCnt="4"/>
      <dgm:spPr/>
    </dgm:pt>
    <dgm:pt modelId="{81FAA136-4D9C-8D45-BF57-362BA5432D5E}" type="pres">
      <dgm:prSet presAssocID="{8F723439-7E6C-2342-8DA8-3EA31ECB6DCF}" presName="connTx" presStyleLbl="parChTrans1D4" presStyleIdx="2" presStyleCnt="4"/>
      <dgm:spPr/>
    </dgm:pt>
    <dgm:pt modelId="{BE1741EE-8A27-2A4A-9E20-2B2ABAD84995}" type="pres">
      <dgm:prSet presAssocID="{1F4E0A12-D987-FC4D-AEAF-E3C1C008797F}" presName="root2" presStyleCnt="0"/>
      <dgm:spPr/>
    </dgm:pt>
    <dgm:pt modelId="{12C34CF1-2982-8946-AD21-9CF9A9783270}" type="pres">
      <dgm:prSet presAssocID="{1F4E0A12-D987-FC4D-AEAF-E3C1C008797F}" presName="LevelTwoTextNode" presStyleLbl="node4" presStyleIdx="2" presStyleCnt="4">
        <dgm:presLayoutVars>
          <dgm:chPref val="3"/>
        </dgm:presLayoutVars>
      </dgm:prSet>
      <dgm:spPr/>
    </dgm:pt>
    <dgm:pt modelId="{D2DFD9B4-D18B-2B43-9873-2F97012E4C85}" type="pres">
      <dgm:prSet presAssocID="{1F4E0A12-D987-FC4D-AEAF-E3C1C008797F}" presName="level3hierChild" presStyleCnt="0"/>
      <dgm:spPr/>
    </dgm:pt>
    <dgm:pt modelId="{AB4C437F-99A4-F741-B950-F515AEB1AC86}" type="pres">
      <dgm:prSet presAssocID="{5037259F-8C74-D647-A26B-90EDE8175F83}" presName="conn2-1" presStyleLbl="parChTrans1D4" presStyleIdx="3" presStyleCnt="4"/>
      <dgm:spPr/>
    </dgm:pt>
    <dgm:pt modelId="{F48B2426-C151-9E47-BD76-7259E8ACB7C8}" type="pres">
      <dgm:prSet presAssocID="{5037259F-8C74-D647-A26B-90EDE8175F83}" presName="connTx" presStyleLbl="parChTrans1D4" presStyleIdx="3" presStyleCnt="4"/>
      <dgm:spPr/>
    </dgm:pt>
    <dgm:pt modelId="{A1239143-7988-3647-93E8-86D79CC69086}" type="pres">
      <dgm:prSet presAssocID="{D404F15A-FDFC-614C-9CFD-F9F32C45445C}" presName="root2" presStyleCnt="0"/>
      <dgm:spPr/>
    </dgm:pt>
    <dgm:pt modelId="{DD97697F-3927-164A-99ED-BF0595573B97}" type="pres">
      <dgm:prSet presAssocID="{D404F15A-FDFC-614C-9CFD-F9F32C45445C}" presName="LevelTwoTextNode" presStyleLbl="node4" presStyleIdx="3" presStyleCnt="4">
        <dgm:presLayoutVars>
          <dgm:chPref val="3"/>
        </dgm:presLayoutVars>
      </dgm:prSet>
      <dgm:spPr/>
    </dgm:pt>
    <dgm:pt modelId="{358E6D2D-C17B-3248-9704-B0EFFE6D1C3A}" type="pres">
      <dgm:prSet presAssocID="{D404F15A-FDFC-614C-9CFD-F9F32C45445C}" presName="level3hierChild" presStyleCnt="0"/>
      <dgm:spPr/>
    </dgm:pt>
  </dgm:ptLst>
  <dgm:cxnLst>
    <dgm:cxn modelId="{5C627B19-CEC2-7348-9301-DDEA42FE3E00}" type="presOf" srcId="{65537E6B-09BD-8A48-AB6C-2BE549F04D5A}" destId="{DDCF82B4-D276-6440-8599-77B5171C58AD}" srcOrd="0" destOrd="0" presId="urn:microsoft.com/office/officeart/2005/8/layout/hierarchy2"/>
    <dgm:cxn modelId="{34BF431B-6321-004A-AF95-D793B9D98DE6}" type="presOf" srcId="{1F4E0A12-D987-FC4D-AEAF-E3C1C008797F}" destId="{12C34CF1-2982-8946-AD21-9CF9A9783270}" srcOrd="0" destOrd="0" presId="urn:microsoft.com/office/officeart/2005/8/layout/hierarchy2"/>
    <dgm:cxn modelId="{AC712929-F163-6A4B-9BD4-A8E389B8732C}" type="presOf" srcId="{8BCDD429-05A5-C041-BD8C-2C3BE36CD554}" destId="{4AA3990D-F441-D840-B33D-FF2D6E27BCA3}" srcOrd="0" destOrd="0" presId="urn:microsoft.com/office/officeart/2005/8/layout/hierarchy2"/>
    <dgm:cxn modelId="{97D3104E-9BE0-9C45-B86B-28F3C1B52BF3}" type="presOf" srcId="{C9D788F0-B36C-2B48-B414-39988BAF2048}" destId="{FA21BB96-7457-B341-9721-A9CE1886AC20}" srcOrd="1" destOrd="0" presId="urn:microsoft.com/office/officeart/2005/8/layout/hierarchy2"/>
    <dgm:cxn modelId="{4A888251-FF92-A94E-825F-AF5CFCBDBCFE}" srcId="{C6E088B9-3E67-6747-8B69-6EF1DCD1CD23}" destId="{1F4E0A12-D987-FC4D-AEAF-E3C1C008797F}" srcOrd="0" destOrd="0" parTransId="{8F723439-7E6C-2342-8DA8-3EA31ECB6DCF}" sibTransId="{03BB2CFD-FDA0-5B4F-8CA4-62EF8A52E757}"/>
    <dgm:cxn modelId="{1E3C6556-32F5-4D40-8EA9-58A923CCC310}" type="presOf" srcId="{C9D788F0-B36C-2B48-B414-39988BAF2048}" destId="{F12400F8-3ADA-1A48-A742-68E09D3C1035}" srcOrd="0" destOrd="0" presId="urn:microsoft.com/office/officeart/2005/8/layout/hierarchy2"/>
    <dgm:cxn modelId="{3A3B7156-033B-284F-B7DC-D609A348FF4D}" srcId="{91B9F9FB-7AA6-F44D-91DE-734B30B76A8C}" destId="{DE34046A-AEF8-9547-9F28-65D869375D9E}" srcOrd="1" destOrd="0" parTransId="{A66A626F-4A8D-E745-A319-4503A9971074}" sibTransId="{46125B73-1ED6-E948-BDDF-FF904460A7B1}"/>
    <dgm:cxn modelId="{FAAF045B-F45A-6D43-A39E-97866B1FA947}" type="presOf" srcId="{F72FF0BB-1881-6749-8EAB-62E8A200FB77}" destId="{2636A05E-ADCD-E743-BEA3-ABD6C29954DC}" srcOrd="1" destOrd="0" presId="urn:microsoft.com/office/officeart/2005/8/layout/hierarchy2"/>
    <dgm:cxn modelId="{61B82E5B-5B40-BD4F-8DB2-B93D6D1013A0}" srcId="{DE34046A-AEF8-9547-9F28-65D869375D9E}" destId="{C6E088B9-3E67-6747-8B69-6EF1DCD1CD23}" srcOrd="0" destOrd="0" parTransId="{213B88AE-0B11-7342-AB50-45F4F0DC49CC}" sibTransId="{A691D87D-B12C-234D-B2CE-54E423E4C4CE}"/>
    <dgm:cxn modelId="{09B79B5F-D2C2-7F42-9995-5FA591690EA8}" type="presOf" srcId="{73333C57-1547-3749-980D-CD0F13401EEB}" destId="{8DC740FF-297F-D449-9685-AF64092834A8}" srcOrd="0" destOrd="0" presId="urn:microsoft.com/office/officeart/2005/8/layout/hierarchy2"/>
    <dgm:cxn modelId="{D573AD6F-CF69-7B47-AA0A-C952F42900AC}" srcId="{73333C57-1547-3749-980D-CD0F13401EEB}" destId="{33FA555C-279C-CF41-8603-F5D39FD3BE82}" srcOrd="0" destOrd="0" parTransId="{16386D1E-8BF9-C345-A812-D60EE94C78BF}" sibTransId="{AB2ACF82-44F6-4148-8536-16AA0847B479}"/>
    <dgm:cxn modelId="{FCF5F76F-DB0D-3E43-BE4B-D8FD1ABE0706}" type="presOf" srcId="{D404F15A-FDFC-614C-9CFD-F9F32C45445C}" destId="{DD97697F-3927-164A-99ED-BF0595573B97}" srcOrd="0" destOrd="0" presId="urn:microsoft.com/office/officeart/2005/8/layout/hierarchy2"/>
    <dgm:cxn modelId="{A34D9F7F-1172-BE4D-A298-7F73F81FCECA}" type="presOf" srcId="{A66A626F-4A8D-E745-A319-4503A9971074}" destId="{1730C5A0-93B8-D54D-88E5-7B2EB397BE22}" srcOrd="1" destOrd="0" presId="urn:microsoft.com/office/officeart/2005/8/layout/hierarchy2"/>
    <dgm:cxn modelId="{31A0A280-4592-514A-99A4-968F8971401F}" type="presOf" srcId="{C6E088B9-3E67-6747-8B69-6EF1DCD1CD23}" destId="{C1F63F1C-BF1C-CE4F-8F1D-5F61D5E2A088}" srcOrd="0" destOrd="0" presId="urn:microsoft.com/office/officeart/2005/8/layout/hierarchy2"/>
    <dgm:cxn modelId="{D9E39A8E-0BCC-9140-9235-9B601FC571BF}" srcId="{C59766F7-4992-994D-BD10-3A55A37CFF14}" destId="{73333C57-1547-3749-980D-CD0F13401EEB}" srcOrd="1" destOrd="0" parTransId="{C9D788F0-B36C-2B48-B414-39988BAF2048}" sibTransId="{5AA4F7E4-3417-A14C-993B-95FA00B2E151}"/>
    <dgm:cxn modelId="{3F1DA892-0E85-D84C-B534-6D7BB738DD40}" type="presOf" srcId="{A66A626F-4A8D-E745-A319-4503A9971074}" destId="{E54749A6-6E18-1B45-8611-83B2FB5675C6}" srcOrd="0" destOrd="0" presId="urn:microsoft.com/office/officeart/2005/8/layout/hierarchy2"/>
    <dgm:cxn modelId="{EA0BB19D-328A-984F-8B41-7F724D457AAB}" type="presOf" srcId="{F72FF0BB-1881-6749-8EAB-62E8A200FB77}" destId="{A5CBF9A2-0C0B-F34C-BC73-0BD900A562FD}" srcOrd="0" destOrd="0" presId="urn:microsoft.com/office/officeart/2005/8/layout/hierarchy2"/>
    <dgm:cxn modelId="{191202A3-8B2D-0A4C-84C0-B536AE409B2A}" srcId="{91B9F9FB-7AA6-F44D-91DE-734B30B76A8C}" destId="{C59766F7-4992-994D-BD10-3A55A37CFF14}" srcOrd="0" destOrd="0" parTransId="{65537E6B-09BD-8A48-AB6C-2BE549F04D5A}" sibTransId="{0BB020ED-C002-2948-BCDE-86F332D70A40}"/>
    <dgm:cxn modelId="{7B7D6BA4-F0CA-4E49-A9D1-24E04E92D19C}" type="presOf" srcId="{16386D1E-8BF9-C345-A812-D60EE94C78BF}" destId="{006535D3-E701-E340-BDD7-EB857C7401D6}" srcOrd="1" destOrd="0" presId="urn:microsoft.com/office/officeart/2005/8/layout/hierarchy2"/>
    <dgm:cxn modelId="{ACE38FA4-A845-C547-A32F-33783168CFD1}" type="presOf" srcId="{39819761-AFEE-4843-BA04-E4E4D113970D}" destId="{6433B035-4FFD-B147-886A-EBF98C565D05}" srcOrd="0" destOrd="0" presId="urn:microsoft.com/office/officeart/2005/8/layout/hierarchy2"/>
    <dgm:cxn modelId="{0A1717A6-193C-B54F-A73F-677EDE94DF62}" srcId="{39819761-AFEE-4843-BA04-E4E4D113970D}" destId="{AC38B22B-4F44-1D42-85D3-6CEE3BBAA92A}" srcOrd="0" destOrd="0" parTransId="{F72FF0BB-1881-6749-8EAB-62E8A200FB77}" sibTransId="{88D2D966-6062-094A-8356-3715823EC970}"/>
    <dgm:cxn modelId="{AA28E2AA-35A2-0249-BCF5-EECE02BD5D50}" srcId="{C59766F7-4992-994D-BD10-3A55A37CFF14}" destId="{39819761-AFEE-4843-BA04-E4E4D113970D}" srcOrd="0" destOrd="0" parTransId="{A80D49C6-9830-8940-8916-6FDF255B6CB6}" sibTransId="{00C3CEB8-5C95-854C-9456-AD810596D344}"/>
    <dgm:cxn modelId="{6C9535B2-7AB2-EB40-831E-09D0BD6F19AA}" srcId="{8BCDD429-05A5-C041-BD8C-2C3BE36CD554}" destId="{91B9F9FB-7AA6-F44D-91DE-734B30B76A8C}" srcOrd="0" destOrd="0" parTransId="{F8046A27-B115-3E42-B094-A4FBD3C46431}" sibTransId="{6F2DD06C-7151-0C41-A140-37DDEF003BC8}"/>
    <dgm:cxn modelId="{34513AB4-3FAB-824E-81E4-9055A4D24586}" srcId="{C6E088B9-3E67-6747-8B69-6EF1DCD1CD23}" destId="{D404F15A-FDFC-614C-9CFD-F9F32C45445C}" srcOrd="1" destOrd="0" parTransId="{5037259F-8C74-D647-A26B-90EDE8175F83}" sibTransId="{4C2C0343-6B2B-AA47-865B-24017AB1F716}"/>
    <dgm:cxn modelId="{30AA17B6-0513-9642-B836-222C20E3BEB8}" type="presOf" srcId="{A80D49C6-9830-8940-8916-6FDF255B6CB6}" destId="{7A7F73FD-6A84-6844-B361-DD21CCD38978}" srcOrd="0" destOrd="0" presId="urn:microsoft.com/office/officeart/2005/8/layout/hierarchy2"/>
    <dgm:cxn modelId="{56BC9BB8-0B35-C34D-9700-F5AC8F2FAA64}" type="presOf" srcId="{C59766F7-4992-994D-BD10-3A55A37CFF14}" destId="{23467643-0812-F440-9FBA-EFB10D188FC9}" srcOrd="0" destOrd="0" presId="urn:microsoft.com/office/officeart/2005/8/layout/hierarchy2"/>
    <dgm:cxn modelId="{241074BA-AAD0-7442-85B8-BDA828667BEC}" type="presOf" srcId="{DE34046A-AEF8-9547-9F28-65D869375D9E}" destId="{F4FD89AA-F324-1448-B85B-C01EB206C480}" srcOrd="0" destOrd="0" presId="urn:microsoft.com/office/officeart/2005/8/layout/hierarchy2"/>
    <dgm:cxn modelId="{8416E0BA-D1DA-B14C-8C7A-7B5A8A846A7A}" type="presOf" srcId="{213B88AE-0B11-7342-AB50-45F4F0DC49CC}" destId="{C5BC742D-470D-5D4B-BD02-CB5009E95CDC}" srcOrd="1" destOrd="0" presId="urn:microsoft.com/office/officeart/2005/8/layout/hierarchy2"/>
    <dgm:cxn modelId="{644143BB-C768-4649-BAE2-C6A57EF114B5}" type="presOf" srcId="{8F723439-7E6C-2342-8DA8-3EA31ECB6DCF}" destId="{81FAA136-4D9C-8D45-BF57-362BA5432D5E}" srcOrd="1" destOrd="0" presId="urn:microsoft.com/office/officeart/2005/8/layout/hierarchy2"/>
    <dgm:cxn modelId="{DF401BBF-90DF-6840-9201-AC1570D3ADEC}" type="presOf" srcId="{AC38B22B-4F44-1D42-85D3-6CEE3BBAA92A}" destId="{7BC3D85A-01BE-6045-9AD1-4141C2457E1C}" srcOrd="0" destOrd="0" presId="urn:microsoft.com/office/officeart/2005/8/layout/hierarchy2"/>
    <dgm:cxn modelId="{87E54EC6-2C9C-9F45-81D8-5EF867BADEDB}" type="presOf" srcId="{A80D49C6-9830-8940-8916-6FDF255B6CB6}" destId="{AD662DB8-E65A-C549-8793-2D697219CA5D}" srcOrd="1" destOrd="0" presId="urn:microsoft.com/office/officeart/2005/8/layout/hierarchy2"/>
    <dgm:cxn modelId="{B81F70CB-76BD-504C-A70C-5A87F44FC69A}" type="presOf" srcId="{91B9F9FB-7AA6-F44D-91DE-734B30B76A8C}" destId="{073FA10E-26AD-FE40-B75C-E84598586BBE}" srcOrd="0" destOrd="0" presId="urn:microsoft.com/office/officeart/2005/8/layout/hierarchy2"/>
    <dgm:cxn modelId="{5F4E80D9-0C6B-0F45-A798-A70F9424BD12}" type="presOf" srcId="{16386D1E-8BF9-C345-A812-D60EE94C78BF}" destId="{AAF7C62F-2BAC-B04D-A0AA-47D7C8FDFB52}" srcOrd="0" destOrd="0" presId="urn:microsoft.com/office/officeart/2005/8/layout/hierarchy2"/>
    <dgm:cxn modelId="{EE49B9D9-BC48-DF4B-98BD-51BEA2AAD3FF}" type="presOf" srcId="{213B88AE-0B11-7342-AB50-45F4F0DC49CC}" destId="{FB7C2766-B450-2247-A75C-5B44C7DB1F6D}" srcOrd="0" destOrd="0" presId="urn:microsoft.com/office/officeart/2005/8/layout/hierarchy2"/>
    <dgm:cxn modelId="{E022F9DD-1AB6-5F48-8EB0-AC84C5FD1EAD}" type="presOf" srcId="{8F723439-7E6C-2342-8DA8-3EA31ECB6DCF}" destId="{6652387F-877D-6341-8038-766C7A2FE7D8}" srcOrd="0" destOrd="0" presId="urn:microsoft.com/office/officeart/2005/8/layout/hierarchy2"/>
    <dgm:cxn modelId="{089658E0-5DC3-4445-8D9A-67A243119058}" type="presOf" srcId="{65537E6B-09BD-8A48-AB6C-2BE549F04D5A}" destId="{391E013A-1787-8E4F-AB55-E3F7E6ED3B80}" srcOrd="1" destOrd="0" presId="urn:microsoft.com/office/officeart/2005/8/layout/hierarchy2"/>
    <dgm:cxn modelId="{9F95C6EE-F946-C046-81C1-D46C27D56BDB}" type="presOf" srcId="{5037259F-8C74-D647-A26B-90EDE8175F83}" destId="{AB4C437F-99A4-F741-B950-F515AEB1AC86}" srcOrd="0" destOrd="0" presId="urn:microsoft.com/office/officeart/2005/8/layout/hierarchy2"/>
    <dgm:cxn modelId="{FB7DFEF2-FBFE-B744-8E4D-98334C0CA2C5}" type="presOf" srcId="{5037259F-8C74-D647-A26B-90EDE8175F83}" destId="{F48B2426-C151-9E47-BD76-7259E8ACB7C8}" srcOrd="1" destOrd="0" presId="urn:microsoft.com/office/officeart/2005/8/layout/hierarchy2"/>
    <dgm:cxn modelId="{AB99F4FF-F170-4F42-81E3-12EDA44D2662}" type="presOf" srcId="{33FA555C-279C-CF41-8603-F5D39FD3BE82}" destId="{D8229DB1-2CB1-6A45-A232-D77738BE705D}" srcOrd="0" destOrd="0" presId="urn:microsoft.com/office/officeart/2005/8/layout/hierarchy2"/>
    <dgm:cxn modelId="{16601078-8EB5-6F4B-8CA3-712A3D3910DA}" type="presParOf" srcId="{4AA3990D-F441-D840-B33D-FF2D6E27BCA3}" destId="{9911D648-74FB-6E45-BBA6-35218D702920}" srcOrd="0" destOrd="0" presId="urn:microsoft.com/office/officeart/2005/8/layout/hierarchy2"/>
    <dgm:cxn modelId="{D689803B-B15B-3240-A4BB-C86298418EC9}" type="presParOf" srcId="{9911D648-74FB-6E45-BBA6-35218D702920}" destId="{073FA10E-26AD-FE40-B75C-E84598586BBE}" srcOrd="0" destOrd="0" presId="urn:microsoft.com/office/officeart/2005/8/layout/hierarchy2"/>
    <dgm:cxn modelId="{1D8AA8EF-CD35-384B-87FE-9A8138EE05B6}" type="presParOf" srcId="{9911D648-74FB-6E45-BBA6-35218D702920}" destId="{466B2009-E317-5A46-983E-BFB45BD806BF}" srcOrd="1" destOrd="0" presId="urn:microsoft.com/office/officeart/2005/8/layout/hierarchy2"/>
    <dgm:cxn modelId="{DF1B7745-EF8B-C548-A87D-3E1EA276E01E}" type="presParOf" srcId="{466B2009-E317-5A46-983E-BFB45BD806BF}" destId="{DDCF82B4-D276-6440-8599-77B5171C58AD}" srcOrd="0" destOrd="0" presId="urn:microsoft.com/office/officeart/2005/8/layout/hierarchy2"/>
    <dgm:cxn modelId="{8B8B9347-3EF0-084C-BE07-A8E2D2AE62CA}" type="presParOf" srcId="{DDCF82B4-D276-6440-8599-77B5171C58AD}" destId="{391E013A-1787-8E4F-AB55-E3F7E6ED3B80}" srcOrd="0" destOrd="0" presId="urn:microsoft.com/office/officeart/2005/8/layout/hierarchy2"/>
    <dgm:cxn modelId="{8DA36C1E-5D58-BE46-B783-5C81047568F1}" type="presParOf" srcId="{466B2009-E317-5A46-983E-BFB45BD806BF}" destId="{F7F45881-78F4-A44E-96C2-6C1503C3BC7C}" srcOrd="1" destOrd="0" presId="urn:microsoft.com/office/officeart/2005/8/layout/hierarchy2"/>
    <dgm:cxn modelId="{0CD33973-82B1-D947-A090-3F343342FE4E}" type="presParOf" srcId="{F7F45881-78F4-A44E-96C2-6C1503C3BC7C}" destId="{23467643-0812-F440-9FBA-EFB10D188FC9}" srcOrd="0" destOrd="0" presId="urn:microsoft.com/office/officeart/2005/8/layout/hierarchy2"/>
    <dgm:cxn modelId="{50655392-3846-9048-907F-45789BB7D81D}" type="presParOf" srcId="{F7F45881-78F4-A44E-96C2-6C1503C3BC7C}" destId="{66A93AAD-20DB-C34B-AA97-54157F4ADF3C}" srcOrd="1" destOrd="0" presId="urn:microsoft.com/office/officeart/2005/8/layout/hierarchy2"/>
    <dgm:cxn modelId="{FDC30F59-66C8-924C-AAF1-A005C035F859}" type="presParOf" srcId="{66A93AAD-20DB-C34B-AA97-54157F4ADF3C}" destId="{7A7F73FD-6A84-6844-B361-DD21CCD38978}" srcOrd="0" destOrd="0" presId="urn:microsoft.com/office/officeart/2005/8/layout/hierarchy2"/>
    <dgm:cxn modelId="{C183A5C9-DDBC-B347-ABD0-0E87A908BB10}" type="presParOf" srcId="{7A7F73FD-6A84-6844-B361-DD21CCD38978}" destId="{AD662DB8-E65A-C549-8793-2D697219CA5D}" srcOrd="0" destOrd="0" presId="urn:microsoft.com/office/officeart/2005/8/layout/hierarchy2"/>
    <dgm:cxn modelId="{C681D077-05C1-D84F-82B0-95AC0383318C}" type="presParOf" srcId="{66A93AAD-20DB-C34B-AA97-54157F4ADF3C}" destId="{C66E6B14-F1DB-1F4C-9A7A-E322B06E0D17}" srcOrd="1" destOrd="0" presId="urn:microsoft.com/office/officeart/2005/8/layout/hierarchy2"/>
    <dgm:cxn modelId="{733DB8A3-5F22-274D-AADC-C7A89480F4F3}" type="presParOf" srcId="{C66E6B14-F1DB-1F4C-9A7A-E322B06E0D17}" destId="{6433B035-4FFD-B147-886A-EBF98C565D05}" srcOrd="0" destOrd="0" presId="urn:microsoft.com/office/officeart/2005/8/layout/hierarchy2"/>
    <dgm:cxn modelId="{6311A5EA-82EF-2A49-9378-5FD302E3769F}" type="presParOf" srcId="{C66E6B14-F1DB-1F4C-9A7A-E322B06E0D17}" destId="{38544A28-215F-EF48-809D-EFEE3652364B}" srcOrd="1" destOrd="0" presId="urn:microsoft.com/office/officeart/2005/8/layout/hierarchy2"/>
    <dgm:cxn modelId="{358E523B-600B-6A41-94CD-ED26992AE966}" type="presParOf" srcId="{38544A28-215F-EF48-809D-EFEE3652364B}" destId="{A5CBF9A2-0C0B-F34C-BC73-0BD900A562FD}" srcOrd="0" destOrd="0" presId="urn:microsoft.com/office/officeart/2005/8/layout/hierarchy2"/>
    <dgm:cxn modelId="{E759D2C2-3FDC-734D-931F-5E8B2385D97E}" type="presParOf" srcId="{A5CBF9A2-0C0B-F34C-BC73-0BD900A562FD}" destId="{2636A05E-ADCD-E743-BEA3-ABD6C29954DC}" srcOrd="0" destOrd="0" presId="urn:microsoft.com/office/officeart/2005/8/layout/hierarchy2"/>
    <dgm:cxn modelId="{F58EC58F-F407-5D4F-862D-03317B15E88B}" type="presParOf" srcId="{38544A28-215F-EF48-809D-EFEE3652364B}" destId="{329EC7E2-BEBC-904B-AF76-1BD393B66615}" srcOrd="1" destOrd="0" presId="urn:microsoft.com/office/officeart/2005/8/layout/hierarchy2"/>
    <dgm:cxn modelId="{A2FA0068-CA3A-B848-80C9-29CE5074174C}" type="presParOf" srcId="{329EC7E2-BEBC-904B-AF76-1BD393B66615}" destId="{7BC3D85A-01BE-6045-9AD1-4141C2457E1C}" srcOrd="0" destOrd="0" presId="urn:microsoft.com/office/officeart/2005/8/layout/hierarchy2"/>
    <dgm:cxn modelId="{8534C2DB-957B-5742-938D-2E1688369CED}" type="presParOf" srcId="{329EC7E2-BEBC-904B-AF76-1BD393B66615}" destId="{E5E068ED-56FB-C54A-B555-E40FC560DDE3}" srcOrd="1" destOrd="0" presId="urn:microsoft.com/office/officeart/2005/8/layout/hierarchy2"/>
    <dgm:cxn modelId="{30A4C74C-52EE-9048-B79C-C226EBF7C280}" type="presParOf" srcId="{66A93AAD-20DB-C34B-AA97-54157F4ADF3C}" destId="{F12400F8-3ADA-1A48-A742-68E09D3C1035}" srcOrd="2" destOrd="0" presId="urn:microsoft.com/office/officeart/2005/8/layout/hierarchy2"/>
    <dgm:cxn modelId="{1F4AB05D-4194-BF47-B9F3-05CBFDAF958E}" type="presParOf" srcId="{F12400F8-3ADA-1A48-A742-68E09D3C1035}" destId="{FA21BB96-7457-B341-9721-A9CE1886AC20}" srcOrd="0" destOrd="0" presId="urn:microsoft.com/office/officeart/2005/8/layout/hierarchy2"/>
    <dgm:cxn modelId="{B9CF42C7-C59B-C440-9761-253096A2C2D8}" type="presParOf" srcId="{66A93AAD-20DB-C34B-AA97-54157F4ADF3C}" destId="{CA9D74F4-4FF9-9049-8ADA-837097CBE5F4}" srcOrd="3" destOrd="0" presId="urn:microsoft.com/office/officeart/2005/8/layout/hierarchy2"/>
    <dgm:cxn modelId="{D802275F-9AEA-ED44-9821-DC4C0C8345D6}" type="presParOf" srcId="{CA9D74F4-4FF9-9049-8ADA-837097CBE5F4}" destId="{8DC740FF-297F-D449-9685-AF64092834A8}" srcOrd="0" destOrd="0" presId="urn:microsoft.com/office/officeart/2005/8/layout/hierarchy2"/>
    <dgm:cxn modelId="{478BECE9-9C92-9A4B-B258-04B4F3A3935B}" type="presParOf" srcId="{CA9D74F4-4FF9-9049-8ADA-837097CBE5F4}" destId="{DE15C465-2BDF-A448-95D7-A871F3B6D428}" srcOrd="1" destOrd="0" presId="urn:microsoft.com/office/officeart/2005/8/layout/hierarchy2"/>
    <dgm:cxn modelId="{F7BC56D7-3723-AB43-91E8-95EC7A3FA1AB}" type="presParOf" srcId="{DE15C465-2BDF-A448-95D7-A871F3B6D428}" destId="{AAF7C62F-2BAC-B04D-A0AA-47D7C8FDFB52}" srcOrd="0" destOrd="0" presId="urn:microsoft.com/office/officeart/2005/8/layout/hierarchy2"/>
    <dgm:cxn modelId="{005CCB68-F9BF-C146-AC5E-C7CEEC6C30F6}" type="presParOf" srcId="{AAF7C62F-2BAC-B04D-A0AA-47D7C8FDFB52}" destId="{006535D3-E701-E340-BDD7-EB857C7401D6}" srcOrd="0" destOrd="0" presId="urn:microsoft.com/office/officeart/2005/8/layout/hierarchy2"/>
    <dgm:cxn modelId="{1973AA77-ABAE-B641-995B-42711FC1A20B}" type="presParOf" srcId="{DE15C465-2BDF-A448-95D7-A871F3B6D428}" destId="{E673D7C8-CAFD-C047-99D3-DDC85969FA6C}" srcOrd="1" destOrd="0" presId="urn:microsoft.com/office/officeart/2005/8/layout/hierarchy2"/>
    <dgm:cxn modelId="{AD032537-0C63-8A41-AF90-4B2B4DA29D5F}" type="presParOf" srcId="{E673D7C8-CAFD-C047-99D3-DDC85969FA6C}" destId="{D8229DB1-2CB1-6A45-A232-D77738BE705D}" srcOrd="0" destOrd="0" presId="urn:microsoft.com/office/officeart/2005/8/layout/hierarchy2"/>
    <dgm:cxn modelId="{B020E38F-49F3-9B4F-8376-AAAB05C674A2}" type="presParOf" srcId="{E673D7C8-CAFD-C047-99D3-DDC85969FA6C}" destId="{F4151C90-E7FE-C348-B8D5-43B290B35287}" srcOrd="1" destOrd="0" presId="urn:microsoft.com/office/officeart/2005/8/layout/hierarchy2"/>
    <dgm:cxn modelId="{A6A64CC6-EBB4-F348-9B53-984D7903A223}" type="presParOf" srcId="{466B2009-E317-5A46-983E-BFB45BD806BF}" destId="{E54749A6-6E18-1B45-8611-83B2FB5675C6}" srcOrd="2" destOrd="0" presId="urn:microsoft.com/office/officeart/2005/8/layout/hierarchy2"/>
    <dgm:cxn modelId="{CE8246E0-10C9-1145-A2F4-FAAF57095BCE}" type="presParOf" srcId="{E54749A6-6E18-1B45-8611-83B2FB5675C6}" destId="{1730C5A0-93B8-D54D-88E5-7B2EB397BE22}" srcOrd="0" destOrd="0" presId="urn:microsoft.com/office/officeart/2005/8/layout/hierarchy2"/>
    <dgm:cxn modelId="{5030FBA5-403E-FB44-9210-CE248CB53047}" type="presParOf" srcId="{466B2009-E317-5A46-983E-BFB45BD806BF}" destId="{B85C1DBD-4955-8244-A4FA-666F23DA266E}" srcOrd="3" destOrd="0" presId="urn:microsoft.com/office/officeart/2005/8/layout/hierarchy2"/>
    <dgm:cxn modelId="{50A7CE70-F633-4747-B96A-A581D9251531}" type="presParOf" srcId="{B85C1DBD-4955-8244-A4FA-666F23DA266E}" destId="{F4FD89AA-F324-1448-B85B-C01EB206C480}" srcOrd="0" destOrd="0" presId="urn:microsoft.com/office/officeart/2005/8/layout/hierarchy2"/>
    <dgm:cxn modelId="{0B96C131-AE34-7742-9F52-4179849B9706}" type="presParOf" srcId="{B85C1DBD-4955-8244-A4FA-666F23DA266E}" destId="{B375535C-D2D6-A143-A533-367E1B560431}" srcOrd="1" destOrd="0" presId="urn:microsoft.com/office/officeart/2005/8/layout/hierarchy2"/>
    <dgm:cxn modelId="{67C2C5FA-2C7C-5945-9143-126D80FB0D56}" type="presParOf" srcId="{B375535C-D2D6-A143-A533-367E1B560431}" destId="{FB7C2766-B450-2247-A75C-5B44C7DB1F6D}" srcOrd="0" destOrd="0" presId="urn:microsoft.com/office/officeart/2005/8/layout/hierarchy2"/>
    <dgm:cxn modelId="{BD6FF3F9-3690-BF4F-AF1E-C3F272A11F8D}" type="presParOf" srcId="{FB7C2766-B450-2247-A75C-5B44C7DB1F6D}" destId="{C5BC742D-470D-5D4B-BD02-CB5009E95CDC}" srcOrd="0" destOrd="0" presId="urn:microsoft.com/office/officeart/2005/8/layout/hierarchy2"/>
    <dgm:cxn modelId="{903B26FC-5652-1F4A-A430-3609741B6686}" type="presParOf" srcId="{B375535C-D2D6-A143-A533-367E1B560431}" destId="{642BA4A8-92E3-7240-8EA1-FAA8CF1DC737}" srcOrd="1" destOrd="0" presId="urn:microsoft.com/office/officeart/2005/8/layout/hierarchy2"/>
    <dgm:cxn modelId="{CE0FBBCC-E95D-0C41-BDAC-2AC36ED477AC}" type="presParOf" srcId="{642BA4A8-92E3-7240-8EA1-FAA8CF1DC737}" destId="{C1F63F1C-BF1C-CE4F-8F1D-5F61D5E2A088}" srcOrd="0" destOrd="0" presId="urn:microsoft.com/office/officeart/2005/8/layout/hierarchy2"/>
    <dgm:cxn modelId="{9F0B722F-CDCC-144D-9D41-9CB717309565}" type="presParOf" srcId="{642BA4A8-92E3-7240-8EA1-FAA8CF1DC737}" destId="{DD8B8E48-4751-A640-8FBD-E5A7DC163C0B}" srcOrd="1" destOrd="0" presId="urn:microsoft.com/office/officeart/2005/8/layout/hierarchy2"/>
    <dgm:cxn modelId="{E2A74DFB-B283-E047-ADEB-8F6C3609C7C6}" type="presParOf" srcId="{DD8B8E48-4751-A640-8FBD-E5A7DC163C0B}" destId="{6652387F-877D-6341-8038-766C7A2FE7D8}" srcOrd="0" destOrd="0" presId="urn:microsoft.com/office/officeart/2005/8/layout/hierarchy2"/>
    <dgm:cxn modelId="{7645CCBC-3DCE-1B4A-BB59-AD814E8665F9}" type="presParOf" srcId="{6652387F-877D-6341-8038-766C7A2FE7D8}" destId="{81FAA136-4D9C-8D45-BF57-362BA5432D5E}" srcOrd="0" destOrd="0" presId="urn:microsoft.com/office/officeart/2005/8/layout/hierarchy2"/>
    <dgm:cxn modelId="{C55CD6D2-7CF9-0C44-BF10-E2C540190777}" type="presParOf" srcId="{DD8B8E48-4751-A640-8FBD-E5A7DC163C0B}" destId="{BE1741EE-8A27-2A4A-9E20-2B2ABAD84995}" srcOrd="1" destOrd="0" presId="urn:microsoft.com/office/officeart/2005/8/layout/hierarchy2"/>
    <dgm:cxn modelId="{D7159B33-32C8-9048-8546-2652870DFC17}" type="presParOf" srcId="{BE1741EE-8A27-2A4A-9E20-2B2ABAD84995}" destId="{12C34CF1-2982-8946-AD21-9CF9A9783270}" srcOrd="0" destOrd="0" presId="urn:microsoft.com/office/officeart/2005/8/layout/hierarchy2"/>
    <dgm:cxn modelId="{75046228-6E64-DF45-9933-EBA234134B46}" type="presParOf" srcId="{BE1741EE-8A27-2A4A-9E20-2B2ABAD84995}" destId="{D2DFD9B4-D18B-2B43-9873-2F97012E4C85}" srcOrd="1" destOrd="0" presId="urn:microsoft.com/office/officeart/2005/8/layout/hierarchy2"/>
    <dgm:cxn modelId="{D0D9D42D-F439-4448-AC15-AFD1138BBE85}" type="presParOf" srcId="{DD8B8E48-4751-A640-8FBD-E5A7DC163C0B}" destId="{AB4C437F-99A4-F741-B950-F515AEB1AC86}" srcOrd="2" destOrd="0" presId="urn:microsoft.com/office/officeart/2005/8/layout/hierarchy2"/>
    <dgm:cxn modelId="{7FA76020-4306-E941-8215-81CAEB1FBA8B}" type="presParOf" srcId="{AB4C437F-99A4-F741-B950-F515AEB1AC86}" destId="{F48B2426-C151-9E47-BD76-7259E8ACB7C8}" srcOrd="0" destOrd="0" presId="urn:microsoft.com/office/officeart/2005/8/layout/hierarchy2"/>
    <dgm:cxn modelId="{A4EFC392-0C6F-FB4F-9535-51F992A87D14}" type="presParOf" srcId="{DD8B8E48-4751-A640-8FBD-E5A7DC163C0B}" destId="{A1239143-7988-3647-93E8-86D79CC69086}" srcOrd="3" destOrd="0" presId="urn:microsoft.com/office/officeart/2005/8/layout/hierarchy2"/>
    <dgm:cxn modelId="{F3ED7398-EE59-E34D-A50E-48F0E955F292}" type="presParOf" srcId="{A1239143-7988-3647-93E8-86D79CC69086}" destId="{DD97697F-3927-164A-99ED-BF0595573B97}" srcOrd="0" destOrd="0" presId="urn:microsoft.com/office/officeart/2005/8/layout/hierarchy2"/>
    <dgm:cxn modelId="{EA1D0FB5-96D1-854D-8391-7E5C578B400E}" type="presParOf" srcId="{A1239143-7988-3647-93E8-86D79CC69086}" destId="{358E6D2D-C17B-3248-9704-B0EFFE6D1C3A}" srcOrd="1" destOrd="0" presId="urn:microsoft.com/office/officeart/2005/8/layout/hierarchy2"/>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967D48A-D675-E14A-8249-C68D1DE8B6C9}" type="doc">
      <dgm:prSet loTypeId="urn:microsoft.com/office/officeart/2005/8/layout/bProcess4" loCatId="" qsTypeId="urn:microsoft.com/office/officeart/2005/8/quickstyle/simple1" qsCatId="simple" csTypeId="urn:microsoft.com/office/officeart/2005/8/colors/accent1_2" csCatId="accent1" phldr="1"/>
      <dgm:spPr/>
    </dgm:pt>
    <dgm:pt modelId="{D984FCF2-3388-F347-B18D-AAE311C63A9D}">
      <dgm:prSet phldrT="[Text]" custT="1"/>
      <dgm:spPr/>
      <dgm:t>
        <a:bodyPr/>
        <a:lstStyle/>
        <a:p>
          <a:r>
            <a:rPr lang="en-US" sz="1200">
              <a:latin typeface="Times New Roman" panose="02020603050405020304" pitchFamily="18" charset="0"/>
              <a:cs typeface="Times New Roman" panose="02020603050405020304" pitchFamily="18" charset="0"/>
            </a:rPr>
            <a:t>Pre-intervention data collection (May-July 2021)</a:t>
          </a:r>
        </a:p>
      </dgm:t>
    </dgm:pt>
    <dgm:pt modelId="{D86E28CB-67F8-364D-9CCA-742AEEC5C1A9}" type="parTrans" cxnId="{A2E1E2D2-3DA4-8845-8AAA-E5EE05F9F2BF}">
      <dgm:prSet/>
      <dgm:spPr/>
      <dgm:t>
        <a:bodyPr/>
        <a:lstStyle/>
        <a:p>
          <a:endParaRPr lang="en-US"/>
        </a:p>
      </dgm:t>
    </dgm:pt>
    <dgm:pt modelId="{B8CA66C9-DA1B-3B43-82EC-68ECDA6C3E46}" type="sibTrans" cxnId="{A2E1E2D2-3DA4-8845-8AAA-E5EE05F9F2BF}">
      <dgm:prSet/>
      <dgm:spPr/>
      <dgm:t>
        <a:bodyPr/>
        <a:lstStyle/>
        <a:p>
          <a:endParaRPr lang="en-US"/>
        </a:p>
      </dgm:t>
    </dgm:pt>
    <dgm:pt modelId="{D7AD64BD-273E-F548-A940-558A7FAF8875}">
      <dgm:prSet phldrT="[Text]" custT="1"/>
      <dgm:spPr/>
      <dgm:t>
        <a:bodyPr/>
        <a:lstStyle/>
        <a:p>
          <a:r>
            <a:rPr lang="en-US" sz="1200">
              <a:latin typeface="Times New Roman" panose="02020603050405020304" pitchFamily="18" charset="0"/>
              <a:cs typeface="Times New Roman" panose="02020603050405020304" pitchFamily="18" charset="0"/>
            </a:rPr>
            <a:t>Finalize target medication list (August 1st, 2021)</a:t>
          </a:r>
        </a:p>
      </dgm:t>
    </dgm:pt>
    <dgm:pt modelId="{78E6D709-1631-124B-8F00-50690CA7B2E1}" type="parTrans" cxnId="{FB15E4C4-04C0-D041-BDDE-D10CB73314D7}">
      <dgm:prSet/>
      <dgm:spPr/>
      <dgm:t>
        <a:bodyPr/>
        <a:lstStyle/>
        <a:p>
          <a:endParaRPr lang="en-US"/>
        </a:p>
      </dgm:t>
    </dgm:pt>
    <dgm:pt modelId="{6F557F30-A3AB-0342-9BC1-335393C6D259}" type="sibTrans" cxnId="{FB15E4C4-04C0-D041-BDDE-D10CB73314D7}">
      <dgm:prSet/>
      <dgm:spPr/>
      <dgm:t>
        <a:bodyPr/>
        <a:lstStyle/>
        <a:p>
          <a:endParaRPr lang="en-US"/>
        </a:p>
      </dgm:t>
    </dgm:pt>
    <dgm:pt modelId="{70DC8FC5-34A0-DB44-AB68-1E760A506D58}">
      <dgm:prSet phldrT="[Text]"/>
      <dgm:spPr/>
      <dgm:t>
        <a:bodyPr/>
        <a:lstStyle/>
        <a:p>
          <a:r>
            <a:rPr lang="en-US">
              <a:latin typeface="Times New Roman" panose="02020603050405020304" pitchFamily="18" charset="0"/>
              <a:cs typeface="Times New Roman" panose="02020603050405020304" pitchFamily="18" charset="0"/>
            </a:rPr>
            <a:t>Create quick-reference guide (Aug-Sept, 2021)</a:t>
          </a:r>
        </a:p>
      </dgm:t>
    </dgm:pt>
    <dgm:pt modelId="{FAC18257-8FE8-0F43-9A8D-016632614F88}" type="parTrans" cxnId="{3E000E27-9DF2-1A42-8329-ADFBB1DCDC3B}">
      <dgm:prSet/>
      <dgm:spPr/>
      <dgm:t>
        <a:bodyPr/>
        <a:lstStyle/>
        <a:p>
          <a:endParaRPr lang="en-US"/>
        </a:p>
      </dgm:t>
    </dgm:pt>
    <dgm:pt modelId="{BCA9378D-C4E3-474B-B9D4-A55331139FFA}" type="sibTrans" cxnId="{3E000E27-9DF2-1A42-8329-ADFBB1DCDC3B}">
      <dgm:prSet/>
      <dgm:spPr/>
      <dgm:t>
        <a:bodyPr/>
        <a:lstStyle/>
        <a:p>
          <a:endParaRPr lang="en-US"/>
        </a:p>
      </dgm:t>
    </dgm:pt>
    <dgm:pt modelId="{508917AC-A3E3-A046-859C-971C4A5926FB}">
      <dgm:prSet phldrT="[Text]" custT="1"/>
      <dgm:spPr/>
      <dgm:t>
        <a:bodyPr/>
        <a:lstStyle/>
        <a:p>
          <a:r>
            <a:rPr lang="en-US" sz="1300">
              <a:latin typeface="Times New Roman" panose="02020603050405020304" pitchFamily="18" charset="0"/>
              <a:cs typeface="Times New Roman" panose="02020603050405020304" pitchFamily="18" charset="0"/>
            </a:rPr>
            <a:t>Educate all nursing staff on project implementation (</a:t>
          </a:r>
          <a:r>
            <a:rPr lang="en-US" sz="1200">
              <a:latin typeface="Times New Roman" panose="02020603050405020304" pitchFamily="18" charset="0"/>
              <a:cs typeface="Times New Roman" panose="02020603050405020304" pitchFamily="18" charset="0"/>
            </a:rPr>
            <a:t>September 17,</a:t>
          </a:r>
          <a:r>
            <a:rPr lang="en-US" sz="1300">
              <a:latin typeface="Times New Roman" panose="02020603050405020304" pitchFamily="18" charset="0"/>
              <a:cs typeface="Times New Roman" panose="02020603050405020304" pitchFamily="18" charset="0"/>
            </a:rPr>
            <a:t> 2021)</a:t>
          </a:r>
        </a:p>
      </dgm:t>
    </dgm:pt>
    <dgm:pt modelId="{A4178720-1210-8845-8F38-30F96564CFF6}" type="parTrans" cxnId="{7D320718-9FE4-4449-A2BE-CF949A2B9F45}">
      <dgm:prSet/>
      <dgm:spPr/>
      <dgm:t>
        <a:bodyPr/>
        <a:lstStyle/>
        <a:p>
          <a:endParaRPr lang="en-US"/>
        </a:p>
      </dgm:t>
    </dgm:pt>
    <dgm:pt modelId="{DE238D3F-4E3E-F743-AD3A-A06DB12F3319}" type="sibTrans" cxnId="{7D320718-9FE4-4449-A2BE-CF949A2B9F45}">
      <dgm:prSet/>
      <dgm:spPr/>
      <dgm:t>
        <a:bodyPr/>
        <a:lstStyle/>
        <a:p>
          <a:endParaRPr lang="en-US"/>
        </a:p>
      </dgm:t>
    </dgm:pt>
    <dgm:pt modelId="{19F8FD1E-41DE-E546-AD6B-51DD2E6886E6}">
      <dgm:prSet phldrT="[Text]" custT="1"/>
      <dgm:spPr/>
      <dgm:t>
        <a:bodyPr/>
        <a:lstStyle/>
        <a:p>
          <a:r>
            <a:rPr lang="en-US" sz="1200">
              <a:latin typeface="Times New Roman" panose="02020603050405020304" pitchFamily="18" charset="0"/>
              <a:cs typeface="Times New Roman" panose="02020603050405020304" pitchFamily="18" charset="0"/>
            </a:rPr>
            <a:t>Distribute quick-reference tools to nursing staff and providers (September 17, 2021)</a:t>
          </a:r>
        </a:p>
      </dgm:t>
    </dgm:pt>
    <dgm:pt modelId="{A20068F3-DAF4-9441-863C-0220E7137794}" type="parTrans" cxnId="{97AC1C1A-0753-A643-A7D6-B0429DF03727}">
      <dgm:prSet/>
      <dgm:spPr/>
      <dgm:t>
        <a:bodyPr/>
        <a:lstStyle/>
        <a:p>
          <a:endParaRPr lang="en-US"/>
        </a:p>
      </dgm:t>
    </dgm:pt>
    <dgm:pt modelId="{63B2817D-CECB-B74E-896F-99CFBFF539BB}" type="sibTrans" cxnId="{97AC1C1A-0753-A643-A7D6-B0429DF03727}">
      <dgm:prSet/>
      <dgm:spPr/>
      <dgm:t>
        <a:bodyPr/>
        <a:lstStyle/>
        <a:p>
          <a:endParaRPr lang="en-US"/>
        </a:p>
      </dgm:t>
    </dgm:pt>
    <dgm:pt modelId="{7CBCF820-66B7-C048-8BF8-C2C9E2658BC3}">
      <dgm:prSet phldrT="[Text]" custT="1"/>
      <dgm:spPr/>
      <dgm:t>
        <a:bodyPr/>
        <a:lstStyle/>
        <a:p>
          <a:r>
            <a:rPr lang="en-US" sz="1200">
              <a:latin typeface="Times New Roman" panose="02020603050405020304" pitchFamily="18" charset="0"/>
              <a:cs typeface="Times New Roman" panose="02020603050405020304" pitchFamily="18" charset="0"/>
            </a:rPr>
            <a:t>Post-intervention data collection (Oct-Dec, 2021)</a:t>
          </a:r>
        </a:p>
      </dgm:t>
    </dgm:pt>
    <dgm:pt modelId="{516A34C8-7CBC-0A40-9070-2F67640AA0C2}" type="parTrans" cxnId="{823AC7BB-D87F-254A-9203-4AE8AD4849E5}">
      <dgm:prSet/>
      <dgm:spPr/>
      <dgm:t>
        <a:bodyPr/>
        <a:lstStyle/>
        <a:p>
          <a:endParaRPr lang="en-US"/>
        </a:p>
      </dgm:t>
    </dgm:pt>
    <dgm:pt modelId="{221BA384-583F-A645-9EAF-2959C65AFBE6}" type="sibTrans" cxnId="{823AC7BB-D87F-254A-9203-4AE8AD4849E5}">
      <dgm:prSet/>
      <dgm:spPr/>
      <dgm:t>
        <a:bodyPr/>
        <a:lstStyle/>
        <a:p>
          <a:endParaRPr lang="en-US"/>
        </a:p>
      </dgm:t>
    </dgm:pt>
    <dgm:pt modelId="{AEB74D58-E2C8-E840-A2B6-3F21FB0B9D02}">
      <dgm:prSet phldrT="[Text]" custT="1"/>
      <dgm:spPr/>
      <dgm:t>
        <a:bodyPr/>
        <a:lstStyle/>
        <a:p>
          <a:r>
            <a:rPr lang="en-US" sz="1200">
              <a:latin typeface="Times New Roman" panose="02020603050405020304" pitchFamily="18" charset="0"/>
              <a:cs typeface="Times New Roman" panose="02020603050405020304" pitchFamily="18" charset="0"/>
            </a:rPr>
            <a:t>Data analysis and dissemination (Jan-April, 2022)</a:t>
          </a:r>
        </a:p>
      </dgm:t>
    </dgm:pt>
    <dgm:pt modelId="{14469D54-F259-2F45-B427-4F69F3030D5D}" type="parTrans" cxnId="{55080402-0CE3-5D48-BD72-DD79E098BB00}">
      <dgm:prSet/>
      <dgm:spPr/>
      <dgm:t>
        <a:bodyPr/>
        <a:lstStyle/>
        <a:p>
          <a:endParaRPr lang="en-US"/>
        </a:p>
      </dgm:t>
    </dgm:pt>
    <dgm:pt modelId="{F4D98306-7D87-474B-A923-442AAEBCE5AF}" type="sibTrans" cxnId="{55080402-0CE3-5D48-BD72-DD79E098BB00}">
      <dgm:prSet/>
      <dgm:spPr/>
      <dgm:t>
        <a:bodyPr/>
        <a:lstStyle/>
        <a:p>
          <a:endParaRPr lang="en-US"/>
        </a:p>
      </dgm:t>
    </dgm:pt>
    <dgm:pt modelId="{BD5E590B-2BE9-9142-9099-C8F6575EFB19}" type="pres">
      <dgm:prSet presAssocID="{5967D48A-D675-E14A-8249-C68D1DE8B6C9}" presName="Name0" presStyleCnt="0">
        <dgm:presLayoutVars>
          <dgm:dir/>
          <dgm:resizeHandles/>
        </dgm:presLayoutVars>
      </dgm:prSet>
      <dgm:spPr/>
    </dgm:pt>
    <dgm:pt modelId="{250C4D20-5E76-D349-BD18-AB695F022EFA}" type="pres">
      <dgm:prSet presAssocID="{D984FCF2-3388-F347-B18D-AAE311C63A9D}" presName="compNode" presStyleCnt="0"/>
      <dgm:spPr/>
    </dgm:pt>
    <dgm:pt modelId="{9B2E15D5-D2B8-9242-B260-8829DA8DB4EB}" type="pres">
      <dgm:prSet presAssocID="{D984FCF2-3388-F347-B18D-AAE311C63A9D}" presName="dummyConnPt" presStyleCnt="0"/>
      <dgm:spPr/>
    </dgm:pt>
    <dgm:pt modelId="{A8D58DBC-2C3B-2845-A84C-BCAA516A734C}" type="pres">
      <dgm:prSet presAssocID="{D984FCF2-3388-F347-B18D-AAE311C63A9D}" presName="node" presStyleLbl="node1" presStyleIdx="0" presStyleCnt="7">
        <dgm:presLayoutVars>
          <dgm:bulletEnabled val="1"/>
        </dgm:presLayoutVars>
      </dgm:prSet>
      <dgm:spPr/>
    </dgm:pt>
    <dgm:pt modelId="{60194ADE-8AD0-D346-AA6A-6FD7B84A9D59}" type="pres">
      <dgm:prSet presAssocID="{B8CA66C9-DA1B-3B43-82EC-68ECDA6C3E46}" presName="sibTrans" presStyleLbl="bgSibTrans2D1" presStyleIdx="0" presStyleCnt="6"/>
      <dgm:spPr/>
    </dgm:pt>
    <dgm:pt modelId="{3CB35BC2-C02B-D84E-968E-C46EED8F5DE9}" type="pres">
      <dgm:prSet presAssocID="{D7AD64BD-273E-F548-A940-558A7FAF8875}" presName="compNode" presStyleCnt="0"/>
      <dgm:spPr/>
    </dgm:pt>
    <dgm:pt modelId="{7AD26872-5352-A449-A7F6-64CD389A6059}" type="pres">
      <dgm:prSet presAssocID="{D7AD64BD-273E-F548-A940-558A7FAF8875}" presName="dummyConnPt" presStyleCnt="0"/>
      <dgm:spPr/>
    </dgm:pt>
    <dgm:pt modelId="{0AA1B4A0-A273-2143-9705-71045A282BE6}" type="pres">
      <dgm:prSet presAssocID="{D7AD64BD-273E-F548-A940-558A7FAF8875}" presName="node" presStyleLbl="node1" presStyleIdx="1" presStyleCnt="7" custLinFactNeighborX="-184" custLinFactNeighborY="-2189">
        <dgm:presLayoutVars>
          <dgm:bulletEnabled val="1"/>
        </dgm:presLayoutVars>
      </dgm:prSet>
      <dgm:spPr/>
    </dgm:pt>
    <dgm:pt modelId="{7BA844B7-26FE-8844-AF13-5EA91D158ED4}" type="pres">
      <dgm:prSet presAssocID="{6F557F30-A3AB-0342-9BC1-335393C6D259}" presName="sibTrans" presStyleLbl="bgSibTrans2D1" presStyleIdx="1" presStyleCnt="6"/>
      <dgm:spPr/>
    </dgm:pt>
    <dgm:pt modelId="{9252BD2B-339D-0F49-9513-238F0DFDE619}" type="pres">
      <dgm:prSet presAssocID="{70DC8FC5-34A0-DB44-AB68-1E760A506D58}" presName="compNode" presStyleCnt="0"/>
      <dgm:spPr/>
    </dgm:pt>
    <dgm:pt modelId="{2C0C88DB-93D8-F94E-9649-71A3BA123381}" type="pres">
      <dgm:prSet presAssocID="{70DC8FC5-34A0-DB44-AB68-1E760A506D58}" presName="dummyConnPt" presStyleCnt="0"/>
      <dgm:spPr/>
    </dgm:pt>
    <dgm:pt modelId="{5A336A5C-6685-1D4B-A352-658F5B8A1697}" type="pres">
      <dgm:prSet presAssocID="{70DC8FC5-34A0-DB44-AB68-1E760A506D58}" presName="node" presStyleLbl="node1" presStyleIdx="2" presStyleCnt="7">
        <dgm:presLayoutVars>
          <dgm:bulletEnabled val="1"/>
        </dgm:presLayoutVars>
      </dgm:prSet>
      <dgm:spPr/>
    </dgm:pt>
    <dgm:pt modelId="{4832751B-9089-7044-B93E-10FA1560AE1D}" type="pres">
      <dgm:prSet presAssocID="{BCA9378D-C4E3-474B-B9D4-A55331139FFA}" presName="sibTrans" presStyleLbl="bgSibTrans2D1" presStyleIdx="2" presStyleCnt="6"/>
      <dgm:spPr/>
    </dgm:pt>
    <dgm:pt modelId="{491306DB-7E8B-F347-91BE-69BCD15F9D94}" type="pres">
      <dgm:prSet presAssocID="{508917AC-A3E3-A046-859C-971C4A5926FB}" presName="compNode" presStyleCnt="0"/>
      <dgm:spPr/>
    </dgm:pt>
    <dgm:pt modelId="{6658BB65-C2FF-F041-A577-D0632D8C4934}" type="pres">
      <dgm:prSet presAssocID="{508917AC-A3E3-A046-859C-971C4A5926FB}" presName="dummyConnPt" presStyleCnt="0"/>
      <dgm:spPr/>
    </dgm:pt>
    <dgm:pt modelId="{CE0B5348-4050-F14B-B8CD-AD208D5AE9DC}" type="pres">
      <dgm:prSet presAssocID="{508917AC-A3E3-A046-859C-971C4A5926FB}" presName="node" presStyleLbl="node1" presStyleIdx="3" presStyleCnt="7">
        <dgm:presLayoutVars>
          <dgm:bulletEnabled val="1"/>
        </dgm:presLayoutVars>
      </dgm:prSet>
      <dgm:spPr/>
    </dgm:pt>
    <dgm:pt modelId="{59887B25-7E70-5D49-B1A3-AB301CD7E277}" type="pres">
      <dgm:prSet presAssocID="{DE238D3F-4E3E-F743-AD3A-A06DB12F3319}" presName="sibTrans" presStyleLbl="bgSibTrans2D1" presStyleIdx="3" presStyleCnt="6"/>
      <dgm:spPr/>
    </dgm:pt>
    <dgm:pt modelId="{469F6D00-6195-2942-ABCA-39618D234E3C}" type="pres">
      <dgm:prSet presAssocID="{19F8FD1E-41DE-E546-AD6B-51DD2E6886E6}" presName="compNode" presStyleCnt="0"/>
      <dgm:spPr/>
    </dgm:pt>
    <dgm:pt modelId="{6F74B3AC-56AB-D242-B624-000281A34ADD}" type="pres">
      <dgm:prSet presAssocID="{19F8FD1E-41DE-E546-AD6B-51DD2E6886E6}" presName="dummyConnPt" presStyleCnt="0"/>
      <dgm:spPr/>
    </dgm:pt>
    <dgm:pt modelId="{C5FF15FE-0620-A34D-8D59-5B6B6110077E}" type="pres">
      <dgm:prSet presAssocID="{19F8FD1E-41DE-E546-AD6B-51DD2E6886E6}" presName="node" presStyleLbl="node1" presStyleIdx="4" presStyleCnt="7">
        <dgm:presLayoutVars>
          <dgm:bulletEnabled val="1"/>
        </dgm:presLayoutVars>
      </dgm:prSet>
      <dgm:spPr/>
    </dgm:pt>
    <dgm:pt modelId="{3470555E-55C7-DC4B-AF61-9B7DDB9299E0}" type="pres">
      <dgm:prSet presAssocID="{63B2817D-CECB-B74E-896F-99CFBFF539BB}" presName="sibTrans" presStyleLbl="bgSibTrans2D1" presStyleIdx="4" presStyleCnt="6"/>
      <dgm:spPr/>
    </dgm:pt>
    <dgm:pt modelId="{53F9756D-5D31-2848-B873-EBE2DB3B0DAE}" type="pres">
      <dgm:prSet presAssocID="{7CBCF820-66B7-C048-8BF8-C2C9E2658BC3}" presName="compNode" presStyleCnt="0"/>
      <dgm:spPr/>
    </dgm:pt>
    <dgm:pt modelId="{AD567569-5298-2442-AB7B-CAF673E357EC}" type="pres">
      <dgm:prSet presAssocID="{7CBCF820-66B7-C048-8BF8-C2C9E2658BC3}" presName="dummyConnPt" presStyleCnt="0"/>
      <dgm:spPr/>
    </dgm:pt>
    <dgm:pt modelId="{BFAE6B19-9C43-A845-86D8-B28B2BB5420C}" type="pres">
      <dgm:prSet presAssocID="{7CBCF820-66B7-C048-8BF8-C2C9E2658BC3}" presName="node" presStyleLbl="node1" presStyleIdx="5" presStyleCnt="7">
        <dgm:presLayoutVars>
          <dgm:bulletEnabled val="1"/>
        </dgm:presLayoutVars>
      </dgm:prSet>
      <dgm:spPr/>
    </dgm:pt>
    <dgm:pt modelId="{17EB4369-367F-3F4A-A28B-340EBC735AE7}" type="pres">
      <dgm:prSet presAssocID="{221BA384-583F-A645-9EAF-2959C65AFBE6}" presName="sibTrans" presStyleLbl="bgSibTrans2D1" presStyleIdx="5" presStyleCnt="6"/>
      <dgm:spPr/>
    </dgm:pt>
    <dgm:pt modelId="{9785174F-94A9-AF4E-800F-1245C784FBF1}" type="pres">
      <dgm:prSet presAssocID="{AEB74D58-E2C8-E840-A2B6-3F21FB0B9D02}" presName="compNode" presStyleCnt="0"/>
      <dgm:spPr/>
    </dgm:pt>
    <dgm:pt modelId="{E1C16D24-B213-F14B-8AF3-C8D003198A43}" type="pres">
      <dgm:prSet presAssocID="{AEB74D58-E2C8-E840-A2B6-3F21FB0B9D02}" presName="dummyConnPt" presStyleCnt="0"/>
      <dgm:spPr/>
    </dgm:pt>
    <dgm:pt modelId="{700F6FD1-2DBA-1E41-BE1D-BBE3A5A853DE}" type="pres">
      <dgm:prSet presAssocID="{AEB74D58-E2C8-E840-A2B6-3F21FB0B9D02}" presName="node" presStyleLbl="node1" presStyleIdx="6" presStyleCnt="7">
        <dgm:presLayoutVars>
          <dgm:bulletEnabled val="1"/>
        </dgm:presLayoutVars>
      </dgm:prSet>
      <dgm:spPr/>
    </dgm:pt>
  </dgm:ptLst>
  <dgm:cxnLst>
    <dgm:cxn modelId="{55080402-0CE3-5D48-BD72-DD79E098BB00}" srcId="{5967D48A-D675-E14A-8249-C68D1DE8B6C9}" destId="{AEB74D58-E2C8-E840-A2B6-3F21FB0B9D02}" srcOrd="6" destOrd="0" parTransId="{14469D54-F259-2F45-B427-4F69F3030D5D}" sibTransId="{F4D98306-7D87-474B-A923-442AAEBCE5AF}"/>
    <dgm:cxn modelId="{CABF7302-BF4F-D94C-9A55-41CEEECC3AF8}" type="presOf" srcId="{AEB74D58-E2C8-E840-A2B6-3F21FB0B9D02}" destId="{700F6FD1-2DBA-1E41-BE1D-BBE3A5A853DE}" srcOrd="0" destOrd="0" presId="urn:microsoft.com/office/officeart/2005/8/layout/bProcess4"/>
    <dgm:cxn modelId="{39C55304-3743-4D4A-AD91-E8EAF9A79224}" type="presOf" srcId="{221BA384-583F-A645-9EAF-2959C65AFBE6}" destId="{17EB4369-367F-3F4A-A28B-340EBC735AE7}" srcOrd="0" destOrd="0" presId="urn:microsoft.com/office/officeart/2005/8/layout/bProcess4"/>
    <dgm:cxn modelId="{E453E60B-A102-D948-A426-E29B43829514}" type="presOf" srcId="{70DC8FC5-34A0-DB44-AB68-1E760A506D58}" destId="{5A336A5C-6685-1D4B-A352-658F5B8A1697}" srcOrd="0" destOrd="0" presId="urn:microsoft.com/office/officeart/2005/8/layout/bProcess4"/>
    <dgm:cxn modelId="{7D320718-9FE4-4449-A2BE-CF949A2B9F45}" srcId="{5967D48A-D675-E14A-8249-C68D1DE8B6C9}" destId="{508917AC-A3E3-A046-859C-971C4A5926FB}" srcOrd="3" destOrd="0" parTransId="{A4178720-1210-8845-8F38-30F96564CFF6}" sibTransId="{DE238D3F-4E3E-F743-AD3A-A06DB12F3319}"/>
    <dgm:cxn modelId="{97AC1C1A-0753-A643-A7D6-B0429DF03727}" srcId="{5967D48A-D675-E14A-8249-C68D1DE8B6C9}" destId="{19F8FD1E-41DE-E546-AD6B-51DD2E6886E6}" srcOrd="4" destOrd="0" parTransId="{A20068F3-DAF4-9441-863C-0220E7137794}" sibTransId="{63B2817D-CECB-B74E-896F-99CFBFF539BB}"/>
    <dgm:cxn modelId="{87180F21-F140-364D-87F3-B4140DFA4FCD}" type="presOf" srcId="{19F8FD1E-41DE-E546-AD6B-51DD2E6886E6}" destId="{C5FF15FE-0620-A34D-8D59-5B6B6110077E}" srcOrd="0" destOrd="0" presId="urn:microsoft.com/office/officeart/2005/8/layout/bProcess4"/>
    <dgm:cxn modelId="{3E000E27-9DF2-1A42-8329-ADFBB1DCDC3B}" srcId="{5967D48A-D675-E14A-8249-C68D1DE8B6C9}" destId="{70DC8FC5-34A0-DB44-AB68-1E760A506D58}" srcOrd="2" destOrd="0" parTransId="{FAC18257-8FE8-0F43-9A8D-016632614F88}" sibTransId="{BCA9378D-C4E3-474B-B9D4-A55331139FFA}"/>
    <dgm:cxn modelId="{7D083944-B524-244F-958C-532883384B4A}" type="presOf" srcId="{D984FCF2-3388-F347-B18D-AAE311C63A9D}" destId="{A8D58DBC-2C3B-2845-A84C-BCAA516A734C}" srcOrd="0" destOrd="0" presId="urn:microsoft.com/office/officeart/2005/8/layout/bProcess4"/>
    <dgm:cxn modelId="{3185BE4C-7903-3F49-8165-8E0759165EE0}" type="presOf" srcId="{508917AC-A3E3-A046-859C-971C4A5926FB}" destId="{CE0B5348-4050-F14B-B8CD-AD208D5AE9DC}" srcOrd="0" destOrd="0" presId="urn:microsoft.com/office/officeart/2005/8/layout/bProcess4"/>
    <dgm:cxn modelId="{23159C61-3F75-E040-B6E7-B6B9FA90B34E}" type="presOf" srcId="{6F557F30-A3AB-0342-9BC1-335393C6D259}" destId="{7BA844B7-26FE-8844-AF13-5EA91D158ED4}" srcOrd="0" destOrd="0" presId="urn:microsoft.com/office/officeart/2005/8/layout/bProcess4"/>
    <dgm:cxn modelId="{4660B487-6DC8-0C43-84F1-05E9F71A29C5}" type="presOf" srcId="{63B2817D-CECB-B74E-896F-99CFBFF539BB}" destId="{3470555E-55C7-DC4B-AF61-9B7DDB9299E0}" srcOrd="0" destOrd="0" presId="urn:microsoft.com/office/officeart/2005/8/layout/bProcess4"/>
    <dgm:cxn modelId="{746DAAAA-9501-0844-A7D7-F4E47961BB18}" type="presOf" srcId="{B8CA66C9-DA1B-3B43-82EC-68ECDA6C3E46}" destId="{60194ADE-8AD0-D346-AA6A-6FD7B84A9D59}" srcOrd="0" destOrd="0" presId="urn:microsoft.com/office/officeart/2005/8/layout/bProcess4"/>
    <dgm:cxn modelId="{3BFC5AAE-56FC-1248-AF55-F3BB28D614E9}" type="presOf" srcId="{7CBCF820-66B7-C048-8BF8-C2C9E2658BC3}" destId="{BFAE6B19-9C43-A845-86D8-B28B2BB5420C}" srcOrd="0" destOrd="0" presId="urn:microsoft.com/office/officeart/2005/8/layout/bProcess4"/>
    <dgm:cxn modelId="{4892A5B1-EF40-184B-A47B-D909DFAE454B}" type="presOf" srcId="{BCA9378D-C4E3-474B-B9D4-A55331139FFA}" destId="{4832751B-9089-7044-B93E-10FA1560AE1D}" srcOrd="0" destOrd="0" presId="urn:microsoft.com/office/officeart/2005/8/layout/bProcess4"/>
    <dgm:cxn modelId="{823AC7BB-D87F-254A-9203-4AE8AD4849E5}" srcId="{5967D48A-D675-E14A-8249-C68D1DE8B6C9}" destId="{7CBCF820-66B7-C048-8BF8-C2C9E2658BC3}" srcOrd="5" destOrd="0" parTransId="{516A34C8-7CBC-0A40-9070-2F67640AA0C2}" sibTransId="{221BA384-583F-A645-9EAF-2959C65AFBE6}"/>
    <dgm:cxn modelId="{3471D1BF-89B3-BD44-9C8B-2C397E3D4CF9}" type="presOf" srcId="{DE238D3F-4E3E-F743-AD3A-A06DB12F3319}" destId="{59887B25-7E70-5D49-B1A3-AB301CD7E277}" srcOrd="0" destOrd="0" presId="urn:microsoft.com/office/officeart/2005/8/layout/bProcess4"/>
    <dgm:cxn modelId="{FB15E4C4-04C0-D041-BDDE-D10CB73314D7}" srcId="{5967D48A-D675-E14A-8249-C68D1DE8B6C9}" destId="{D7AD64BD-273E-F548-A940-558A7FAF8875}" srcOrd="1" destOrd="0" parTransId="{78E6D709-1631-124B-8F00-50690CA7B2E1}" sibTransId="{6F557F30-A3AB-0342-9BC1-335393C6D259}"/>
    <dgm:cxn modelId="{A2E1E2D2-3DA4-8845-8AAA-E5EE05F9F2BF}" srcId="{5967D48A-D675-E14A-8249-C68D1DE8B6C9}" destId="{D984FCF2-3388-F347-B18D-AAE311C63A9D}" srcOrd="0" destOrd="0" parTransId="{D86E28CB-67F8-364D-9CCA-742AEEC5C1A9}" sibTransId="{B8CA66C9-DA1B-3B43-82EC-68ECDA6C3E46}"/>
    <dgm:cxn modelId="{4F1BC2D3-B073-D149-9150-3E702D76E45D}" type="presOf" srcId="{D7AD64BD-273E-F548-A940-558A7FAF8875}" destId="{0AA1B4A0-A273-2143-9705-71045A282BE6}" srcOrd="0" destOrd="0" presId="urn:microsoft.com/office/officeart/2005/8/layout/bProcess4"/>
    <dgm:cxn modelId="{85E458D4-D9A2-7349-AC2B-B755FB8D70B3}" type="presOf" srcId="{5967D48A-D675-E14A-8249-C68D1DE8B6C9}" destId="{BD5E590B-2BE9-9142-9099-C8F6575EFB19}" srcOrd="0" destOrd="0" presId="urn:microsoft.com/office/officeart/2005/8/layout/bProcess4"/>
    <dgm:cxn modelId="{B128A3B3-7FA1-0741-983C-DAA63B7B458A}" type="presParOf" srcId="{BD5E590B-2BE9-9142-9099-C8F6575EFB19}" destId="{250C4D20-5E76-D349-BD18-AB695F022EFA}" srcOrd="0" destOrd="0" presId="urn:microsoft.com/office/officeart/2005/8/layout/bProcess4"/>
    <dgm:cxn modelId="{67E0DBCE-D8EF-8543-ABAB-8076D78EFA44}" type="presParOf" srcId="{250C4D20-5E76-D349-BD18-AB695F022EFA}" destId="{9B2E15D5-D2B8-9242-B260-8829DA8DB4EB}" srcOrd="0" destOrd="0" presId="urn:microsoft.com/office/officeart/2005/8/layout/bProcess4"/>
    <dgm:cxn modelId="{B769B8BF-1ABA-1B49-B8A3-3FDBE23C0980}" type="presParOf" srcId="{250C4D20-5E76-D349-BD18-AB695F022EFA}" destId="{A8D58DBC-2C3B-2845-A84C-BCAA516A734C}" srcOrd="1" destOrd="0" presId="urn:microsoft.com/office/officeart/2005/8/layout/bProcess4"/>
    <dgm:cxn modelId="{BB34B81D-D594-9149-AAA1-34A4A68F115C}" type="presParOf" srcId="{BD5E590B-2BE9-9142-9099-C8F6575EFB19}" destId="{60194ADE-8AD0-D346-AA6A-6FD7B84A9D59}" srcOrd="1" destOrd="0" presId="urn:microsoft.com/office/officeart/2005/8/layout/bProcess4"/>
    <dgm:cxn modelId="{122A0A3F-C943-3547-84C7-80F4BAECFEB3}" type="presParOf" srcId="{BD5E590B-2BE9-9142-9099-C8F6575EFB19}" destId="{3CB35BC2-C02B-D84E-968E-C46EED8F5DE9}" srcOrd="2" destOrd="0" presId="urn:microsoft.com/office/officeart/2005/8/layout/bProcess4"/>
    <dgm:cxn modelId="{6D653455-71A3-824A-9973-C5CA6F6D75CF}" type="presParOf" srcId="{3CB35BC2-C02B-D84E-968E-C46EED8F5DE9}" destId="{7AD26872-5352-A449-A7F6-64CD389A6059}" srcOrd="0" destOrd="0" presId="urn:microsoft.com/office/officeart/2005/8/layout/bProcess4"/>
    <dgm:cxn modelId="{6B6719CB-95B3-A74D-B534-0358113C94CE}" type="presParOf" srcId="{3CB35BC2-C02B-D84E-968E-C46EED8F5DE9}" destId="{0AA1B4A0-A273-2143-9705-71045A282BE6}" srcOrd="1" destOrd="0" presId="urn:microsoft.com/office/officeart/2005/8/layout/bProcess4"/>
    <dgm:cxn modelId="{0967368D-2C64-0943-950A-37B1730C5ABA}" type="presParOf" srcId="{BD5E590B-2BE9-9142-9099-C8F6575EFB19}" destId="{7BA844B7-26FE-8844-AF13-5EA91D158ED4}" srcOrd="3" destOrd="0" presId="urn:microsoft.com/office/officeart/2005/8/layout/bProcess4"/>
    <dgm:cxn modelId="{5E0B423C-CF14-CC4D-91DA-C32636304BCA}" type="presParOf" srcId="{BD5E590B-2BE9-9142-9099-C8F6575EFB19}" destId="{9252BD2B-339D-0F49-9513-238F0DFDE619}" srcOrd="4" destOrd="0" presId="urn:microsoft.com/office/officeart/2005/8/layout/bProcess4"/>
    <dgm:cxn modelId="{165CCDF3-695F-C144-ACA8-8BB2B1CD9C91}" type="presParOf" srcId="{9252BD2B-339D-0F49-9513-238F0DFDE619}" destId="{2C0C88DB-93D8-F94E-9649-71A3BA123381}" srcOrd="0" destOrd="0" presId="urn:microsoft.com/office/officeart/2005/8/layout/bProcess4"/>
    <dgm:cxn modelId="{2C7AB024-A679-A440-983B-1E9EFAD98711}" type="presParOf" srcId="{9252BD2B-339D-0F49-9513-238F0DFDE619}" destId="{5A336A5C-6685-1D4B-A352-658F5B8A1697}" srcOrd="1" destOrd="0" presId="urn:microsoft.com/office/officeart/2005/8/layout/bProcess4"/>
    <dgm:cxn modelId="{1A5FF4A3-99C7-0B4E-9401-D94FE1BC7815}" type="presParOf" srcId="{BD5E590B-2BE9-9142-9099-C8F6575EFB19}" destId="{4832751B-9089-7044-B93E-10FA1560AE1D}" srcOrd="5" destOrd="0" presId="urn:microsoft.com/office/officeart/2005/8/layout/bProcess4"/>
    <dgm:cxn modelId="{DB432698-9978-5B49-A8E6-029B661D24A9}" type="presParOf" srcId="{BD5E590B-2BE9-9142-9099-C8F6575EFB19}" destId="{491306DB-7E8B-F347-91BE-69BCD15F9D94}" srcOrd="6" destOrd="0" presId="urn:microsoft.com/office/officeart/2005/8/layout/bProcess4"/>
    <dgm:cxn modelId="{26492002-0D2D-A64F-9258-D88F3713CFBB}" type="presParOf" srcId="{491306DB-7E8B-F347-91BE-69BCD15F9D94}" destId="{6658BB65-C2FF-F041-A577-D0632D8C4934}" srcOrd="0" destOrd="0" presId="urn:microsoft.com/office/officeart/2005/8/layout/bProcess4"/>
    <dgm:cxn modelId="{DDFDB8F8-351D-6241-BE9E-DDEFA2EF5533}" type="presParOf" srcId="{491306DB-7E8B-F347-91BE-69BCD15F9D94}" destId="{CE0B5348-4050-F14B-B8CD-AD208D5AE9DC}" srcOrd="1" destOrd="0" presId="urn:microsoft.com/office/officeart/2005/8/layout/bProcess4"/>
    <dgm:cxn modelId="{115BC010-97CA-D34F-A765-08878AAFE594}" type="presParOf" srcId="{BD5E590B-2BE9-9142-9099-C8F6575EFB19}" destId="{59887B25-7E70-5D49-B1A3-AB301CD7E277}" srcOrd="7" destOrd="0" presId="urn:microsoft.com/office/officeart/2005/8/layout/bProcess4"/>
    <dgm:cxn modelId="{A5AD7367-1E3D-D74F-9A36-0F234A6EB2B1}" type="presParOf" srcId="{BD5E590B-2BE9-9142-9099-C8F6575EFB19}" destId="{469F6D00-6195-2942-ABCA-39618D234E3C}" srcOrd="8" destOrd="0" presId="urn:microsoft.com/office/officeart/2005/8/layout/bProcess4"/>
    <dgm:cxn modelId="{8691E085-854D-9A4A-905A-9D29A3F3B986}" type="presParOf" srcId="{469F6D00-6195-2942-ABCA-39618D234E3C}" destId="{6F74B3AC-56AB-D242-B624-000281A34ADD}" srcOrd="0" destOrd="0" presId="urn:microsoft.com/office/officeart/2005/8/layout/bProcess4"/>
    <dgm:cxn modelId="{DEE4AE0A-BE8D-9846-9F4D-C90EB2561FEE}" type="presParOf" srcId="{469F6D00-6195-2942-ABCA-39618D234E3C}" destId="{C5FF15FE-0620-A34D-8D59-5B6B6110077E}" srcOrd="1" destOrd="0" presId="urn:microsoft.com/office/officeart/2005/8/layout/bProcess4"/>
    <dgm:cxn modelId="{7F5F53E1-46CD-7A42-882E-A46BC3A7502C}" type="presParOf" srcId="{BD5E590B-2BE9-9142-9099-C8F6575EFB19}" destId="{3470555E-55C7-DC4B-AF61-9B7DDB9299E0}" srcOrd="9" destOrd="0" presId="urn:microsoft.com/office/officeart/2005/8/layout/bProcess4"/>
    <dgm:cxn modelId="{2A49943C-5AC5-6140-A069-807378AE48D6}" type="presParOf" srcId="{BD5E590B-2BE9-9142-9099-C8F6575EFB19}" destId="{53F9756D-5D31-2848-B873-EBE2DB3B0DAE}" srcOrd="10" destOrd="0" presId="urn:microsoft.com/office/officeart/2005/8/layout/bProcess4"/>
    <dgm:cxn modelId="{DB8154B1-256F-0642-A7A5-A7EA9B2E28E8}" type="presParOf" srcId="{53F9756D-5D31-2848-B873-EBE2DB3B0DAE}" destId="{AD567569-5298-2442-AB7B-CAF673E357EC}" srcOrd="0" destOrd="0" presId="urn:microsoft.com/office/officeart/2005/8/layout/bProcess4"/>
    <dgm:cxn modelId="{2F99D98F-CF2A-4A46-99AA-B7FD66085173}" type="presParOf" srcId="{53F9756D-5D31-2848-B873-EBE2DB3B0DAE}" destId="{BFAE6B19-9C43-A845-86D8-B28B2BB5420C}" srcOrd="1" destOrd="0" presId="urn:microsoft.com/office/officeart/2005/8/layout/bProcess4"/>
    <dgm:cxn modelId="{3B93AE25-7E96-F640-9165-EB0650FAA058}" type="presParOf" srcId="{BD5E590B-2BE9-9142-9099-C8F6575EFB19}" destId="{17EB4369-367F-3F4A-A28B-340EBC735AE7}" srcOrd="11" destOrd="0" presId="urn:microsoft.com/office/officeart/2005/8/layout/bProcess4"/>
    <dgm:cxn modelId="{4EAFCDA9-8961-9045-A5C0-9500A7CCB2B3}" type="presParOf" srcId="{BD5E590B-2BE9-9142-9099-C8F6575EFB19}" destId="{9785174F-94A9-AF4E-800F-1245C784FBF1}" srcOrd="12" destOrd="0" presId="urn:microsoft.com/office/officeart/2005/8/layout/bProcess4"/>
    <dgm:cxn modelId="{FDEAD087-606E-F546-816B-FD604FD13E99}" type="presParOf" srcId="{9785174F-94A9-AF4E-800F-1245C784FBF1}" destId="{E1C16D24-B213-F14B-8AF3-C8D003198A43}" srcOrd="0" destOrd="0" presId="urn:microsoft.com/office/officeart/2005/8/layout/bProcess4"/>
    <dgm:cxn modelId="{B9C51FF1-1D7D-CC4C-ACB8-068CE712D6DE}" type="presParOf" srcId="{9785174F-94A9-AF4E-800F-1245C784FBF1}" destId="{700F6FD1-2DBA-1E41-BE1D-BBE3A5A853DE}" srcOrd="1" destOrd="0" presId="urn:microsoft.com/office/officeart/2005/8/layout/bProcess4"/>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3FA10E-26AD-FE40-B75C-E84598586BBE}">
      <dsp:nvSpPr>
        <dsp:cNvPr id="0" name=""/>
        <dsp:cNvSpPr/>
      </dsp:nvSpPr>
      <dsp:spPr>
        <a:xfrm>
          <a:off x="6538" y="432567"/>
          <a:ext cx="1200932" cy="223493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22275">
            <a:lnSpc>
              <a:spcPct val="90000"/>
            </a:lnSpc>
            <a:spcBef>
              <a:spcPct val="0"/>
            </a:spcBef>
            <a:spcAft>
              <a:spcPct val="35000"/>
            </a:spcAft>
            <a:buNone/>
          </a:pPr>
          <a:r>
            <a:rPr lang="en-US" sz="950" kern="1200">
              <a:latin typeface="Times New Roman" panose="02020603050405020304" pitchFamily="18" charset="0"/>
              <a:cs typeface="Times New Roman" panose="02020603050405020304" pitchFamily="18" charset="0"/>
            </a:rPr>
            <a:t>To reduce  overall medication cost and nonformulary medication cost by 10% through increasing formulary compliance following project implementation on 9/17/21 with Hospice organization</a:t>
          </a:r>
        </a:p>
      </dsp:txBody>
      <dsp:txXfrm>
        <a:off x="41712" y="467741"/>
        <a:ext cx="1130584" cy="2164587"/>
      </dsp:txXfrm>
    </dsp:sp>
    <dsp:sp modelId="{DDCF82B4-D276-6440-8599-77B5171C58AD}">
      <dsp:nvSpPr>
        <dsp:cNvPr id="0" name=""/>
        <dsp:cNvSpPr/>
      </dsp:nvSpPr>
      <dsp:spPr>
        <a:xfrm rot="18290142">
          <a:off x="1027181" y="1187482"/>
          <a:ext cx="840952" cy="34858"/>
        </a:xfrm>
        <a:custGeom>
          <a:avLst/>
          <a:gdLst/>
          <a:ahLst/>
          <a:cxnLst/>
          <a:rect l="0" t="0" r="0" b="0"/>
          <a:pathLst>
            <a:path>
              <a:moveTo>
                <a:pt x="0" y="17429"/>
              </a:moveTo>
              <a:lnTo>
                <a:pt x="840952" y="1742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1426633" y="1183887"/>
        <a:ext cx="42047" cy="42047"/>
      </dsp:txXfrm>
    </dsp:sp>
    <dsp:sp modelId="{23467643-0812-F440-9FBA-EFB10D188FC9}">
      <dsp:nvSpPr>
        <dsp:cNvPr id="0" name=""/>
        <dsp:cNvSpPr/>
      </dsp:nvSpPr>
      <dsp:spPr>
        <a:xfrm>
          <a:off x="1687843" y="449014"/>
          <a:ext cx="1200932" cy="82154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22275">
            <a:lnSpc>
              <a:spcPct val="90000"/>
            </a:lnSpc>
            <a:spcBef>
              <a:spcPct val="0"/>
            </a:spcBef>
            <a:spcAft>
              <a:spcPct val="35000"/>
            </a:spcAft>
            <a:buNone/>
          </a:pPr>
          <a:r>
            <a:rPr lang="en-US" sz="950" kern="1200">
              <a:latin typeface="Times New Roman" panose="02020603050405020304" pitchFamily="18" charset="0"/>
              <a:cs typeface="Times New Roman" panose="02020603050405020304" pitchFamily="18" charset="0"/>
            </a:rPr>
            <a:t>Computation of appropriate medication orders according to drug formulary</a:t>
          </a:r>
        </a:p>
      </dsp:txBody>
      <dsp:txXfrm>
        <a:off x="1711905" y="473076"/>
        <a:ext cx="1152808" cy="773421"/>
      </dsp:txXfrm>
    </dsp:sp>
    <dsp:sp modelId="{7A7F73FD-6A84-6844-B361-DD21CCD38978}">
      <dsp:nvSpPr>
        <dsp:cNvPr id="0" name=""/>
        <dsp:cNvSpPr/>
      </dsp:nvSpPr>
      <dsp:spPr>
        <a:xfrm rot="19457599">
          <a:off x="2833171" y="669724"/>
          <a:ext cx="591581" cy="34858"/>
        </a:xfrm>
        <a:custGeom>
          <a:avLst/>
          <a:gdLst/>
          <a:ahLst/>
          <a:cxnLst/>
          <a:rect l="0" t="0" r="0" b="0"/>
          <a:pathLst>
            <a:path>
              <a:moveTo>
                <a:pt x="0" y="17429"/>
              </a:moveTo>
              <a:lnTo>
                <a:pt x="591581" y="174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3114172" y="672363"/>
        <a:ext cx="29579" cy="29579"/>
      </dsp:txXfrm>
    </dsp:sp>
    <dsp:sp modelId="{6433B035-4FFD-B147-886A-EBF98C565D05}">
      <dsp:nvSpPr>
        <dsp:cNvPr id="0" name=""/>
        <dsp:cNvSpPr/>
      </dsp:nvSpPr>
      <dsp:spPr>
        <a:xfrm>
          <a:off x="3369148" y="214286"/>
          <a:ext cx="1200932" cy="6004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22275">
            <a:lnSpc>
              <a:spcPct val="90000"/>
            </a:lnSpc>
            <a:spcBef>
              <a:spcPct val="0"/>
            </a:spcBef>
            <a:spcAft>
              <a:spcPct val="35000"/>
            </a:spcAft>
            <a:buNone/>
          </a:pPr>
          <a:r>
            <a:rPr lang="en-US" sz="950" kern="1200">
              <a:latin typeface="Times New Roman" panose="02020603050405020304" pitchFamily="18" charset="0"/>
              <a:cs typeface="Times New Roman" panose="02020603050405020304" pitchFamily="18" charset="0"/>
            </a:rPr>
            <a:t>Heavy patient loads/ work loads</a:t>
          </a:r>
        </a:p>
      </dsp:txBody>
      <dsp:txXfrm>
        <a:off x="3386735" y="231873"/>
        <a:ext cx="1165758" cy="565292"/>
      </dsp:txXfrm>
    </dsp:sp>
    <dsp:sp modelId="{A5CBF9A2-0C0B-F34C-BC73-0BD900A562FD}">
      <dsp:nvSpPr>
        <dsp:cNvPr id="0" name=""/>
        <dsp:cNvSpPr/>
      </dsp:nvSpPr>
      <dsp:spPr>
        <a:xfrm>
          <a:off x="4570081" y="497090"/>
          <a:ext cx="480372" cy="34858"/>
        </a:xfrm>
        <a:custGeom>
          <a:avLst/>
          <a:gdLst/>
          <a:ahLst/>
          <a:cxnLst/>
          <a:rect l="0" t="0" r="0" b="0"/>
          <a:pathLst>
            <a:path>
              <a:moveTo>
                <a:pt x="0" y="17429"/>
              </a:moveTo>
              <a:lnTo>
                <a:pt x="480372" y="174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4798258" y="502510"/>
        <a:ext cx="24018" cy="24018"/>
      </dsp:txXfrm>
    </dsp:sp>
    <dsp:sp modelId="{7BC3D85A-01BE-6045-9AD1-4141C2457E1C}">
      <dsp:nvSpPr>
        <dsp:cNvPr id="0" name=""/>
        <dsp:cNvSpPr/>
      </dsp:nvSpPr>
      <dsp:spPr>
        <a:xfrm>
          <a:off x="5050454" y="214286"/>
          <a:ext cx="1200932" cy="6004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22275">
            <a:lnSpc>
              <a:spcPct val="90000"/>
            </a:lnSpc>
            <a:spcBef>
              <a:spcPct val="0"/>
            </a:spcBef>
            <a:spcAft>
              <a:spcPct val="35000"/>
            </a:spcAft>
            <a:buNone/>
          </a:pPr>
          <a:r>
            <a:rPr lang="en-US" sz="950" kern="1200">
              <a:latin typeface="Times New Roman" panose="02020603050405020304" pitchFamily="18" charset="0"/>
              <a:cs typeface="Times New Roman" panose="02020603050405020304" pitchFamily="18" charset="0"/>
            </a:rPr>
            <a:t>Qualtrics survey to gauge nurse's prespective</a:t>
          </a:r>
        </a:p>
      </dsp:txBody>
      <dsp:txXfrm>
        <a:off x="5068041" y="231873"/>
        <a:ext cx="1165758" cy="565292"/>
      </dsp:txXfrm>
    </dsp:sp>
    <dsp:sp modelId="{F12400F8-3ADA-1A48-A742-68E09D3C1035}">
      <dsp:nvSpPr>
        <dsp:cNvPr id="0" name=""/>
        <dsp:cNvSpPr/>
      </dsp:nvSpPr>
      <dsp:spPr>
        <a:xfrm rot="2142401">
          <a:off x="2833171" y="1014992"/>
          <a:ext cx="591581" cy="34858"/>
        </a:xfrm>
        <a:custGeom>
          <a:avLst/>
          <a:gdLst/>
          <a:ahLst/>
          <a:cxnLst/>
          <a:rect l="0" t="0" r="0" b="0"/>
          <a:pathLst>
            <a:path>
              <a:moveTo>
                <a:pt x="0" y="17429"/>
              </a:moveTo>
              <a:lnTo>
                <a:pt x="591581" y="174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3114172" y="1017631"/>
        <a:ext cx="29579" cy="29579"/>
      </dsp:txXfrm>
    </dsp:sp>
    <dsp:sp modelId="{8DC740FF-297F-D449-9685-AF64092834A8}">
      <dsp:nvSpPr>
        <dsp:cNvPr id="0" name=""/>
        <dsp:cNvSpPr/>
      </dsp:nvSpPr>
      <dsp:spPr>
        <a:xfrm>
          <a:off x="3369148" y="904822"/>
          <a:ext cx="1200932" cy="6004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22275">
            <a:lnSpc>
              <a:spcPct val="90000"/>
            </a:lnSpc>
            <a:spcBef>
              <a:spcPct val="0"/>
            </a:spcBef>
            <a:spcAft>
              <a:spcPct val="35000"/>
            </a:spcAft>
            <a:buNone/>
          </a:pPr>
          <a:r>
            <a:rPr lang="en-US" sz="950" kern="1200">
              <a:latin typeface="Times New Roman" panose="02020603050405020304" pitchFamily="18" charset="0"/>
              <a:cs typeface="Times New Roman" panose="02020603050405020304" pitchFamily="18" charset="0"/>
            </a:rPr>
            <a:t>RN knowledge of new drug formulary</a:t>
          </a:r>
        </a:p>
      </dsp:txBody>
      <dsp:txXfrm>
        <a:off x="3386735" y="922409"/>
        <a:ext cx="1165758" cy="565292"/>
      </dsp:txXfrm>
    </dsp:sp>
    <dsp:sp modelId="{AAF7C62F-2BAC-B04D-A0AA-47D7C8FDFB52}">
      <dsp:nvSpPr>
        <dsp:cNvPr id="0" name=""/>
        <dsp:cNvSpPr/>
      </dsp:nvSpPr>
      <dsp:spPr>
        <a:xfrm>
          <a:off x="4570081" y="1187626"/>
          <a:ext cx="480372" cy="34858"/>
        </a:xfrm>
        <a:custGeom>
          <a:avLst/>
          <a:gdLst/>
          <a:ahLst/>
          <a:cxnLst/>
          <a:rect l="0" t="0" r="0" b="0"/>
          <a:pathLst>
            <a:path>
              <a:moveTo>
                <a:pt x="0" y="17429"/>
              </a:moveTo>
              <a:lnTo>
                <a:pt x="480372" y="174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4798258" y="1193046"/>
        <a:ext cx="24018" cy="24018"/>
      </dsp:txXfrm>
    </dsp:sp>
    <dsp:sp modelId="{D8229DB1-2CB1-6A45-A232-D77738BE705D}">
      <dsp:nvSpPr>
        <dsp:cNvPr id="0" name=""/>
        <dsp:cNvSpPr/>
      </dsp:nvSpPr>
      <dsp:spPr>
        <a:xfrm>
          <a:off x="5050454" y="904822"/>
          <a:ext cx="1200932" cy="6004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22275">
            <a:lnSpc>
              <a:spcPct val="90000"/>
            </a:lnSpc>
            <a:spcBef>
              <a:spcPct val="0"/>
            </a:spcBef>
            <a:spcAft>
              <a:spcPct val="35000"/>
            </a:spcAft>
            <a:buNone/>
          </a:pPr>
          <a:r>
            <a:rPr lang="en-US" sz="950" kern="1200">
              <a:latin typeface="Times New Roman" panose="02020603050405020304" pitchFamily="18" charset="0"/>
              <a:cs typeface="Times New Roman" panose="02020603050405020304" pitchFamily="18" charset="0"/>
            </a:rPr>
            <a:t>Create quick-reference guide to ease decision burden when inputting medication orders </a:t>
          </a:r>
        </a:p>
      </dsp:txBody>
      <dsp:txXfrm>
        <a:off x="5068041" y="922409"/>
        <a:ext cx="1165758" cy="565292"/>
      </dsp:txXfrm>
    </dsp:sp>
    <dsp:sp modelId="{E54749A6-6E18-1B45-8611-83B2FB5675C6}">
      <dsp:nvSpPr>
        <dsp:cNvPr id="0" name=""/>
        <dsp:cNvSpPr/>
      </dsp:nvSpPr>
      <dsp:spPr>
        <a:xfrm rot="3311203">
          <a:off x="1026944" y="1878018"/>
          <a:ext cx="841425" cy="34858"/>
        </a:xfrm>
        <a:custGeom>
          <a:avLst/>
          <a:gdLst/>
          <a:ahLst/>
          <a:cxnLst/>
          <a:rect l="0" t="0" r="0" b="0"/>
          <a:pathLst>
            <a:path>
              <a:moveTo>
                <a:pt x="0" y="17429"/>
              </a:moveTo>
              <a:lnTo>
                <a:pt x="841425" y="1742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1426621" y="1874411"/>
        <a:ext cx="42071" cy="42071"/>
      </dsp:txXfrm>
    </dsp:sp>
    <dsp:sp modelId="{F4FD89AA-F324-1448-B85B-C01EB206C480}">
      <dsp:nvSpPr>
        <dsp:cNvPr id="0" name=""/>
        <dsp:cNvSpPr/>
      </dsp:nvSpPr>
      <dsp:spPr>
        <a:xfrm>
          <a:off x="1687843" y="1830663"/>
          <a:ext cx="1200932" cy="82039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22275">
            <a:lnSpc>
              <a:spcPct val="90000"/>
            </a:lnSpc>
            <a:spcBef>
              <a:spcPct val="0"/>
            </a:spcBef>
            <a:spcAft>
              <a:spcPct val="35000"/>
            </a:spcAft>
            <a:buNone/>
          </a:pPr>
          <a:r>
            <a:rPr lang="en-US" sz="950" kern="1200">
              <a:latin typeface="Times New Roman" panose="02020603050405020304" pitchFamily="18" charset="0"/>
              <a:cs typeface="Times New Roman" panose="02020603050405020304" pitchFamily="18" charset="0"/>
            </a:rPr>
            <a:t>Nurse awareness of cost of commonly prescribed medications</a:t>
          </a:r>
        </a:p>
      </dsp:txBody>
      <dsp:txXfrm>
        <a:off x="1711871" y="1854691"/>
        <a:ext cx="1152876" cy="772336"/>
      </dsp:txXfrm>
    </dsp:sp>
    <dsp:sp modelId="{FB7C2766-B450-2247-A75C-5B44C7DB1F6D}">
      <dsp:nvSpPr>
        <dsp:cNvPr id="0" name=""/>
        <dsp:cNvSpPr/>
      </dsp:nvSpPr>
      <dsp:spPr>
        <a:xfrm rot="64733">
          <a:off x="2888732" y="2228095"/>
          <a:ext cx="495580" cy="34858"/>
        </a:xfrm>
        <a:custGeom>
          <a:avLst/>
          <a:gdLst/>
          <a:ahLst/>
          <a:cxnLst/>
          <a:rect l="0" t="0" r="0" b="0"/>
          <a:pathLst>
            <a:path>
              <a:moveTo>
                <a:pt x="0" y="17429"/>
              </a:moveTo>
              <a:lnTo>
                <a:pt x="495580" y="174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3124132" y="2233135"/>
        <a:ext cx="24779" cy="24779"/>
      </dsp:txXfrm>
    </dsp:sp>
    <dsp:sp modelId="{C1F63F1C-BF1C-CE4F-8F1D-5F61D5E2A088}">
      <dsp:nvSpPr>
        <dsp:cNvPr id="0" name=""/>
        <dsp:cNvSpPr/>
      </dsp:nvSpPr>
      <dsp:spPr>
        <a:xfrm>
          <a:off x="3384268" y="1949957"/>
          <a:ext cx="1200932" cy="6004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22275">
            <a:lnSpc>
              <a:spcPct val="90000"/>
            </a:lnSpc>
            <a:spcBef>
              <a:spcPct val="0"/>
            </a:spcBef>
            <a:spcAft>
              <a:spcPct val="35000"/>
            </a:spcAft>
            <a:buNone/>
          </a:pPr>
          <a:r>
            <a:rPr lang="en-US" sz="950" kern="1200">
              <a:latin typeface="Times New Roman" panose="02020603050405020304" pitchFamily="18" charset="0"/>
              <a:cs typeface="Times New Roman" panose="02020603050405020304" pitchFamily="18" charset="0"/>
            </a:rPr>
            <a:t>Lack of cost information in ordering platform</a:t>
          </a:r>
        </a:p>
      </dsp:txBody>
      <dsp:txXfrm>
        <a:off x="3401855" y="1967544"/>
        <a:ext cx="1165758" cy="565292"/>
      </dsp:txXfrm>
    </dsp:sp>
    <dsp:sp modelId="{6652387F-877D-6341-8038-766C7A2FE7D8}">
      <dsp:nvSpPr>
        <dsp:cNvPr id="0" name=""/>
        <dsp:cNvSpPr/>
      </dsp:nvSpPr>
      <dsp:spPr>
        <a:xfrm rot="19361199">
          <a:off x="4525337" y="2055461"/>
          <a:ext cx="584979" cy="34858"/>
        </a:xfrm>
        <a:custGeom>
          <a:avLst/>
          <a:gdLst/>
          <a:ahLst/>
          <a:cxnLst/>
          <a:rect l="0" t="0" r="0" b="0"/>
          <a:pathLst>
            <a:path>
              <a:moveTo>
                <a:pt x="0" y="17429"/>
              </a:moveTo>
              <a:lnTo>
                <a:pt x="584979" y="174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4803203" y="2058266"/>
        <a:ext cx="29248" cy="29248"/>
      </dsp:txXfrm>
    </dsp:sp>
    <dsp:sp modelId="{12C34CF1-2982-8946-AD21-9CF9A9783270}">
      <dsp:nvSpPr>
        <dsp:cNvPr id="0" name=""/>
        <dsp:cNvSpPr/>
      </dsp:nvSpPr>
      <dsp:spPr>
        <a:xfrm>
          <a:off x="5050454" y="1595358"/>
          <a:ext cx="1200932" cy="6004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22275">
            <a:lnSpc>
              <a:spcPct val="90000"/>
            </a:lnSpc>
            <a:spcBef>
              <a:spcPct val="0"/>
            </a:spcBef>
            <a:spcAft>
              <a:spcPct val="35000"/>
            </a:spcAft>
            <a:buNone/>
          </a:pPr>
          <a:r>
            <a:rPr lang="en-US" sz="950" kern="1200">
              <a:latin typeface="Times New Roman" panose="02020603050405020304" pitchFamily="18" charset="0"/>
              <a:cs typeface="Times New Roman" panose="02020603050405020304" pitchFamily="18" charset="0"/>
            </a:rPr>
            <a:t>Include cost information on the quick-reference guide for nurses</a:t>
          </a:r>
        </a:p>
      </dsp:txBody>
      <dsp:txXfrm>
        <a:off x="5068041" y="1612945"/>
        <a:ext cx="1165758" cy="565292"/>
      </dsp:txXfrm>
    </dsp:sp>
    <dsp:sp modelId="{AB4C437F-99A4-F741-B950-F515AEB1AC86}">
      <dsp:nvSpPr>
        <dsp:cNvPr id="0" name=""/>
        <dsp:cNvSpPr/>
      </dsp:nvSpPr>
      <dsp:spPr>
        <a:xfrm rot="2149874">
          <a:off x="4530898" y="2400730"/>
          <a:ext cx="573858" cy="34858"/>
        </a:xfrm>
        <a:custGeom>
          <a:avLst/>
          <a:gdLst/>
          <a:ahLst/>
          <a:cxnLst/>
          <a:rect l="0" t="0" r="0" b="0"/>
          <a:pathLst>
            <a:path>
              <a:moveTo>
                <a:pt x="0" y="17429"/>
              </a:moveTo>
              <a:lnTo>
                <a:pt x="573858" y="1742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4803481" y="2403812"/>
        <a:ext cx="28692" cy="28692"/>
      </dsp:txXfrm>
    </dsp:sp>
    <dsp:sp modelId="{DD97697F-3927-164A-99ED-BF0595573B97}">
      <dsp:nvSpPr>
        <dsp:cNvPr id="0" name=""/>
        <dsp:cNvSpPr/>
      </dsp:nvSpPr>
      <dsp:spPr>
        <a:xfrm>
          <a:off x="5050454" y="2285894"/>
          <a:ext cx="1200932" cy="60046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22275">
            <a:lnSpc>
              <a:spcPct val="90000"/>
            </a:lnSpc>
            <a:spcBef>
              <a:spcPct val="0"/>
            </a:spcBef>
            <a:spcAft>
              <a:spcPct val="35000"/>
            </a:spcAft>
            <a:buNone/>
          </a:pPr>
          <a:r>
            <a:rPr lang="en-US" sz="950" kern="1200">
              <a:latin typeface="Times New Roman" panose="02020603050405020304" pitchFamily="18" charset="0"/>
              <a:cs typeface="Times New Roman" panose="02020603050405020304" pitchFamily="18" charset="0"/>
            </a:rPr>
            <a:t>Consult with pharmacy to determine cost effective formulary alternatives</a:t>
          </a:r>
        </a:p>
      </dsp:txBody>
      <dsp:txXfrm>
        <a:off x="5068041" y="2303481"/>
        <a:ext cx="1165758" cy="56529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0194ADE-8AD0-D346-AA6A-6FD7B84A9D59}">
      <dsp:nvSpPr>
        <dsp:cNvPr id="0" name=""/>
        <dsp:cNvSpPr/>
      </dsp:nvSpPr>
      <dsp:spPr>
        <a:xfrm rot="5408661">
          <a:off x="-241023" y="734211"/>
          <a:ext cx="1093640"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8D58DBC-2C3B-2845-A84C-BCAA516A734C}">
      <dsp:nvSpPr>
        <dsp:cNvPr id="0" name=""/>
        <dsp:cNvSpPr/>
      </dsp:nvSpPr>
      <dsp:spPr>
        <a:xfrm>
          <a:off x="2759" y="27815"/>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Pre-intervention data collection (May-July 2021)</a:t>
          </a:r>
        </a:p>
      </dsp:txBody>
      <dsp:txXfrm>
        <a:off x="29075" y="54131"/>
        <a:ext cx="1444876" cy="845873"/>
      </dsp:txXfrm>
    </dsp:sp>
    <dsp:sp modelId="{7BA844B7-26FE-8844-AF13-5EA91D158ED4}">
      <dsp:nvSpPr>
        <dsp:cNvPr id="0" name=""/>
        <dsp:cNvSpPr/>
      </dsp:nvSpPr>
      <dsp:spPr>
        <a:xfrm rot="5391639">
          <a:off x="-260692" y="1857342"/>
          <a:ext cx="1132976"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AA1B4A0-A273-2143-9705-71045A282BE6}">
      <dsp:nvSpPr>
        <dsp:cNvPr id="0" name=""/>
        <dsp:cNvSpPr/>
      </dsp:nvSpPr>
      <dsp:spPr>
        <a:xfrm>
          <a:off x="3" y="1131279"/>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Finalize target medication list (August 1st, 2021)</a:t>
          </a:r>
        </a:p>
      </dsp:txBody>
      <dsp:txXfrm>
        <a:off x="26319" y="1157595"/>
        <a:ext cx="1444876" cy="845873"/>
      </dsp:txXfrm>
    </dsp:sp>
    <dsp:sp modelId="{4832751B-9089-7044-B93E-10FA1560AE1D}">
      <dsp:nvSpPr>
        <dsp:cNvPr id="0" name=""/>
        <dsp:cNvSpPr/>
      </dsp:nvSpPr>
      <dsp:spPr>
        <a:xfrm>
          <a:off x="312087" y="2428742"/>
          <a:ext cx="1981860"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A336A5C-6685-1D4B-A352-658F5B8A1697}">
      <dsp:nvSpPr>
        <dsp:cNvPr id="0" name=""/>
        <dsp:cNvSpPr/>
      </dsp:nvSpPr>
      <dsp:spPr>
        <a:xfrm>
          <a:off x="2759" y="2274078"/>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Create quick-reference guide (Aug-Sept, 2021)</a:t>
          </a:r>
        </a:p>
      </dsp:txBody>
      <dsp:txXfrm>
        <a:off x="29075" y="2300394"/>
        <a:ext cx="1444876" cy="845873"/>
      </dsp:txXfrm>
    </dsp:sp>
    <dsp:sp modelId="{59887B25-7E70-5D49-B1A3-AB301CD7E277}">
      <dsp:nvSpPr>
        <dsp:cNvPr id="0" name=""/>
        <dsp:cNvSpPr/>
      </dsp:nvSpPr>
      <dsp:spPr>
        <a:xfrm rot="16200000">
          <a:off x="1742207" y="1867177"/>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E0B5348-4050-F14B-B8CD-AD208D5AE9DC}">
      <dsp:nvSpPr>
        <dsp:cNvPr id="0" name=""/>
        <dsp:cNvSpPr/>
      </dsp:nvSpPr>
      <dsp:spPr>
        <a:xfrm>
          <a:off x="1994445" y="2274078"/>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en-US" sz="1300" kern="1200">
              <a:latin typeface="Times New Roman" panose="02020603050405020304" pitchFamily="18" charset="0"/>
              <a:cs typeface="Times New Roman" panose="02020603050405020304" pitchFamily="18" charset="0"/>
            </a:rPr>
            <a:t>Educate all nursing staff on project implementation (</a:t>
          </a:r>
          <a:r>
            <a:rPr lang="en-US" sz="1200" kern="1200">
              <a:latin typeface="Times New Roman" panose="02020603050405020304" pitchFamily="18" charset="0"/>
              <a:cs typeface="Times New Roman" panose="02020603050405020304" pitchFamily="18" charset="0"/>
            </a:rPr>
            <a:t>September 17,</a:t>
          </a:r>
          <a:r>
            <a:rPr lang="en-US" sz="1300" kern="1200">
              <a:latin typeface="Times New Roman" panose="02020603050405020304" pitchFamily="18" charset="0"/>
              <a:cs typeface="Times New Roman" panose="02020603050405020304" pitchFamily="18" charset="0"/>
            </a:rPr>
            <a:t> 2021)</a:t>
          </a:r>
        </a:p>
      </dsp:txBody>
      <dsp:txXfrm>
        <a:off x="2020761" y="2300394"/>
        <a:ext cx="1444876" cy="845873"/>
      </dsp:txXfrm>
    </dsp:sp>
    <dsp:sp modelId="{3470555E-55C7-DC4B-AF61-9B7DDB9299E0}">
      <dsp:nvSpPr>
        <dsp:cNvPr id="0" name=""/>
        <dsp:cNvSpPr/>
      </dsp:nvSpPr>
      <dsp:spPr>
        <a:xfrm rot="16200000">
          <a:off x="1742207" y="744045"/>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5FF15FE-0620-A34D-8D59-5B6B6110077E}">
      <dsp:nvSpPr>
        <dsp:cNvPr id="0" name=""/>
        <dsp:cNvSpPr/>
      </dsp:nvSpPr>
      <dsp:spPr>
        <a:xfrm>
          <a:off x="1994445" y="1150947"/>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Distribute quick-reference tools to nursing staff and providers (September 17, 2021)</a:t>
          </a:r>
        </a:p>
      </dsp:txBody>
      <dsp:txXfrm>
        <a:off x="2020761" y="1177263"/>
        <a:ext cx="1444876" cy="845873"/>
      </dsp:txXfrm>
    </dsp:sp>
    <dsp:sp modelId="{17EB4369-367F-3F4A-A28B-340EBC735AE7}">
      <dsp:nvSpPr>
        <dsp:cNvPr id="0" name=""/>
        <dsp:cNvSpPr/>
      </dsp:nvSpPr>
      <dsp:spPr>
        <a:xfrm>
          <a:off x="2303773" y="182479"/>
          <a:ext cx="1981860"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FAE6B19-9C43-A845-86D8-B28B2BB5420C}">
      <dsp:nvSpPr>
        <dsp:cNvPr id="0" name=""/>
        <dsp:cNvSpPr/>
      </dsp:nvSpPr>
      <dsp:spPr>
        <a:xfrm>
          <a:off x="1994445" y="27815"/>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Post-intervention data collection (Oct-Dec, 2021)</a:t>
          </a:r>
        </a:p>
      </dsp:txBody>
      <dsp:txXfrm>
        <a:off x="2020761" y="54131"/>
        <a:ext cx="1444876" cy="845873"/>
      </dsp:txXfrm>
    </dsp:sp>
    <dsp:sp modelId="{700F6FD1-2DBA-1E41-BE1D-BBE3A5A853DE}">
      <dsp:nvSpPr>
        <dsp:cNvPr id="0" name=""/>
        <dsp:cNvSpPr/>
      </dsp:nvSpPr>
      <dsp:spPr>
        <a:xfrm>
          <a:off x="3986132" y="27815"/>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Data analysis and dissemination (Jan-April, 2022)</a:t>
          </a:r>
        </a:p>
      </dsp:txBody>
      <dsp:txXfrm>
        <a:off x="4012448" y="54131"/>
        <a:ext cx="1444876" cy="84587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0.54134</cdr:x>
      <cdr:y>0.30458</cdr:y>
    </cdr:from>
    <cdr:to>
      <cdr:x>0.58019</cdr:x>
      <cdr:y>0.6582</cdr:y>
    </cdr:to>
    <cdr:cxnSp macro="">
      <cdr:nvCxnSpPr>
        <cdr:cNvPr id="2" name="Straight Arrow Connector 1"/>
        <cdr:cNvCxnSpPr/>
      </cdr:nvCxnSpPr>
      <cdr:spPr>
        <a:xfrm xmlns:a="http://schemas.openxmlformats.org/drawingml/2006/main" flipH="1">
          <a:off x="2969994" y="974784"/>
          <a:ext cx="213152" cy="1131725"/>
        </a:xfrm>
        <a:prstGeom xmlns:a="http://schemas.openxmlformats.org/drawingml/2006/main" prst="straightConnector1">
          <a:avLst/>
        </a:prstGeom>
        <a:ln xmlns:a="http://schemas.openxmlformats.org/drawingml/2006/main">
          <a:solidFill>
            <a:schemeClr val="tx1">
              <a:lumMod val="50000"/>
              <a:lumOff val="50000"/>
            </a:schemeClr>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0.4402</cdr:x>
      <cdr:y>0.15694</cdr:y>
    </cdr:from>
    <cdr:to>
      <cdr:x>0.74112</cdr:x>
      <cdr:y>0.31567</cdr:y>
    </cdr:to>
    <cdr:sp macro="" textlink="">
      <cdr:nvSpPr>
        <cdr:cNvPr id="4" name="TextBox 13"/>
        <cdr:cNvSpPr txBox="1"/>
      </cdr:nvSpPr>
      <cdr:spPr>
        <a:xfrm xmlns:a="http://schemas.openxmlformats.org/drawingml/2006/main">
          <a:off x="2415138" y="502284"/>
          <a:ext cx="1650967" cy="5080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n-US" sz="1100">
              <a:solidFill>
                <a:schemeClr val="bg1">
                  <a:lumMod val="50000"/>
                </a:schemeClr>
              </a:solidFill>
              <a:latin typeface="Times New Roman" panose="02020603050405020304" pitchFamily="18" charset="0"/>
              <a:cs typeface="Times New Roman" panose="02020603050405020304" pitchFamily="18" charset="0"/>
            </a:rPr>
            <a:t>Research</a:t>
          </a:r>
          <a:r>
            <a:rPr lang="en-US" sz="1100" baseline="0">
              <a:solidFill>
                <a:schemeClr val="bg1">
                  <a:lumMod val="50000"/>
                </a:schemeClr>
              </a:solidFill>
              <a:latin typeface="Times New Roman" panose="02020603050405020304" pitchFamily="18" charset="0"/>
              <a:cs typeface="Times New Roman" panose="02020603050405020304" pitchFamily="18" charset="0"/>
            </a:rPr>
            <a:t> and Project Implementation</a:t>
          </a:r>
          <a:endParaRPr lang="en-US" sz="1100">
            <a:solidFill>
              <a:schemeClr val="bg1">
                <a:lumMod val="50000"/>
              </a:schemeClr>
            </a:solidFill>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A87F8F-6E0D-4845-A882-B447C373F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185</TotalTime>
  <Pages>55</Pages>
  <Words>11386</Words>
  <Characters>64904</Characters>
  <Application>Microsoft Office Word</Application>
  <DocSecurity>0</DocSecurity>
  <Lines>540</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Sabol, Brittney Marie</dc:creator>
  <cp:keywords/>
  <dc:description/>
  <cp:lastModifiedBy>Sabol, Brittney Marie</cp:lastModifiedBy>
  <cp:revision>12</cp:revision>
  <cp:lastPrinted>2021-06-18T16:48:00Z</cp:lastPrinted>
  <dcterms:created xsi:type="dcterms:W3CDTF">2022-04-19T11:17:00Z</dcterms:created>
  <dcterms:modified xsi:type="dcterms:W3CDTF">2022-04-21T13:46:00Z</dcterms:modified>
</cp:coreProperties>
</file>