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3D7443" w14:textId="1BED9BFB" w:rsidR="003E6C27" w:rsidRPr="003E6C27" w:rsidRDefault="003E6C27" w:rsidP="00B56060">
      <w:pPr>
        <w:autoSpaceDE w:val="0"/>
        <w:autoSpaceDN w:val="0"/>
        <w:adjustRightInd w:val="0"/>
        <w:spacing w:after="0" w:line="480" w:lineRule="auto"/>
        <w:rPr>
          <w:rFonts w:cs="Cambria"/>
        </w:rPr>
      </w:pPr>
      <w:r w:rsidRPr="003E6C27">
        <w:rPr>
          <w:rFonts w:cs="Cambria"/>
          <w:b/>
        </w:rPr>
        <w:t>Abstract</w:t>
      </w:r>
      <w:r>
        <w:rPr>
          <w:rFonts w:cs="Cambria"/>
        </w:rPr>
        <w:t>:</w:t>
      </w:r>
    </w:p>
    <w:p w14:paraId="0EF06EA0" w14:textId="3282DC8B" w:rsidR="003E6C27" w:rsidRPr="003E6C27" w:rsidRDefault="003E6C27" w:rsidP="00B56060">
      <w:pPr>
        <w:autoSpaceDE w:val="0"/>
        <w:autoSpaceDN w:val="0"/>
        <w:adjustRightInd w:val="0"/>
        <w:spacing w:after="0" w:line="480" w:lineRule="auto"/>
        <w:rPr>
          <w:rFonts w:cs="Cambria"/>
        </w:rPr>
      </w:pPr>
      <w:r w:rsidRPr="003E6C27">
        <w:rPr>
          <w:rFonts w:cs="Cambria"/>
        </w:rPr>
        <w:t xml:space="preserve">The traditional work-instance model differentiates between the intellectual content of a work and the semantic content of its material instantiations. Most scholarship on musical works has concentrated on classical music within the Western canon, and little attention has been paid to other genres of music. This article </w:t>
      </w:r>
      <w:r w:rsidR="0049768F">
        <w:rPr>
          <w:rFonts w:cs="Cambria"/>
        </w:rPr>
        <w:t xml:space="preserve">explores what would constitute an effective work-instance model </w:t>
      </w:r>
      <w:r w:rsidR="00D033A8">
        <w:rPr>
          <w:rFonts w:cs="Cambria"/>
        </w:rPr>
        <w:t>applicable to</w:t>
      </w:r>
      <w:r w:rsidR="0049768F">
        <w:rPr>
          <w:rFonts w:cs="Cambria"/>
        </w:rPr>
        <w:t xml:space="preserve"> sound recordings of non-classical music</w:t>
      </w:r>
      <w:r w:rsidR="000848C9">
        <w:rPr>
          <w:rFonts w:cs="Cambria"/>
        </w:rPr>
        <w:t xml:space="preserve">, </w:t>
      </w:r>
      <w:r w:rsidRPr="003E6C27">
        <w:rPr>
          <w:rFonts w:cs="Cambria"/>
        </w:rPr>
        <w:t>examines the shortcomings of the</w:t>
      </w:r>
      <w:r w:rsidR="0049768F">
        <w:rPr>
          <w:rFonts w:cs="Cambria"/>
        </w:rPr>
        <w:t xml:space="preserve"> standard</w:t>
      </w:r>
      <w:r w:rsidRPr="003E6C27">
        <w:rPr>
          <w:rFonts w:cs="Cambria"/>
        </w:rPr>
        <w:t xml:space="preserve"> work-instance model</w:t>
      </w:r>
      <w:r w:rsidR="002C02CA">
        <w:rPr>
          <w:rFonts w:cs="Cambria"/>
        </w:rPr>
        <w:t xml:space="preserve">, and offers </w:t>
      </w:r>
      <w:r w:rsidRPr="003E6C27">
        <w:rPr>
          <w:rFonts w:cs="Cambria"/>
        </w:rPr>
        <w:t>new p</w:t>
      </w:r>
      <w:r w:rsidR="00597850">
        <w:rPr>
          <w:rFonts w:cs="Cambria"/>
        </w:rPr>
        <w:t>erspectives on the idea of the musical work</w:t>
      </w:r>
      <w:r w:rsidRPr="003E6C27">
        <w:rPr>
          <w:rFonts w:cs="Cambria"/>
        </w:rPr>
        <w:t xml:space="preserve"> by integrating the views of </w:t>
      </w:r>
      <w:bookmarkStart w:id="0" w:name="_GoBack"/>
      <w:bookmarkEnd w:id="0"/>
      <w:r w:rsidRPr="003E6C27">
        <w:rPr>
          <w:rFonts w:cs="Cambria"/>
        </w:rPr>
        <w:t>philosophers and musicologists, suggesting a</w:t>
      </w:r>
      <w:r w:rsidR="00597850">
        <w:rPr>
          <w:rFonts w:cs="Cambria"/>
        </w:rPr>
        <w:t>n</w:t>
      </w:r>
      <w:r w:rsidRPr="003E6C27">
        <w:rPr>
          <w:rFonts w:cs="Cambria"/>
        </w:rPr>
        <w:t xml:space="preserve"> </w:t>
      </w:r>
      <w:r w:rsidR="00597850">
        <w:rPr>
          <w:rFonts w:cs="Cambria"/>
        </w:rPr>
        <w:t>interdisciplinary</w:t>
      </w:r>
      <w:r w:rsidRPr="003E6C27">
        <w:rPr>
          <w:rFonts w:cs="Cambria"/>
        </w:rPr>
        <w:t xml:space="preserve"> approach to the knowledge organization of musical works. </w:t>
      </w:r>
    </w:p>
    <w:p w14:paraId="38D0A5D9" w14:textId="77777777" w:rsidR="003E6C27" w:rsidRPr="003E6C27" w:rsidRDefault="003E6C27" w:rsidP="00B56060">
      <w:pPr>
        <w:autoSpaceDE w:val="0"/>
        <w:autoSpaceDN w:val="0"/>
        <w:adjustRightInd w:val="0"/>
        <w:spacing w:after="0" w:line="480" w:lineRule="auto"/>
        <w:rPr>
          <w:rFonts w:cs="Cambria"/>
        </w:rPr>
      </w:pPr>
      <w:r w:rsidRPr="003E6C27">
        <w:rPr>
          <w:rFonts w:cs="Cambria"/>
          <w:b/>
        </w:rPr>
        <w:t>Keywords</w:t>
      </w:r>
      <w:r w:rsidRPr="003E6C27">
        <w:rPr>
          <w:rFonts w:cs="Cambria"/>
        </w:rPr>
        <w:t>: musical works, music cataloging, sound recordings</w:t>
      </w:r>
    </w:p>
    <w:p w14:paraId="667E8EE9" w14:textId="77777777" w:rsidR="003E6C27" w:rsidRDefault="003E6C27" w:rsidP="00B56060"/>
    <w:p w14:paraId="4C7F45CC" w14:textId="6E8B7118" w:rsidR="00AD5702" w:rsidRPr="000D05F4" w:rsidRDefault="000D05F4" w:rsidP="00B56060">
      <w:r>
        <w:rPr>
          <w:b/>
        </w:rPr>
        <w:t xml:space="preserve">Title: </w:t>
      </w:r>
      <w:r w:rsidR="005840C1" w:rsidRPr="000D05F4">
        <w:t>The Definition of the</w:t>
      </w:r>
      <w:r w:rsidR="005C6C90" w:rsidRPr="000D05F4">
        <w:t xml:space="preserve"> Work</w:t>
      </w:r>
      <w:r w:rsidR="009D3BE7" w:rsidRPr="000D05F4">
        <w:t xml:space="preserve"> Entity for Pieces of Recorded Sound</w:t>
      </w:r>
    </w:p>
    <w:p w14:paraId="0535730D" w14:textId="5CFC5207" w:rsidR="000D05F4" w:rsidRDefault="000D05F4" w:rsidP="00B56060">
      <w:r>
        <w:rPr>
          <w:b/>
        </w:rPr>
        <w:t xml:space="preserve">Shortened Title: </w:t>
      </w:r>
      <w:r w:rsidR="00B80693">
        <w:t>Work Entity for Pieces of Recorded Sound</w:t>
      </w:r>
    </w:p>
    <w:p w14:paraId="56E3D120" w14:textId="77777777" w:rsidR="00B80693" w:rsidRPr="000D05F4" w:rsidRDefault="00B80693" w:rsidP="00B56060"/>
    <w:p w14:paraId="49A5760E" w14:textId="77777777" w:rsidR="009D3BE7" w:rsidRDefault="009D3BE7" w:rsidP="00B56060">
      <w:pPr>
        <w:rPr>
          <w:b/>
        </w:rPr>
      </w:pPr>
      <w:r>
        <w:rPr>
          <w:b/>
        </w:rPr>
        <w:t>Introduction</w:t>
      </w:r>
    </w:p>
    <w:p w14:paraId="6BAED3D8" w14:textId="5A3DC909" w:rsidR="009D3BE7" w:rsidRDefault="009D3BE7" w:rsidP="00B56060">
      <w:pPr>
        <w:spacing w:after="0" w:line="480" w:lineRule="auto"/>
      </w:pPr>
      <w:r>
        <w:rPr>
          <w:b/>
        </w:rPr>
        <w:tab/>
      </w:r>
      <w:r>
        <w:t xml:space="preserve">The concept of the “work” in library literature can be traced back to perennial cataloging figures </w:t>
      </w:r>
      <w:r w:rsidR="00AC7BEE">
        <w:t xml:space="preserve">such </w:t>
      </w:r>
      <w:r>
        <w:t xml:space="preserve">as Anthony Panizzi, and finds modern identification in Seymour Lubetzky’s 1969 report on the principles of cataloging. Here, Lubetzky </w:t>
      </w:r>
      <w:r w:rsidR="00B43972">
        <w:t>elucidates</w:t>
      </w:r>
      <w:r>
        <w:t xml:space="preserve"> his</w:t>
      </w:r>
      <w:r w:rsidR="00AC7BEE">
        <w:t xml:space="preserve"> second function of the catalog:</w:t>
      </w:r>
      <w:r>
        <w:t xml:space="preserve"> “to reveal to the catalog user what other editions, translations, or representations the library has of the work, and what works it has of the author.</w:t>
      </w:r>
      <w:r w:rsidR="008F4129">
        <w:t>”</w:t>
      </w:r>
      <w:r w:rsidR="005840C1">
        <w:rPr>
          <w:rStyle w:val="EndnoteReference"/>
        </w:rPr>
        <w:endnoteReference w:id="1"/>
      </w:r>
      <w:r w:rsidR="005840C1">
        <w:t xml:space="preserve"> </w:t>
      </w:r>
      <w:r w:rsidR="008F4129">
        <w:t>This principle of collocation is a crucial on</w:t>
      </w:r>
      <w:r w:rsidR="002D0183">
        <w:t xml:space="preserve">e in </w:t>
      </w:r>
      <w:r w:rsidR="005A43DC">
        <w:t>modern library literature. The work-instance</w:t>
      </w:r>
      <w:r w:rsidR="002D0183">
        <w:t xml:space="preserve"> model, in which </w:t>
      </w:r>
      <w:r w:rsidR="00D00EEF">
        <w:t>an</w:t>
      </w:r>
      <w:r w:rsidR="002D0183">
        <w:t xml:space="preserve"> abstract</w:t>
      </w:r>
      <w:r w:rsidR="00D00EEF">
        <w:t xml:space="preserve"> intellectual</w:t>
      </w:r>
      <w:r w:rsidR="002D0183">
        <w:t xml:space="preserve"> work is instantiated in multiple material </w:t>
      </w:r>
      <w:r w:rsidR="00C82404">
        <w:t>“editions, translations, or representations</w:t>
      </w:r>
      <w:r w:rsidR="002D0183">
        <w:t>,</w:t>
      </w:r>
      <w:r w:rsidR="00C82404">
        <w:t>”</w:t>
      </w:r>
      <w:r w:rsidR="002D0183">
        <w:t xml:space="preserve"> is the foundation for the past</w:t>
      </w:r>
      <w:r w:rsidR="00C01792">
        <w:t xml:space="preserve"> forty-five years of cataloging theory.</w:t>
      </w:r>
    </w:p>
    <w:p w14:paraId="2D0200BA" w14:textId="6D446997" w:rsidR="008F4129" w:rsidRDefault="008F4129" w:rsidP="00B56060">
      <w:pPr>
        <w:spacing w:after="0" w:line="480" w:lineRule="auto"/>
      </w:pPr>
      <w:r>
        <w:tab/>
        <w:t>Yet the “work” in librarianship rema</w:t>
      </w:r>
      <w:r w:rsidR="006B3D34">
        <w:t xml:space="preserve">ins an elusive concept. </w:t>
      </w:r>
      <w:r w:rsidR="00AC7BEE">
        <w:t xml:space="preserve">Elaine </w:t>
      </w:r>
      <w:r w:rsidR="006B3D34">
        <w:t>Svenoni</w:t>
      </w:r>
      <w:r>
        <w:t>us states that it “has never been satisfactorily defined.”</w:t>
      </w:r>
      <w:r w:rsidR="005840C1">
        <w:rPr>
          <w:rStyle w:val="EndnoteReference"/>
        </w:rPr>
        <w:endnoteReference w:id="2"/>
      </w:r>
      <w:r w:rsidR="005840C1">
        <w:t xml:space="preserve"> This is doubly true for non-textual items, as she goes on to explain: </w:t>
      </w:r>
      <w:r w:rsidR="005840C1">
        <w:lastRenderedPageBreak/>
        <w:t>“The difficulty of interpreting these concepts for nonbook materials is the kind that strikes at ontological commitment and shakes theoretical foundations.”</w:t>
      </w:r>
      <w:r w:rsidR="005840C1">
        <w:rPr>
          <w:rStyle w:val="EndnoteReference"/>
        </w:rPr>
        <w:endnoteReference w:id="3"/>
      </w:r>
      <w:r w:rsidR="005840C1">
        <w:t xml:space="preserve"> </w:t>
      </w:r>
      <w:r>
        <w:t>Perhaps, then, it is unsurprising that</w:t>
      </w:r>
      <w:r w:rsidR="00AC7BEE">
        <w:t xml:space="preserve"> most of the literature on the “work”</w:t>
      </w:r>
      <w:r>
        <w:t xml:space="preserve"> has focused on textual resources. </w:t>
      </w:r>
    </w:p>
    <w:p w14:paraId="40E2B1C4" w14:textId="0F8EC2AC" w:rsidR="008F4129" w:rsidRDefault="008F4129" w:rsidP="00B56060">
      <w:pPr>
        <w:spacing w:after="0" w:line="480" w:lineRule="auto"/>
      </w:pPr>
      <w:r>
        <w:tab/>
        <w:t xml:space="preserve">However, the concept of the </w:t>
      </w:r>
      <w:r w:rsidR="009E6D49">
        <w:t>work</w:t>
      </w:r>
      <w:r>
        <w:t xml:space="preserve"> is of particular interest to the music cataloging community. Due to the myriad of </w:t>
      </w:r>
      <w:r w:rsidR="002C4D18">
        <w:t>formats</w:t>
      </w:r>
      <w:r>
        <w:t xml:space="preserve"> in which music is </w:t>
      </w:r>
      <w:r w:rsidR="002C4D18">
        <w:t>published</w:t>
      </w:r>
      <w:r>
        <w:t xml:space="preserve">, it is not unusual for even a small library to </w:t>
      </w:r>
      <w:r w:rsidR="00C82404">
        <w:t>own several different material instantiations of the same musical work.</w:t>
      </w:r>
      <w:r w:rsidR="002C4D18">
        <w:t xml:space="preserve"> Additionally, b</w:t>
      </w:r>
      <w:r w:rsidR="00B43972">
        <w:t>ecause</w:t>
      </w:r>
      <w:r>
        <w:t xml:space="preserve"> of the research benefit of listening to </w:t>
      </w:r>
      <w:r w:rsidR="005A43DC">
        <w:t>multiple</w:t>
      </w:r>
      <w:r>
        <w:t xml:space="preserve"> interpretations of the same </w:t>
      </w:r>
      <w:r w:rsidR="00C82404">
        <w:t>piece of music</w:t>
      </w:r>
      <w:r>
        <w:t xml:space="preserve">, libraries are likely to collect recordings of the same </w:t>
      </w:r>
      <w:r w:rsidR="00AC7BEE">
        <w:t>composition</w:t>
      </w:r>
      <w:r>
        <w:t xml:space="preserve"> by different performers</w:t>
      </w:r>
      <w:r w:rsidR="00AC7BEE">
        <w:t>, and these may be issued in a variety of audio formats</w:t>
      </w:r>
      <w:r>
        <w:t xml:space="preserve">. </w:t>
      </w:r>
    </w:p>
    <w:p w14:paraId="1D037478" w14:textId="15607F4E" w:rsidR="005840C1" w:rsidRDefault="005840C1" w:rsidP="00B56060">
      <w:pPr>
        <w:spacing w:after="0" w:line="480" w:lineRule="auto"/>
      </w:pPr>
      <w:r>
        <w:tab/>
        <w:t xml:space="preserve">To further complicate matters, much of the literature on music cataloging focuses solely on the established canon of Western classical music. However, the field of academic musicology has widened to </w:t>
      </w:r>
      <w:r w:rsidR="00AE2C42">
        <w:t>recognize folk, rock, jazz, hip-</w:t>
      </w:r>
      <w:r>
        <w:t xml:space="preserve">hop, and electronica as valid genres of academic study. A quick glance at the most recent edition of the </w:t>
      </w:r>
      <w:r w:rsidR="00870E05">
        <w:t>Music</w:t>
      </w:r>
      <w:r>
        <w:t xml:space="preserve"> Library Association’s </w:t>
      </w:r>
      <w:r>
        <w:rPr>
          <w:i/>
        </w:rPr>
        <w:t>A Basic Music Library</w:t>
      </w:r>
      <w:r>
        <w:t xml:space="preserve"> reveals a substantial number of recommended pieces of music that fall outside the classical canon.</w:t>
      </w:r>
      <w:r>
        <w:rPr>
          <w:rStyle w:val="EndnoteReference"/>
        </w:rPr>
        <w:endnoteReference w:id="4"/>
      </w:r>
    </w:p>
    <w:p w14:paraId="2897EDF8" w14:textId="040CD60D" w:rsidR="00B43972" w:rsidRDefault="005840C1" w:rsidP="00B56060">
      <w:pPr>
        <w:spacing w:after="0" w:line="480" w:lineRule="auto"/>
      </w:pPr>
      <w:r>
        <w:tab/>
        <w:t xml:space="preserve">Classical music as a medium has traditionally found expression in either a notated score or a live performance. This is not necessarily true for </w:t>
      </w:r>
      <w:r w:rsidR="005A43DC">
        <w:t>twentieth</w:t>
      </w:r>
      <w:r>
        <w:t xml:space="preserve"> and </w:t>
      </w:r>
      <w:r w:rsidR="005A43DC">
        <w:t>twenty-first</w:t>
      </w:r>
      <w:r>
        <w:t xml:space="preserve"> century popular music, many pieces of which have become well-known through the widespread distribution of sound recordings. Arved Ashby has posited that the ontology of Western classical music, which values the textual authority of the written musical manuscript, has been replaced by a “popular music” model that elevates the sound recording as </w:t>
      </w:r>
      <w:r w:rsidRPr="000E5D5E">
        <w:t>urtext</w:t>
      </w:r>
      <w:r>
        <w:t>.</w:t>
      </w:r>
      <w:r>
        <w:rPr>
          <w:rStyle w:val="EndnoteReference"/>
        </w:rPr>
        <w:endnoteReference w:id="5"/>
      </w:r>
      <w:r>
        <w:t xml:space="preserve"> </w:t>
      </w:r>
      <w:r w:rsidR="00B43972">
        <w:t xml:space="preserve">The multiplicity of remixes, remasters, covers, samplings, and other forms of recorded sound represent bibliographic relationships that should </w:t>
      </w:r>
      <w:r w:rsidR="00CD6EC2">
        <w:t>be taken</w:t>
      </w:r>
      <w:r w:rsidR="00C82404">
        <w:t xml:space="preserve"> into account in the modern information environment.</w:t>
      </w:r>
      <w:r w:rsidR="00B43972">
        <w:t xml:space="preserve"> </w:t>
      </w:r>
    </w:p>
    <w:p w14:paraId="67911CC8" w14:textId="5AB6E13F" w:rsidR="00FB4F44" w:rsidRDefault="00FB4F44" w:rsidP="00B56060">
      <w:pPr>
        <w:spacing w:after="0" w:line="480" w:lineRule="auto"/>
      </w:pPr>
      <w:r>
        <w:tab/>
        <w:t xml:space="preserve">This paper will address </w:t>
      </w:r>
      <w:r w:rsidR="0049768F">
        <w:t>how to define an effective work-instance model</w:t>
      </w:r>
      <w:r>
        <w:t xml:space="preserve"> </w:t>
      </w:r>
      <w:r w:rsidR="0049768F">
        <w:t xml:space="preserve">that takes the </w:t>
      </w:r>
      <w:r>
        <w:t xml:space="preserve">paradigm of recorded </w:t>
      </w:r>
      <w:r w:rsidR="00CD6EC2">
        <w:t xml:space="preserve">popular </w:t>
      </w:r>
      <w:r w:rsidR="002D0183">
        <w:t xml:space="preserve">music </w:t>
      </w:r>
      <w:r w:rsidR="0049768F">
        <w:t>into account</w:t>
      </w:r>
      <w:r>
        <w:t xml:space="preserve"> While little has been written within the field of library and </w:t>
      </w:r>
      <w:r>
        <w:lastRenderedPageBreak/>
        <w:t>information science on the phenomena of works primarily conceived of as recorded sound, several musicologists and philosophers have addressed the issue, and shed light on the various problems that arise</w:t>
      </w:r>
      <w:r w:rsidR="002D0183">
        <w:t xml:space="preserve"> </w:t>
      </w:r>
      <w:r w:rsidR="00C82404">
        <w:t xml:space="preserve">in applying </w:t>
      </w:r>
      <w:r w:rsidR="0049768F">
        <w:t xml:space="preserve">the traditional </w:t>
      </w:r>
      <w:r w:rsidR="00C82404">
        <w:t>work-instance model to sound recordings.</w:t>
      </w:r>
      <w:r w:rsidR="002D0183">
        <w:t xml:space="preserve"> </w:t>
      </w:r>
      <w:r>
        <w:t xml:space="preserve">This interdisciplinary approach to the </w:t>
      </w:r>
      <w:r w:rsidR="00521DDF">
        <w:t>definition</w:t>
      </w:r>
      <w:r w:rsidR="009E6D49">
        <w:t xml:space="preserve"> of a musical work</w:t>
      </w:r>
      <w:r>
        <w:t xml:space="preserve"> may lead to a more thorough conception of how </w:t>
      </w:r>
      <w:r w:rsidR="00101A94">
        <w:t xml:space="preserve">effective </w:t>
      </w:r>
      <w:r>
        <w:t>work</w:t>
      </w:r>
      <w:r w:rsidR="00101A94">
        <w:t>-instance models should define the work entity as applies to music.</w:t>
      </w:r>
    </w:p>
    <w:p w14:paraId="450A0EC1" w14:textId="77777777" w:rsidR="0005640F" w:rsidRDefault="0005640F" w:rsidP="00B56060">
      <w:pPr>
        <w:spacing w:after="0" w:line="480" w:lineRule="auto"/>
        <w:ind w:firstLine="720"/>
      </w:pPr>
    </w:p>
    <w:p w14:paraId="2DE4E3BF" w14:textId="77777777" w:rsidR="0005640F" w:rsidRDefault="0005640F" w:rsidP="00B56060">
      <w:pPr>
        <w:spacing w:after="0" w:line="480" w:lineRule="auto"/>
        <w:rPr>
          <w:b/>
        </w:rPr>
      </w:pPr>
      <w:r>
        <w:rPr>
          <w:b/>
        </w:rPr>
        <w:t>Literature Review</w:t>
      </w:r>
    </w:p>
    <w:p w14:paraId="4101E3DD" w14:textId="6102277B" w:rsidR="0005640F" w:rsidRDefault="009E6D49" w:rsidP="00B56060">
      <w:pPr>
        <w:spacing w:after="0" w:line="480" w:lineRule="auto"/>
        <w:rPr>
          <w:i/>
        </w:rPr>
      </w:pPr>
      <w:r>
        <w:rPr>
          <w:i/>
        </w:rPr>
        <w:t>The Work</w:t>
      </w:r>
      <w:r w:rsidR="0005640F">
        <w:rPr>
          <w:i/>
        </w:rPr>
        <w:t xml:space="preserve"> and Musical Arts</w:t>
      </w:r>
    </w:p>
    <w:p w14:paraId="7562A35A" w14:textId="1F2E2F3B" w:rsidR="005840C1" w:rsidRDefault="002C4D18" w:rsidP="00B56060">
      <w:pPr>
        <w:spacing w:after="0" w:line="480" w:lineRule="auto"/>
      </w:pPr>
      <w:r>
        <w:tab/>
        <w:t xml:space="preserve">In 1961, Lubetzky addressed the issue of works materialized in multiple formats. He writes that the materials of a library are “editions or representations of works of men, not </w:t>
      </w:r>
      <w:r>
        <w:rPr>
          <w:i/>
        </w:rPr>
        <w:t xml:space="preserve">the </w:t>
      </w:r>
      <w:r>
        <w:t>works themselves; and that any given communication or work may be represented in different formats and by different media.”</w:t>
      </w:r>
      <w:r w:rsidR="005840C1">
        <w:rPr>
          <w:rStyle w:val="EndnoteReference"/>
        </w:rPr>
        <w:endnoteReference w:id="6"/>
      </w:r>
      <w:r w:rsidR="005840C1">
        <w:t xml:space="preserve"> This is the </w:t>
      </w:r>
      <w:r w:rsidR="009A4254">
        <w:t>foundation</w:t>
      </w:r>
      <w:r w:rsidR="005840C1">
        <w:t xml:space="preserve"> for nea</w:t>
      </w:r>
      <w:r w:rsidR="009E6D49">
        <w:t>rly every investigation of the work</w:t>
      </w:r>
      <w:r w:rsidR="009A4254">
        <w:t xml:space="preserve"> going forward, and the basis for the widely-accepted notion that a single work may be </w:t>
      </w:r>
      <w:r w:rsidR="00AE2C42">
        <w:t>instantiated</w:t>
      </w:r>
      <w:r w:rsidR="009A4254">
        <w:t xml:space="preserve"> in multiple formats. </w:t>
      </w:r>
    </w:p>
    <w:p w14:paraId="008F6816" w14:textId="255D17D9" w:rsidR="005840C1" w:rsidRDefault="005A43DC" w:rsidP="00B56060">
      <w:pPr>
        <w:spacing w:after="0" w:line="480" w:lineRule="auto"/>
        <w:ind w:firstLine="720"/>
      </w:pPr>
      <w:r>
        <w:t xml:space="preserve">Building on this idea, </w:t>
      </w:r>
      <w:r w:rsidR="005840C1">
        <w:t xml:space="preserve">Donald Krummel makes reference to musical works’ “dichotomy between intellectual content and physical form” and posits that musical works </w:t>
      </w:r>
      <w:r w:rsidR="009A4254">
        <w:t>may</w:t>
      </w:r>
      <w:r w:rsidR="005840C1">
        <w:t xml:space="preserve"> be realized in three different ways</w:t>
      </w:r>
      <w:r w:rsidR="00774B2D">
        <w:t>:</w:t>
      </w:r>
      <w:r w:rsidR="005840C1">
        <w:t xml:space="preserve"> live performance, recorded sound, and published score.</w:t>
      </w:r>
      <w:r w:rsidR="005840C1">
        <w:rPr>
          <w:rStyle w:val="EndnoteReference"/>
        </w:rPr>
        <w:endnoteReference w:id="7"/>
      </w:r>
      <w:r w:rsidR="005840C1">
        <w:t xml:space="preserve"> Drawing on Krummel’s tripartite distinction, Sherry Vellucci points out that the dimension of live performance represents a potentiality present in each published musical object</w:t>
      </w:r>
      <w:r w:rsidR="00C77EB4">
        <w:t>—</w:t>
      </w:r>
      <w:r w:rsidR="005840C1">
        <w:t>every score has the potential to be realized as a live performance.</w:t>
      </w:r>
      <w:r w:rsidR="005840C1">
        <w:rPr>
          <w:rStyle w:val="EndnoteReference"/>
        </w:rPr>
        <w:endnoteReference w:id="8"/>
      </w:r>
    </w:p>
    <w:p w14:paraId="1898BC75" w14:textId="4D8B163E" w:rsidR="00AF7589" w:rsidRDefault="005840C1" w:rsidP="00B56060">
      <w:pPr>
        <w:spacing w:after="0" w:line="480" w:lineRule="auto"/>
      </w:pPr>
      <w:r>
        <w:tab/>
        <w:t xml:space="preserve">Martha Yee outlines </w:t>
      </w:r>
      <w:r w:rsidR="009A4254">
        <w:t>the</w:t>
      </w:r>
      <w:r>
        <w:t xml:space="preserve"> history of considering a </w:t>
      </w:r>
      <w:r>
        <w:rPr>
          <w:i/>
        </w:rPr>
        <w:t>performance</w:t>
      </w:r>
      <w:r>
        <w:t xml:space="preserve"> of a piece of music to be the same work as the published </w:t>
      </w:r>
      <w:r>
        <w:rPr>
          <w:i/>
        </w:rPr>
        <w:t>score</w:t>
      </w:r>
      <w:r>
        <w:t xml:space="preserve"> of the piece, an idea she traces back to Lubetzky.</w:t>
      </w:r>
      <w:r>
        <w:rPr>
          <w:rStyle w:val="EndnoteReference"/>
        </w:rPr>
        <w:endnoteReference w:id="9"/>
      </w:r>
      <w:r>
        <w:t xml:space="preserve"> However, Yee notes that video cataloging does not follow this guideline, and that </w:t>
      </w:r>
      <w:r w:rsidR="00C77EB4">
        <w:t>video recordings</w:t>
      </w:r>
      <w:r>
        <w:t xml:space="preserve"> are largely considered by the cataloging community to </w:t>
      </w:r>
      <w:r w:rsidR="00AE2C42">
        <w:t>represent a</w:t>
      </w:r>
      <w:r>
        <w:t xml:space="preserve"> new work, complete with additional intellectual content. To support this view, she cites C.P. Ravilious’ statement that “a work presented in a new medium…is in </w:t>
      </w:r>
      <w:r>
        <w:lastRenderedPageBreak/>
        <w:t>effect a new work.”</w:t>
      </w:r>
      <w:r>
        <w:rPr>
          <w:rStyle w:val="EndnoteReference"/>
        </w:rPr>
        <w:endnoteReference w:id="10"/>
      </w:r>
      <w:r>
        <w:t xml:space="preserve"> </w:t>
      </w:r>
      <w:r w:rsidR="00AF7589">
        <w:t>This distinction between Lubetzky’s medium-agnostic definition of the work and Ravilious’ assertion that works are inseparable from specific media is crucial</w:t>
      </w:r>
      <w:r w:rsidR="005A43DC">
        <w:t>, and has never fully been resolved.</w:t>
      </w:r>
    </w:p>
    <w:p w14:paraId="36828B47" w14:textId="749CE04C" w:rsidR="005840C1" w:rsidRDefault="00B2395D" w:rsidP="00B56060">
      <w:pPr>
        <w:spacing w:after="0" w:line="480" w:lineRule="auto"/>
        <w:ind w:firstLine="720"/>
      </w:pPr>
      <w:r>
        <w:t>Yee’s article ends by</w:t>
      </w:r>
      <w:r w:rsidR="001D4872">
        <w:t xml:space="preserve"> </w:t>
      </w:r>
      <w:r w:rsidR="002D0183">
        <w:t>positing</w:t>
      </w:r>
      <w:r>
        <w:t xml:space="preserve"> that two items </w:t>
      </w:r>
      <w:r w:rsidR="00434F7C">
        <w:t>would</w:t>
      </w:r>
      <w:r>
        <w:t xml:space="preserve"> </w:t>
      </w:r>
      <w:r>
        <w:rPr>
          <w:i/>
        </w:rPr>
        <w:t>not</w:t>
      </w:r>
      <w:r w:rsidR="00434F7C">
        <w:rPr>
          <w:i/>
        </w:rPr>
        <w:t xml:space="preserve"> </w:t>
      </w:r>
      <w:r w:rsidR="00434F7C">
        <w:t>be</w:t>
      </w:r>
      <w:r w:rsidR="006F2A67">
        <w:t xml:space="preserve"> instantiations of</w:t>
      </w:r>
      <w:r>
        <w:rPr>
          <w:i/>
        </w:rPr>
        <w:t xml:space="preserve"> </w:t>
      </w:r>
      <w:r>
        <w:t>the same work if “the particular way in which the intellectual or artistic activity is expressed has changed in order to adapt it to a new medium of expression</w:t>
      </w:r>
      <w:r w:rsidR="00434F7C">
        <w:t>.</w:t>
      </w:r>
      <w:r>
        <w:t>”</w:t>
      </w:r>
      <w:r w:rsidR="005840C1">
        <w:rPr>
          <w:rStyle w:val="EndnoteReference"/>
        </w:rPr>
        <w:endnoteReference w:id="11"/>
      </w:r>
      <w:r w:rsidR="005840C1">
        <w:t xml:space="preserve"> </w:t>
      </w:r>
      <w:r>
        <w:t xml:space="preserve">However, Yee does not give a firm answer on </w:t>
      </w:r>
      <w:r w:rsidR="00AE2C42">
        <w:t xml:space="preserve">what this means for </w:t>
      </w:r>
      <w:r>
        <w:t xml:space="preserve">musical works, </w:t>
      </w:r>
      <w:r w:rsidR="001D4872">
        <w:t xml:space="preserve">which present their own sets of problems (for example, </w:t>
      </w:r>
      <w:r>
        <w:t>a performance of a published score can hard</w:t>
      </w:r>
      <w:r w:rsidR="001D4872">
        <w:t>ly be considered an “adaptation</w:t>
      </w:r>
      <w:r>
        <w:t>”</w:t>
      </w:r>
      <w:r w:rsidR="00434F7C">
        <w:t xml:space="preserve"> in the same way the novelization of a film is an “adaptation”</w:t>
      </w:r>
      <w:r w:rsidR="001D4872">
        <w:t>).</w:t>
      </w:r>
      <w:r w:rsidR="00434F7C">
        <w:t xml:space="preserve"> Elsewhere, Yee</w:t>
      </w:r>
      <w:r>
        <w:t xml:space="preserve"> elaborates the theoretical considerations of assigning responsibility to musical works with multiple creators, including </w:t>
      </w:r>
      <w:r w:rsidR="009A4254">
        <w:t>live performances</w:t>
      </w:r>
      <w:r w:rsidR="004336B7">
        <w:t xml:space="preserve">, though she </w:t>
      </w:r>
      <w:r w:rsidR="001D4872">
        <w:t xml:space="preserve">again </w:t>
      </w:r>
      <w:r w:rsidR="004336B7">
        <w:t xml:space="preserve">does not reach any </w:t>
      </w:r>
      <w:r w:rsidR="001D4872">
        <w:t>concrete</w:t>
      </w:r>
      <w:r w:rsidR="004336B7">
        <w:t xml:space="preserve"> conclusions</w:t>
      </w:r>
      <w:r>
        <w:t>.</w:t>
      </w:r>
      <w:r w:rsidR="005840C1">
        <w:rPr>
          <w:rStyle w:val="EndnoteReference"/>
        </w:rPr>
        <w:endnoteReference w:id="12"/>
      </w:r>
    </w:p>
    <w:p w14:paraId="4925FFAB" w14:textId="410B6A6F" w:rsidR="005840C1" w:rsidRDefault="005840C1" w:rsidP="00B56060">
      <w:pPr>
        <w:spacing w:after="0" w:line="480" w:lineRule="auto"/>
      </w:pPr>
      <w:r>
        <w:tab/>
        <w:t>David Thomas and Richard Smiraglia discuss the inherent conflict between the “bibliographic realm,” which comprises static physical items, and the “musical realm,” in which works have a momentarily temporal, and ultimately ephemeral, existence.</w:t>
      </w:r>
      <w:r>
        <w:rPr>
          <w:rStyle w:val="EndnoteReference"/>
        </w:rPr>
        <w:endnoteReference w:id="13"/>
      </w:r>
      <w:r>
        <w:t xml:space="preserve"> Though music is fundamentally meant to be heard, the authors claim the “traditional” work ontology sees the musical work as a score, with all other instantiations falling hierarchically beneath it. They dismiss this view as inadequate, and instead champion the model of a “bibliographic family,” in which relationships between scores, recordings, and performances can be mapped horizontally, rather than vertically.</w:t>
      </w:r>
      <w:r>
        <w:rPr>
          <w:rStyle w:val="EndnoteReference"/>
        </w:rPr>
        <w:endnoteReference w:id="14"/>
      </w:r>
      <w:r>
        <w:t xml:space="preserve"> They claim that there is no one singular </w:t>
      </w:r>
      <w:r w:rsidRPr="000E5D5E">
        <w:t>urtext</w:t>
      </w:r>
      <w:r>
        <w:t xml:space="preserve"> or exemplar of the work.</w:t>
      </w:r>
    </w:p>
    <w:p w14:paraId="51CE0F3F" w14:textId="1898BE05" w:rsidR="00E87B65" w:rsidRDefault="005840C1" w:rsidP="00B56060">
      <w:pPr>
        <w:spacing w:after="0" w:line="480" w:lineRule="auto"/>
      </w:pPr>
      <w:r>
        <w:tab/>
        <w:t>Elsewhere, Smiraglia has written extensively on the concept of th</w:t>
      </w:r>
      <w:r w:rsidR="002E7796">
        <w:t>e work.</w:t>
      </w:r>
      <w:r w:rsidR="009E6D49">
        <w:t xml:space="preserve"> In h</w:t>
      </w:r>
      <w:r>
        <w:t xml:space="preserve">is book </w:t>
      </w:r>
      <w:r w:rsidR="009E6D49">
        <w:rPr>
          <w:i/>
        </w:rPr>
        <w:t xml:space="preserve">The Nature of a Work </w:t>
      </w:r>
      <w:r>
        <w:t>he defines the work specifically as “a signifying, concrete set of ideational conceptions that finds realization through semantic or symbolic expression.”</w:t>
      </w:r>
      <w:r>
        <w:rPr>
          <w:rStyle w:val="EndnoteReference"/>
        </w:rPr>
        <w:endnoteReference w:id="15"/>
      </w:r>
      <w:r>
        <w:t xml:space="preserve"> This bipartite distinction between ideational content (abstract ideas and concepts) and semantic content (text, symbols, or sounds) is revisited by Smiraglia in a paper specifically addressing musical works. Here, he defines a musical work </w:t>
      </w:r>
      <w:r>
        <w:lastRenderedPageBreak/>
        <w:t xml:space="preserve">as an “intellectual sonic conception” and stresses that the </w:t>
      </w:r>
      <w:r w:rsidR="009A4254">
        <w:t xml:space="preserve">intellectual </w:t>
      </w:r>
      <w:r>
        <w:t xml:space="preserve">content of a musical work is separate from its </w:t>
      </w:r>
      <w:r w:rsidR="009A4254">
        <w:t xml:space="preserve">material </w:t>
      </w:r>
      <w:r>
        <w:t>instantiation as a recording or performance.</w:t>
      </w:r>
      <w:r>
        <w:rPr>
          <w:rStyle w:val="EndnoteReference"/>
        </w:rPr>
        <w:endnoteReference w:id="16"/>
      </w:r>
      <w:r>
        <w:t xml:space="preserve"> </w:t>
      </w:r>
      <w:r w:rsidR="004336B7">
        <w:t>Smiraglia also emphasizes</w:t>
      </w:r>
      <w:r w:rsidR="00E87B65">
        <w:t xml:space="preserve"> the necessity of distinguishing the characteristics of a performance of a work with the characteristics of a </w:t>
      </w:r>
      <w:r w:rsidR="00E87B65">
        <w:rPr>
          <w:i/>
        </w:rPr>
        <w:t>recording</w:t>
      </w:r>
      <w:r w:rsidR="00E87B65">
        <w:t xml:space="preserve"> of a performance of a work.</w:t>
      </w:r>
      <w:r>
        <w:rPr>
          <w:rStyle w:val="EndnoteReference"/>
        </w:rPr>
        <w:endnoteReference w:id="17"/>
      </w:r>
      <w:r>
        <w:t xml:space="preserve"> </w:t>
      </w:r>
      <w:r w:rsidR="00E87B65">
        <w:t>He points out that a recording of a performance can be seen as an “antecedent work” to the “performance work.”</w:t>
      </w:r>
      <w:r>
        <w:rPr>
          <w:rStyle w:val="EndnoteReference"/>
        </w:rPr>
        <w:endnoteReference w:id="18"/>
      </w:r>
      <w:r>
        <w:t xml:space="preserve"> </w:t>
      </w:r>
      <w:r w:rsidR="00042A58">
        <w:t>This differentiation between a “performance work” and an antecedent “recording work” indi</w:t>
      </w:r>
      <w:r w:rsidR="002E7796">
        <w:t>cates that the definition of a work</w:t>
      </w:r>
      <w:r w:rsidR="00042A58">
        <w:t xml:space="preserve"> may be dependent on the specific medi</w:t>
      </w:r>
      <w:r w:rsidR="001D4872">
        <w:t xml:space="preserve">um in which </w:t>
      </w:r>
      <w:r w:rsidR="00434F7C">
        <w:t>a musical composition</w:t>
      </w:r>
      <w:r w:rsidR="001D4872">
        <w:t xml:space="preserve"> is materialized, which sympathizes with Ravilious’ view</w:t>
      </w:r>
      <w:r w:rsidR="004522FB">
        <w:t>s</w:t>
      </w:r>
      <w:r w:rsidR="001D4872">
        <w:t>.</w:t>
      </w:r>
    </w:p>
    <w:p w14:paraId="692BD2B4" w14:textId="36FEF467" w:rsidR="005840C1" w:rsidRDefault="00E87B65" w:rsidP="00B56060">
      <w:pPr>
        <w:spacing w:after="0" w:line="480" w:lineRule="auto"/>
      </w:pPr>
      <w:r>
        <w:tab/>
      </w:r>
      <w:r w:rsidR="001D4872">
        <w:t xml:space="preserve">Monika </w:t>
      </w:r>
      <w:r>
        <w:t xml:space="preserve">Pietras and </w:t>
      </w:r>
      <w:r w:rsidR="001D4872">
        <w:t xml:space="preserve">Lyn </w:t>
      </w:r>
      <w:r>
        <w:t>Robinson provide background on the definition of a “musical work” as applies to three different spheres</w:t>
      </w:r>
      <w:r w:rsidR="002E7796">
        <w:t>—</w:t>
      </w:r>
      <w:r>
        <w:t>the “conceptual” sphere of musicologists and philosophers, the “editorial” sphere of the publishing industry, and the “bibliographic” sphere of librarians and information specialists. The authors adumbrate some of the unique problems in providing a definition of a “musical work,” and conclude that each school of thought should look outside its own confines to the definitions employed by other communities.</w:t>
      </w:r>
      <w:r w:rsidR="005840C1">
        <w:rPr>
          <w:rStyle w:val="EndnoteReference"/>
        </w:rPr>
        <w:endnoteReference w:id="19"/>
      </w:r>
    </w:p>
    <w:p w14:paraId="513F3608" w14:textId="33F67454" w:rsidR="004336B7" w:rsidRDefault="004336B7" w:rsidP="00B56060">
      <w:pPr>
        <w:spacing w:after="0" w:line="480" w:lineRule="auto"/>
      </w:pPr>
      <w:r>
        <w:tab/>
        <w:t xml:space="preserve">A recurring theme throughout this literature is the difficulty of crafting a definition of a “musical work” that takes into account the multiple dimensions of written notation, live performance, and recorded sound. Many of these writers struggle to fit musical works </w:t>
      </w:r>
      <w:r w:rsidR="00434F7C">
        <w:t>within the standard work-instantiation</w:t>
      </w:r>
      <w:r>
        <w:t xml:space="preserve"> model, suggesting that a </w:t>
      </w:r>
      <w:r w:rsidR="001D4872">
        <w:t xml:space="preserve">more nuanced model is necessary. While many writers attempt to build on Lubetzky’s assertion that the “work” is </w:t>
      </w:r>
      <w:r w:rsidR="00434F7C">
        <w:t>independent of any one specific medium</w:t>
      </w:r>
      <w:r w:rsidR="001D4872">
        <w:t>, the radical difference between a musical score, a musical performance, and a musical recording suggests some s</w:t>
      </w:r>
      <w:r w:rsidR="00434F7C">
        <w:t>ympathy for Ravilious’ theory of medium-specific works.</w:t>
      </w:r>
    </w:p>
    <w:p w14:paraId="0108A74E" w14:textId="77777777" w:rsidR="00423199" w:rsidRDefault="00423199" w:rsidP="00B56060">
      <w:pPr>
        <w:spacing w:after="0" w:line="480" w:lineRule="auto"/>
      </w:pPr>
    </w:p>
    <w:p w14:paraId="4406F902" w14:textId="77777777" w:rsidR="00423199" w:rsidRDefault="00423199" w:rsidP="00B56060">
      <w:pPr>
        <w:spacing w:after="0" w:line="480" w:lineRule="auto"/>
        <w:rPr>
          <w:i/>
        </w:rPr>
      </w:pPr>
      <w:r>
        <w:rPr>
          <w:i/>
        </w:rPr>
        <w:t>FRBR and the canon</w:t>
      </w:r>
    </w:p>
    <w:p w14:paraId="5A8B98DE" w14:textId="13BE7FDB" w:rsidR="005840C1" w:rsidRDefault="00423199" w:rsidP="00B56060">
      <w:pPr>
        <w:spacing w:after="0" w:line="480" w:lineRule="auto"/>
      </w:pPr>
      <w:r>
        <w:lastRenderedPageBreak/>
        <w:tab/>
        <w:t xml:space="preserve">The 1997 release of the International Federation of Library Associations’ report on the Functional Requirements for Bibliographic Records (FRBR) </w:t>
      </w:r>
      <w:r w:rsidR="003D69D9">
        <w:t>codified</w:t>
      </w:r>
      <w:r>
        <w:t xml:space="preserve"> many of the concepts previously discussed in the l</w:t>
      </w:r>
      <w:r w:rsidR="004522FB">
        <w:t>iterature. FRBR proposes a four-</w:t>
      </w:r>
      <w:r>
        <w:t>tier</w:t>
      </w:r>
      <w:r w:rsidR="004522FB">
        <w:t>ed</w:t>
      </w:r>
      <w:r>
        <w:t xml:space="preserve"> hierarchy of entities</w:t>
      </w:r>
      <w:r w:rsidR="002E7796">
        <w:t>—</w:t>
      </w:r>
      <w:r>
        <w:t>work, expression, manifestation, and item (WEMI)</w:t>
      </w:r>
      <w:r w:rsidR="00F50302">
        <w:t>.</w:t>
      </w:r>
      <w:r>
        <w:t xml:space="preserve"> The FRBR report is very specific in some areas, particularly with regards to certain bibliographic relationships, while other entities still retain a vague definition. A work is defined</w:t>
      </w:r>
      <w:r w:rsidR="004336B7">
        <w:t>, rather nebulously,</w:t>
      </w:r>
      <w:r>
        <w:t xml:space="preserve"> as a “distinct intellectual or artistic crea</w:t>
      </w:r>
      <w:r w:rsidR="004336B7">
        <w:t>tion.”</w:t>
      </w:r>
      <w:r w:rsidR="005840C1">
        <w:rPr>
          <w:rStyle w:val="EndnoteReference"/>
        </w:rPr>
        <w:endnoteReference w:id="20"/>
      </w:r>
      <w:r w:rsidR="005840C1">
        <w:t xml:space="preserve"> This vagueness is intentional</w:t>
      </w:r>
      <w:r w:rsidR="002E7796">
        <w:t xml:space="preserve">; </w:t>
      </w:r>
      <w:r w:rsidR="005840C1">
        <w:t xml:space="preserve">the report indicates that separate communities should </w:t>
      </w:r>
      <w:r w:rsidR="002E7796">
        <w:t>each adopt a definition of the “work”</w:t>
      </w:r>
      <w:r w:rsidR="005840C1">
        <w:t xml:space="preserve"> that they are comfortable with, and that bibliographic conventions may differ between cultures. </w:t>
      </w:r>
      <w:r w:rsidR="005840C1" w:rsidRPr="00423199">
        <w:t>Because of the complexity of the musical bibliographic universe, FRBR would appear to be an elegant solution to the problem of mapping this maze of</w:t>
      </w:r>
      <w:r w:rsidR="005840C1">
        <w:t xml:space="preserve"> relationships and derivations, and </w:t>
      </w:r>
      <w:r w:rsidR="005840C1" w:rsidRPr="00423199">
        <w:t>FRBR’s identification of specific entities and relationships has been recognized as an asset to this kind of mapping.</w:t>
      </w:r>
      <w:r w:rsidR="005840C1" w:rsidRPr="00423199">
        <w:rPr>
          <w:rStyle w:val="EndnoteReference"/>
        </w:rPr>
        <w:endnoteReference w:id="21"/>
      </w:r>
      <w:r w:rsidR="005840C1" w:rsidRPr="00423199">
        <w:t xml:space="preserve"> </w:t>
      </w:r>
    </w:p>
    <w:p w14:paraId="38746B78" w14:textId="6F711227" w:rsidR="005840C1" w:rsidRPr="000D2176" w:rsidRDefault="005840C1" w:rsidP="00B56060">
      <w:pPr>
        <w:spacing w:after="0" w:line="480" w:lineRule="auto"/>
        <w:ind w:firstLine="720"/>
      </w:pPr>
      <w:r>
        <w:t>Within FRBR, the distinction between written musical notation and recorded sound is an expression-level element (“form of expression”), rather than a work-level one.</w:t>
      </w:r>
      <w:r>
        <w:rPr>
          <w:rStyle w:val="EndnoteReference"/>
        </w:rPr>
        <w:endnoteReference w:id="22"/>
      </w:r>
      <w:r>
        <w:t xml:space="preserve"> This affirms Lubetzky’s idea that the work is completely abstracted from </w:t>
      </w:r>
      <w:r w:rsidR="00F50302">
        <w:t>any</w:t>
      </w:r>
      <w:r>
        <w:t xml:space="preserve"> medium of instantiation. FRBR cites “musical notation” and “musical sound” as two forms of expression, but, unlike Smiraglia, does not distinguish between a live performance of musical sound and a recording of it.</w:t>
      </w:r>
      <w:r>
        <w:rPr>
          <w:rStyle w:val="EndnoteReference"/>
        </w:rPr>
        <w:endnoteReference w:id="23"/>
      </w:r>
      <w:r>
        <w:t xml:space="preserve"> </w:t>
      </w:r>
      <w:r w:rsidR="00F50302">
        <w:t>Rather,</w:t>
      </w:r>
      <w:r>
        <w:t xml:space="preserve"> FRBR refers to an expression of Lyle Lovett’s album </w:t>
      </w:r>
      <w:r>
        <w:rPr>
          <w:i/>
        </w:rPr>
        <w:t>The Road to Ensen</w:t>
      </w:r>
      <w:r w:rsidR="00FF14D9">
        <w:rPr>
          <w:i/>
        </w:rPr>
        <w:t>a</w:t>
      </w:r>
      <w:r>
        <w:rPr>
          <w:i/>
        </w:rPr>
        <w:t xml:space="preserve">da </w:t>
      </w:r>
      <w:r>
        <w:t>as “the song-writer’s performance recorded for the album,” equating the live performance with the recording.</w:t>
      </w:r>
      <w:r>
        <w:rPr>
          <w:rStyle w:val="EndnoteReference"/>
        </w:rPr>
        <w:endnoteReference w:id="24"/>
      </w:r>
    </w:p>
    <w:p w14:paraId="654BA6DE" w14:textId="514750D9" w:rsidR="00CC1172" w:rsidRDefault="005840C1" w:rsidP="00B56060">
      <w:pPr>
        <w:spacing w:after="0" w:line="480" w:lineRule="auto"/>
        <w:ind w:firstLine="720"/>
      </w:pPr>
      <w:r>
        <w:t>Apart from the aforementioned Lyle Lovett album, all of the musical examples cited in FRBR are pieces of classical music. In many ways, the four-tier</w:t>
      </w:r>
      <w:r w:rsidR="008F448E">
        <w:t>ed</w:t>
      </w:r>
      <w:r>
        <w:t xml:space="preserve"> WEMI hierarchy makes intuitive sense for Western art music. Vellucci provides an excellent distillation of FRBR’s application to classical music, providing detailed entity-relationship diagrams for specific pieces</w:t>
      </w:r>
      <w:r w:rsidR="009C11FB">
        <w:t>,</w:t>
      </w:r>
      <w:r>
        <w:rPr>
          <w:rStyle w:val="EndnoteReference"/>
        </w:rPr>
        <w:endnoteReference w:id="25"/>
      </w:r>
      <w:r>
        <w:t xml:space="preserve"> </w:t>
      </w:r>
      <w:r w:rsidR="009C11FB">
        <w:t xml:space="preserve">while </w:t>
      </w:r>
      <w:r w:rsidR="00572DBC">
        <w:t xml:space="preserve">Le Boeuf examines some of the more complex relationships between </w:t>
      </w:r>
      <w:r w:rsidR="009C11FB">
        <w:t>classical music</w:t>
      </w:r>
      <w:r w:rsidR="00572DBC">
        <w:t xml:space="preserve"> FRBR entities, proposing a “universe of bibliographic relationships” between the large number of instantiations a musical work can embody.</w:t>
      </w:r>
      <w:r w:rsidR="00572DBC">
        <w:rPr>
          <w:rStyle w:val="EndnoteReference"/>
        </w:rPr>
        <w:endnoteReference w:id="26"/>
      </w:r>
      <w:r w:rsidR="00572DBC">
        <w:t xml:space="preserve"> </w:t>
      </w:r>
      <w:r w:rsidR="00434F7C">
        <w:lastRenderedPageBreak/>
        <w:t xml:space="preserve">However, </w:t>
      </w:r>
      <w:r w:rsidR="00CC1172">
        <w:t>FRBR and the literature surrounding it are largely silent on m</w:t>
      </w:r>
      <w:r w:rsidR="00042A58">
        <w:t>usic outside the Western canon, including</w:t>
      </w:r>
      <w:r w:rsidR="00CC1172">
        <w:t xml:space="preserve"> folk songs, non-Wes</w:t>
      </w:r>
      <w:r w:rsidR="008F448E">
        <w:t xml:space="preserve">tern music, and </w:t>
      </w:r>
      <w:r w:rsidR="00B16DED">
        <w:t>popular music</w:t>
      </w:r>
      <w:r w:rsidR="00CC1172">
        <w:t xml:space="preserve">. The application of FRBR to these types of music has received comparatively little attention. </w:t>
      </w:r>
      <w:r w:rsidR="00042A58">
        <w:t xml:space="preserve">Jenn </w:t>
      </w:r>
      <w:r w:rsidR="00CC1172">
        <w:t>Riley writes that the application of FRBR is “less natural</w:t>
      </w:r>
      <w:r w:rsidR="00042A58">
        <w:t>” to non-Western forms of music,</w:t>
      </w:r>
      <w:r>
        <w:rPr>
          <w:rStyle w:val="EndnoteReference"/>
        </w:rPr>
        <w:endnoteReference w:id="27"/>
      </w:r>
      <w:r>
        <w:t xml:space="preserve"> while Raymond S</w:t>
      </w:r>
      <w:r w:rsidR="00FF14D9">
        <w:t>chmidt discusses FRBR as applied</w:t>
      </w:r>
      <w:r>
        <w:t xml:space="preserve"> to jazz improvisations, and makes a case for performers of musical improvisations essentially functioning as composers of new works.</w:t>
      </w:r>
      <w:r>
        <w:rPr>
          <w:rStyle w:val="EndnoteReference"/>
        </w:rPr>
        <w:endnoteReference w:id="28"/>
      </w:r>
      <w:r>
        <w:t xml:space="preserve"> </w:t>
      </w:r>
    </w:p>
    <w:p w14:paraId="224D8F68" w14:textId="37F575DD" w:rsidR="005840C1" w:rsidRDefault="00CC1172" w:rsidP="00B56060">
      <w:pPr>
        <w:spacing w:after="0" w:line="480" w:lineRule="auto"/>
        <w:ind w:firstLine="720"/>
      </w:pPr>
      <w:r>
        <w:t xml:space="preserve">While not specifically citing popular music, other authors have noted that the FRBR model elevates the </w:t>
      </w:r>
      <w:r w:rsidRPr="00F50302">
        <w:t>composer</w:t>
      </w:r>
      <w:r>
        <w:t xml:space="preserve"> of the work over the </w:t>
      </w:r>
      <w:r w:rsidRPr="00F50302">
        <w:t>performer</w:t>
      </w:r>
      <w:r>
        <w:t xml:space="preserve"> of the expression, and this is not always how musical works are perceived. </w:t>
      </w:r>
      <w:r w:rsidR="00042A58">
        <w:t xml:space="preserve">David </w:t>
      </w:r>
      <w:r>
        <w:t xml:space="preserve">Miller and </w:t>
      </w:r>
      <w:r w:rsidR="00042A58">
        <w:t xml:space="preserve">Patrick </w:t>
      </w:r>
      <w:r w:rsidR="00FA1563">
        <w:t xml:space="preserve">Le Boeuf </w:t>
      </w:r>
      <w:r>
        <w:t>discuss FRBR’s application to music, and point out that the performance dimension of musical works has not adequately been tackled by FRBR.</w:t>
      </w:r>
      <w:r w:rsidR="005840C1">
        <w:rPr>
          <w:rStyle w:val="EndnoteReference"/>
        </w:rPr>
        <w:endnoteReference w:id="29"/>
      </w:r>
      <w:r w:rsidR="005840C1">
        <w:t xml:space="preserve"> Kara Van Malssen differentiates between classical music, popular music, and traditional music, and writes that popular music in particular emphasizes the performer, and the definition of a “work” in this context is rather nebulous.</w:t>
      </w:r>
      <w:r w:rsidR="005840C1">
        <w:rPr>
          <w:rStyle w:val="EndnoteReference"/>
        </w:rPr>
        <w:endnoteReference w:id="30"/>
      </w:r>
      <w:r w:rsidR="005840C1">
        <w:t xml:space="preserve"> </w:t>
      </w:r>
    </w:p>
    <w:p w14:paraId="14834CD2" w14:textId="72E97CCB" w:rsidR="00423199" w:rsidRPr="00423199" w:rsidRDefault="005840C1" w:rsidP="00B56060">
      <w:pPr>
        <w:spacing w:after="0" w:line="480" w:lineRule="auto"/>
        <w:ind w:firstLine="720"/>
      </w:pPr>
      <w:r>
        <w:t>Within the landscape of cataloging rules and guidelines, the standards for International Standard Bibliographic Description allow for a performer to be named in the statement of responsibility, while the Resource Description and Access (RDA) guidelines as of 2014 only allow for this if the performer’s role goes beyond “performance, execution, or interpretation.”</w:t>
      </w:r>
      <w:r>
        <w:rPr>
          <w:rStyle w:val="EndnoteReference"/>
        </w:rPr>
        <w:endnoteReference w:id="31"/>
      </w:r>
      <w:r>
        <w:t xml:space="preserve"> However, the Music Library Association’s best practices for cataloging in RDA allows for performers to be named in the statement of responsibility, showing that the musical world may view the creative contributions of performers differently.</w:t>
      </w:r>
      <w:r>
        <w:rPr>
          <w:rStyle w:val="EndnoteReference"/>
        </w:rPr>
        <w:endnoteReference w:id="32"/>
      </w:r>
      <w:r>
        <w:t xml:space="preserve"> Another MLA report also indicates that the musical “attributes users seek do not always align neatly with WEMI levels,”</w:t>
      </w:r>
      <w:r>
        <w:rPr>
          <w:rStyle w:val="EndnoteReference"/>
        </w:rPr>
        <w:endnoteReference w:id="33"/>
      </w:r>
      <w:r>
        <w:t xml:space="preserve"> </w:t>
      </w:r>
      <w:r w:rsidR="00C516F0">
        <w:t xml:space="preserve">again indicating that musical works may be viewed </w:t>
      </w:r>
      <w:r w:rsidR="00631A0C">
        <w:t>differently from the creator/performer distinction advocated by FRBR’s paradigm.</w:t>
      </w:r>
    </w:p>
    <w:p w14:paraId="0C26C512" w14:textId="77777777" w:rsidR="00423199" w:rsidRDefault="00423199" w:rsidP="00B56060">
      <w:pPr>
        <w:spacing w:after="0" w:line="480" w:lineRule="auto"/>
      </w:pPr>
    </w:p>
    <w:p w14:paraId="46630088" w14:textId="77777777" w:rsidR="00522423" w:rsidRDefault="00522423" w:rsidP="00B56060">
      <w:pPr>
        <w:spacing w:after="0" w:line="480" w:lineRule="auto"/>
        <w:rPr>
          <w:i/>
        </w:rPr>
      </w:pPr>
      <w:r>
        <w:rPr>
          <w:i/>
        </w:rPr>
        <w:t>Outside the Canon</w:t>
      </w:r>
    </w:p>
    <w:p w14:paraId="5F1835B3" w14:textId="0F9A4659" w:rsidR="005840C1" w:rsidRDefault="00522423" w:rsidP="00B56060">
      <w:pPr>
        <w:spacing w:after="0" w:line="480" w:lineRule="auto"/>
      </w:pPr>
      <w:r>
        <w:lastRenderedPageBreak/>
        <w:tab/>
        <w:t xml:space="preserve">Musicologists have been discussing the idea of the “musical work” for decades. Though </w:t>
      </w:r>
      <w:r w:rsidR="00AF646F">
        <w:t>the</w:t>
      </w:r>
      <w:r>
        <w:t xml:space="preserve"> professional vocabulary is not the same as that of the library and information science community, scholarship by figures such as Ingarden</w:t>
      </w:r>
      <w:r w:rsidR="005840C1">
        <w:rPr>
          <w:rStyle w:val="EndnoteReference"/>
        </w:rPr>
        <w:endnoteReference w:id="34"/>
      </w:r>
      <w:r w:rsidR="005840C1">
        <w:t>, Nattiez</w:t>
      </w:r>
      <w:r w:rsidR="005840C1">
        <w:rPr>
          <w:rStyle w:val="EndnoteReference"/>
        </w:rPr>
        <w:endnoteReference w:id="35"/>
      </w:r>
      <w:r w:rsidR="005840C1">
        <w:t>, Goehr</w:t>
      </w:r>
      <w:r w:rsidR="005840C1">
        <w:rPr>
          <w:rStyle w:val="EndnoteReference"/>
        </w:rPr>
        <w:endnoteReference w:id="36"/>
      </w:r>
      <w:r w:rsidR="005840C1">
        <w:t>, and Kivy</w:t>
      </w:r>
      <w:r w:rsidR="005840C1">
        <w:rPr>
          <w:rStyle w:val="EndnoteReference"/>
        </w:rPr>
        <w:endnoteReference w:id="37"/>
      </w:r>
      <w:r w:rsidR="005840C1">
        <w:t xml:space="preserve"> </w:t>
      </w:r>
      <w:r>
        <w:t>have focused on the definition of the “musical work” and how to reconcile specific instances of a work with existence</w:t>
      </w:r>
      <w:r w:rsidR="009405FA">
        <w:t xml:space="preserve"> of a work</w:t>
      </w:r>
      <w:r>
        <w:t xml:space="preserve"> as an abstract concept. </w:t>
      </w:r>
      <w:r w:rsidR="00042A58">
        <w:t xml:space="preserve">Nicholas </w:t>
      </w:r>
      <w:r>
        <w:t xml:space="preserve">Cook argues that musicologists have failed to look at music as something </w:t>
      </w:r>
      <w:r>
        <w:rPr>
          <w:i/>
        </w:rPr>
        <w:t>performed</w:t>
      </w:r>
      <w:r>
        <w:t xml:space="preserve">, and argues for an increased emphasis on the relationship between static </w:t>
      </w:r>
      <w:r w:rsidR="0004717E">
        <w:t xml:space="preserve">musical </w:t>
      </w:r>
      <w:r>
        <w:t>notation and the flux of a musical performance.</w:t>
      </w:r>
      <w:r w:rsidR="005840C1">
        <w:rPr>
          <w:rStyle w:val="EndnoteReference"/>
        </w:rPr>
        <w:endnoteReference w:id="38"/>
      </w:r>
    </w:p>
    <w:p w14:paraId="3ED0FB21" w14:textId="76C3F07F" w:rsidR="005840C1" w:rsidRDefault="00522423" w:rsidP="00B56060">
      <w:pPr>
        <w:spacing w:after="0" w:line="480" w:lineRule="auto"/>
      </w:pPr>
      <w:r>
        <w:tab/>
        <w:t xml:space="preserve">The </w:t>
      </w:r>
      <w:r w:rsidR="00B16DED">
        <w:t>widespread adoption</w:t>
      </w:r>
      <w:r>
        <w:t xml:space="preserve"> of recording technology has led to a re-examination of the ontological foundations of the musical work within the musicological community. </w:t>
      </w:r>
      <w:r w:rsidR="00042A58">
        <w:t xml:space="preserve">Arved </w:t>
      </w:r>
      <w:r w:rsidR="00A21565">
        <w:t>Ashby has written about how the advent of sound recording has led to a reification of music</w:t>
      </w:r>
      <w:r w:rsidR="00CA76A1">
        <w:t>—</w:t>
      </w:r>
      <w:r w:rsidR="00A21565">
        <w:t>what was once considered something fleeting and transitory is now approached as something concrete and permanent. Recording has allowed listeners to ap</w:t>
      </w:r>
      <w:r w:rsidR="000E5D5E">
        <w:t xml:space="preserve">proach certain performances as </w:t>
      </w:r>
      <w:r w:rsidR="00A21565">
        <w:t xml:space="preserve">urtexts that take precedence </w:t>
      </w:r>
      <w:r w:rsidR="00B16DED">
        <w:t>over</w:t>
      </w:r>
      <w:r w:rsidR="00A21565">
        <w:t xml:space="preserve"> later instantiations.</w:t>
      </w:r>
      <w:r w:rsidR="005840C1">
        <w:rPr>
          <w:rStyle w:val="EndnoteReference"/>
        </w:rPr>
        <w:endnoteReference w:id="39"/>
      </w:r>
      <w:r w:rsidR="005840C1">
        <w:t xml:space="preserve"> Michael Chanan notes that recorded music has led to a diffusion of the creative process, with sound technicians and producers possibly claiming as much creative credit over the finished product as performers and composers.</w:t>
      </w:r>
      <w:r w:rsidR="005840C1">
        <w:rPr>
          <w:rStyle w:val="EndnoteReference"/>
        </w:rPr>
        <w:endnoteReference w:id="40"/>
      </w:r>
    </w:p>
    <w:p w14:paraId="723EF86D" w14:textId="0B926B04" w:rsidR="005840C1" w:rsidRDefault="005840C1" w:rsidP="00B56060">
      <w:pPr>
        <w:spacing w:after="0" w:line="480" w:lineRule="auto"/>
      </w:pPr>
      <w:r>
        <w:tab/>
        <w:t xml:space="preserve">Other scholars have specifically investigated how the recording of popular music genres, such as rock and pop, has changed notions of the musical work. John Andrew Fisher writes that recording is central to rock music, and that the traditional “work – score – performance” model only really applies to classical music composed between 1750 and 1900. Fisher claims that recordings of popular music can function as an </w:t>
      </w:r>
      <w:r w:rsidRPr="00F6454A">
        <w:t>urtext</w:t>
      </w:r>
      <w:r>
        <w:t>, and that “rock musicians of any stature first and foremost make recordings,” rather than compositions.</w:t>
      </w:r>
      <w:r>
        <w:rPr>
          <w:rStyle w:val="EndnoteReference"/>
        </w:rPr>
        <w:endnoteReference w:id="41"/>
      </w:r>
      <w:r>
        <w:t xml:space="preserve"> Lee Brown posits a specific genre of “work of phonography,” defined as a musical work that, among other things, is not an authentic document of a live performance, and possibly cannot be performed</w:t>
      </w:r>
      <w:r w:rsidR="00892F05">
        <w:t xml:space="preserve"> live</w:t>
      </w:r>
      <w:r>
        <w:t xml:space="preserve"> at all.</w:t>
      </w:r>
      <w:r>
        <w:rPr>
          <w:rStyle w:val="EndnoteReference"/>
        </w:rPr>
        <w:endnoteReference w:id="42"/>
      </w:r>
      <w:r>
        <w:t xml:space="preserve"> He makes the case that, beyond rock, works of jazz, hip-hop, electronica, avant-garde music, and even recordings of classical music can be works of phonography.</w:t>
      </w:r>
      <w:r>
        <w:rPr>
          <w:rStyle w:val="EndnoteReference"/>
        </w:rPr>
        <w:endnoteReference w:id="43"/>
      </w:r>
    </w:p>
    <w:p w14:paraId="74CD6CD3" w14:textId="286EC080" w:rsidR="005840C1" w:rsidRDefault="00A21565" w:rsidP="00B56060">
      <w:pPr>
        <w:spacing w:after="0" w:line="480" w:lineRule="auto"/>
      </w:pPr>
      <w:r>
        <w:lastRenderedPageBreak/>
        <w:tab/>
      </w:r>
      <w:r w:rsidR="00042A58">
        <w:t xml:space="preserve">Andrew </w:t>
      </w:r>
      <w:r w:rsidR="00892F05">
        <w:t xml:space="preserve">Kania </w:t>
      </w:r>
      <w:r>
        <w:t>unequivocally differentiates classical music and rock music by stating that the form</w:t>
      </w:r>
      <w:r w:rsidR="00042A58">
        <w:t>er</w:t>
      </w:r>
      <w:r>
        <w:t xml:space="preserve"> is dependent on performances while the latter relies on recordings: “Classical music is primarily, as it has always been, a live performance tradition, and its recordings assimilate themselves to that tradition. Rock music is primarily a recording tradition, and its live performances depend partly on that tradition for their value.”</w:t>
      </w:r>
      <w:r w:rsidR="005840C1">
        <w:rPr>
          <w:rStyle w:val="EndnoteReference"/>
        </w:rPr>
        <w:endnoteReference w:id="44"/>
      </w:r>
      <w:r w:rsidR="005840C1">
        <w:t xml:space="preserve"> </w:t>
      </w:r>
      <w:r>
        <w:t xml:space="preserve">Elsewhere, Kania writes that even recordings of classical music are not authentic “documentary” simulations of </w:t>
      </w:r>
      <w:r w:rsidR="00107B7D">
        <w:t>an</w:t>
      </w:r>
      <w:r>
        <w:t xml:space="preserve"> actual live performance, but instead have undergone extensive editing, mixing, and, in some cases, the splicing together of several different takes.</w:t>
      </w:r>
      <w:r w:rsidR="005840C1">
        <w:rPr>
          <w:rStyle w:val="EndnoteReference"/>
        </w:rPr>
        <w:endnoteReference w:id="45"/>
      </w:r>
    </w:p>
    <w:p w14:paraId="07D4C4FB" w14:textId="188FE521" w:rsidR="005840C1" w:rsidRDefault="00791F1F" w:rsidP="00B56060">
      <w:pPr>
        <w:spacing w:after="0" w:line="480" w:lineRule="auto"/>
      </w:pPr>
      <w:r w:rsidRPr="00791F1F">
        <w:tab/>
        <w:t>L</w:t>
      </w:r>
      <w:r w:rsidR="005840C1">
        <w:t xml:space="preserve">inda Ferguson discusses what she terms “tape composition” and how it relates to the traditional </w:t>
      </w:r>
      <w:r w:rsidR="00224CF3">
        <w:t>idea</w:t>
      </w:r>
      <w:r w:rsidR="005840C1">
        <w:t xml:space="preserve"> of music. While musical works are </w:t>
      </w:r>
      <w:r w:rsidR="00224CF3">
        <w:t>usually</w:t>
      </w:r>
      <w:r w:rsidR="005840C1">
        <w:t xml:space="preserve"> viewed as abstractions, with no one performance or score representing the work, works for tape composition differ in that there is a particular and concrete piece of </w:t>
      </w:r>
      <w:r w:rsidR="00224CF3">
        <w:t>sound</w:t>
      </w:r>
      <w:r w:rsidR="005840C1">
        <w:t>.</w:t>
      </w:r>
      <w:r w:rsidR="005840C1">
        <w:rPr>
          <w:rStyle w:val="EndnoteReference"/>
        </w:rPr>
        <w:endnoteReference w:id="46"/>
      </w:r>
      <w:r w:rsidR="005840C1">
        <w:t xml:space="preserve"> Tape composition means that the composer can bring sounds directly to the listener without the mediating factor of performers reading a notated score. Adam Stansbie discusses Ferguson’s definitions and takes them one step further</w:t>
      </w:r>
      <w:r w:rsidR="00CA76A1">
        <w:t>—</w:t>
      </w:r>
      <w:r w:rsidR="005840C1">
        <w:t>he argues that even works of tape composition have no fixed material form, because each “performance” will differ in terms of playback equipment and acoustics.</w:t>
      </w:r>
      <w:r w:rsidR="005840C1">
        <w:rPr>
          <w:rStyle w:val="EndnoteReference"/>
        </w:rPr>
        <w:endnoteReference w:id="47"/>
      </w:r>
      <w:r w:rsidR="005840C1">
        <w:t xml:space="preserve"> </w:t>
      </w:r>
    </w:p>
    <w:p w14:paraId="699F299E" w14:textId="77777777" w:rsidR="005840C1" w:rsidRDefault="005840C1" w:rsidP="00B56060">
      <w:pPr>
        <w:spacing w:after="0" w:line="480" w:lineRule="auto"/>
      </w:pPr>
      <w:r>
        <w:tab/>
        <w:t>Finally, Virgil Moorfield, in his book-length study on the creative role of the producer, argues that the idea of a recording’s pure fidelity to a live performance has gradually faded away. As recording has become the dominant medium for listening to popular music, the role of the producer has grown to that of a composer, using the recording studio as a compositional tool.</w:t>
      </w:r>
      <w:r>
        <w:rPr>
          <w:rStyle w:val="EndnoteReference"/>
        </w:rPr>
        <w:endnoteReference w:id="48"/>
      </w:r>
    </w:p>
    <w:p w14:paraId="1A0C8890" w14:textId="2B70FAC0" w:rsidR="00A21565" w:rsidRDefault="00A21565" w:rsidP="00B56060">
      <w:pPr>
        <w:spacing w:after="0" w:line="480" w:lineRule="auto"/>
      </w:pPr>
      <w:r>
        <w:tab/>
        <w:t xml:space="preserve">Through this literature review, </w:t>
      </w:r>
      <w:r w:rsidR="00DA5270">
        <w:t>a few trends can be noted</w:t>
      </w:r>
      <w:r>
        <w:t xml:space="preserve">. The first is that the application of a work-instance model to musical </w:t>
      </w:r>
      <w:r w:rsidR="00224CF3">
        <w:t>compositions</w:t>
      </w:r>
      <w:r>
        <w:t xml:space="preserve"> is far from settled, and something that has commanded a good deal of attention from the library and information science community. The second is that the fields of musicology and philosophy have also been discussing the definition of a “work</w:t>
      </w:r>
      <w:r w:rsidR="00224CF3">
        <w:t>” from a different perspective. T</w:t>
      </w:r>
      <w:r>
        <w:t xml:space="preserve">he advent of recording technology has led many scholars </w:t>
      </w:r>
      <w:r w:rsidR="00FF14D9">
        <w:t>to note</w:t>
      </w:r>
      <w:r>
        <w:t xml:space="preserve"> that musical works </w:t>
      </w:r>
      <w:r>
        <w:lastRenderedPageBreak/>
        <w:t>primarily conceived of as recorded sound are ontologically different from mu</w:t>
      </w:r>
      <w:r w:rsidR="00224CF3">
        <w:t xml:space="preserve">sical works primarily meant for performance </w:t>
      </w:r>
      <w:r>
        <w:t xml:space="preserve">in a live concert setting. </w:t>
      </w:r>
      <w:r w:rsidR="00224CF3">
        <w:t>Most</w:t>
      </w:r>
      <w:r>
        <w:t xml:space="preserve"> definitions of a “work,” including FRBR’s, are purposefully abstract, </w:t>
      </w:r>
      <w:r w:rsidR="00224CF3">
        <w:t xml:space="preserve">but it is not necessarily clear that they are able to tackle </w:t>
      </w:r>
      <w:r w:rsidR="00BA08EC">
        <w:t>the difference between performance works and recorded works.</w:t>
      </w:r>
      <w:r w:rsidR="0049768F">
        <w:t xml:space="preserve"> An effective work-instance model for musical pieces would have to take into account these issues with sound recording technology and the </w:t>
      </w:r>
      <w:r w:rsidR="00A11A7F">
        <w:t>problem of account</w:t>
      </w:r>
      <w:r w:rsidR="00A46565">
        <w:t>ing</w:t>
      </w:r>
      <w:r w:rsidR="00A11A7F">
        <w:t xml:space="preserve"> for both a fluid live musical performance and a static musical recording.</w:t>
      </w:r>
    </w:p>
    <w:p w14:paraId="6DDFC0F2" w14:textId="77777777" w:rsidR="006828A5" w:rsidRDefault="006828A5" w:rsidP="00B56060">
      <w:pPr>
        <w:spacing w:after="0" w:line="480" w:lineRule="auto"/>
      </w:pPr>
    </w:p>
    <w:p w14:paraId="3BF9EC71" w14:textId="11D05747" w:rsidR="006828A5" w:rsidRDefault="006828A5" w:rsidP="00B56060">
      <w:pPr>
        <w:spacing w:after="0" w:line="480" w:lineRule="auto"/>
        <w:rPr>
          <w:b/>
        </w:rPr>
      </w:pPr>
      <w:r>
        <w:rPr>
          <w:b/>
        </w:rPr>
        <w:t>The Problem</w:t>
      </w:r>
      <w:r w:rsidR="00791F1F">
        <w:rPr>
          <w:b/>
        </w:rPr>
        <w:t>—</w:t>
      </w:r>
      <w:r>
        <w:rPr>
          <w:b/>
        </w:rPr>
        <w:t>Two Differing Conceptions of a “Work”</w:t>
      </w:r>
    </w:p>
    <w:p w14:paraId="7DF06D82" w14:textId="77777777" w:rsidR="006828A5" w:rsidRDefault="006828A5" w:rsidP="00B56060">
      <w:pPr>
        <w:spacing w:after="0" w:line="480" w:lineRule="auto"/>
        <w:rPr>
          <w:i/>
        </w:rPr>
      </w:pPr>
      <w:r>
        <w:rPr>
          <w:i/>
        </w:rPr>
        <w:t>Beethoven and Reich</w:t>
      </w:r>
    </w:p>
    <w:p w14:paraId="0BA618DA" w14:textId="1FC8E7D4" w:rsidR="006828A5" w:rsidRDefault="006828A5" w:rsidP="00B56060">
      <w:pPr>
        <w:spacing w:after="0" w:line="480" w:lineRule="auto"/>
      </w:pPr>
      <w:r>
        <w:rPr>
          <w:i/>
        </w:rPr>
        <w:tab/>
      </w:r>
      <w:r>
        <w:t>Many defi</w:t>
      </w:r>
      <w:r w:rsidR="00BD50E4">
        <w:t>nitions of the</w:t>
      </w:r>
      <w:r w:rsidR="00472924">
        <w:t xml:space="preserve"> “work” take for granted Lubetzky’s principle that </w:t>
      </w:r>
      <w:r>
        <w:t>the entity lacks a concrete material existence. For example, the FRBR report clearly states that, “</w:t>
      </w:r>
      <w:r>
        <w:rPr>
          <w:i/>
        </w:rPr>
        <w:t xml:space="preserve">A work is an abstract entity; </w:t>
      </w:r>
      <w:r>
        <w:t xml:space="preserve">there is no single material object one can point to as the </w:t>
      </w:r>
      <w:r>
        <w:rPr>
          <w:i/>
        </w:rPr>
        <w:t>work</w:t>
      </w:r>
      <w:r w:rsidRPr="006828A5">
        <w:t>.”</w:t>
      </w:r>
      <w:r w:rsidR="005840C1" w:rsidRPr="006828A5">
        <w:rPr>
          <w:rStyle w:val="EndnoteReference"/>
        </w:rPr>
        <w:endnoteReference w:id="49"/>
      </w:r>
      <w:r w:rsidR="005840C1">
        <w:t xml:space="preserve"> FRBR’s expression entity is similarly abstract, defining the “expression” as an “intellectual or artistic realization” that nonetheless “exclude[s] aspects of physical form.”</w:t>
      </w:r>
      <w:r w:rsidR="005840C1">
        <w:rPr>
          <w:rStyle w:val="EndnoteReference"/>
        </w:rPr>
        <w:endnoteReference w:id="50"/>
      </w:r>
      <w:r w:rsidR="005840C1">
        <w:t xml:space="preserve"> </w:t>
      </w:r>
      <w:r>
        <w:t xml:space="preserve">The “manifestation” and “item” </w:t>
      </w:r>
      <w:r w:rsidR="00AA4337">
        <w:t>entities</w:t>
      </w:r>
      <w:r>
        <w:t xml:space="preserve"> of FRBR, however, quite clearly refer to material objects rather than intellectual content.</w:t>
      </w:r>
    </w:p>
    <w:p w14:paraId="7E142A26" w14:textId="2282F3C8" w:rsidR="00AA4337" w:rsidRDefault="006828A5" w:rsidP="00B56060">
      <w:pPr>
        <w:spacing w:after="0" w:line="480" w:lineRule="auto"/>
      </w:pPr>
      <w:r>
        <w:t xml:space="preserve"> </w:t>
      </w:r>
      <w:r>
        <w:tab/>
        <w:t xml:space="preserve">This distinction between the abstract ideas and the physical </w:t>
      </w:r>
      <w:r w:rsidR="00BA08EC">
        <w:t>materialization</w:t>
      </w:r>
      <w:r>
        <w:t xml:space="preserve"> of a work is not new. As cited above, </w:t>
      </w:r>
      <w:r w:rsidR="00472924">
        <w:t xml:space="preserve">a large number of </w:t>
      </w:r>
      <w:r w:rsidR="005F7AEB">
        <w:t>figures</w:t>
      </w:r>
      <w:r>
        <w:t xml:space="preserve"> </w:t>
      </w:r>
      <w:r w:rsidR="00472924">
        <w:t>follow Lubetzky in</w:t>
      </w:r>
      <w:r>
        <w:t xml:space="preserve"> affirm</w:t>
      </w:r>
      <w:r w:rsidR="00472924">
        <w:t>ing</w:t>
      </w:r>
      <w:r>
        <w:t xml:space="preserve"> the work as something </w:t>
      </w:r>
      <w:r w:rsidR="00B16DED">
        <w:t xml:space="preserve">completely </w:t>
      </w:r>
      <w:r>
        <w:t xml:space="preserve">abstract, with Ravilious being one of the few scholars arguing for the work </w:t>
      </w:r>
      <w:r w:rsidR="00631E30">
        <w:t>as</w:t>
      </w:r>
      <w:r>
        <w:t xml:space="preserve"> </w:t>
      </w:r>
      <w:r w:rsidR="00AA4337">
        <w:t xml:space="preserve">medium-specific. </w:t>
      </w:r>
      <w:r>
        <w:t>Most interpretations of the FRBR model find a clear division between the more ideational content of “works” and “expressions” and the semantic content o</w:t>
      </w:r>
      <w:r w:rsidR="000B0FE5">
        <w:t>f “manifestations” and “items.”</w:t>
      </w:r>
    </w:p>
    <w:p w14:paraId="66A1F488" w14:textId="40F9236D" w:rsidR="00456990" w:rsidRDefault="00456990" w:rsidP="00B56060">
      <w:pPr>
        <w:spacing w:after="0" w:line="480" w:lineRule="auto"/>
      </w:pPr>
      <w:r>
        <w:tab/>
        <w:t>These models assume that all creative activity begins solely as ideational content</w:t>
      </w:r>
      <w:r w:rsidR="00BD50E4">
        <w:t>—</w:t>
      </w:r>
      <w:r>
        <w:t>an idea sprung from the creator’s mind</w:t>
      </w:r>
      <w:r w:rsidR="00BD50E4">
        <w:t>—</w:t>
      </w:r>
      <w:r>
        <w:t xml:space="preserve">and only later finds realization through physical form. </w:t>
      </w:r>
      <w:r w:rsidR="000B0FE5">
        <w:t xml:space="preserve">While </w:t>
      </w:r>
      <w:r>
        <w:t xml:space="preserve">perhaps a bit simplistic, </w:t>
      </w:r>
      <w:r w:rsidR="000B0FE5">
        <w:t xml:space="preserve">this model </w:t>
      </w:r>
      <w:r>
        <w:t xml:space="preserve">makes sense for </w:t>
      </w:r>
      <w:r w:rsidR="00F45955">
        <w:t>organizing</w:t>
      </w:r>
      <w:r>
        <w:t xml:space="preserve"> the entities and relationships of </w:t>
      </w:r>
      <w:r w:rsidR="00BA08EC">
        <w:t xml:space="preserve">works of </w:t>
      </w:r>
      <w:r>
        <w:t xml:space="preserve">classical music. Under the FRBR model, for example, Ludwig van Beethoven comes up with the </w:t>
      </w:r>
      <w:r w:rsidR="00B10A76">
        <w:rPr>
          <w:i/>
        </w:rPr>
        <w:t>concept</w:t>
      </w:r>
      <w:r w:rsidR="00B10A76">
        <w:t xml:space="preserve"> </w:t>
      </w:r>
      <w:r>
        <w:t xml:space="preserve">for his </w:t>
      </w:r>
      <w:r w:rsidR="00BD50E4">
        <w:lastRenderedPageBreak/>
        <w:t>Fifth</w:t>
      </w:r>
      <w:r>
        <w:t xml:space="preserve"> Symphony (the work), conceives of it as a written score (the expression), and writes it down on a piece of paper (the manifestation/item). Or perhaps the </w:t>
      </w:r>
      <w:r w:rsidR="00BD50E4">
        <w:t>Fifth</w:t>
      </w:r>
      <w:r>
        <w:t xml:space="preserve"> Symphony (the work) is performed in concert (expression) and later released on </w:t>
      </w:r>
      <w:r w:rsidR="00D8477F">
        <w:t>compact disc</w:t>
      </w:r>
      <w:r>
        <w:t xml:space="preserve"> (manifestation/item). In each case, there is a clear line to be traced from Beethoven’s original idea through the realization of the idea in a specific medium and finally materializing as a specific physical format. </w:t>
      </w:r>
    </w:p>
    <w:p w14:paraId="6E2EE1A4" w14:textId="3A7275B4" w:rsidR="00456990" w:rsidRDefault="00456990" w:rsidP="00B56060">
      <w:pPr>
        <w:spacing w:after="0" w:line="480" w:lineRule="auto"/>
      </w:pPr>
      <w:r>
        <w:tab/>
        <w:t xml:space="preserve">This model </w:t>
      </w:r>
      <w:r w:rsidR="00472924">
        <w:t>works</w:t>
      </w:r>
      <w:r>
        <w:t xml:space="preserve"> for Beethoven’s </w:t>
      </w:r>
      <w:r w:rsidR="00BD50E4">
        <w:t>Fifth</w:t>
      </w:r>
      <w:r>
        <w:t xml:space="preserve"> Symphony because there is no singular exemplar of the work. The </w:t>
      </w:r>
      <w:r w:rsidR="00BD50E4">
        <w:t>Fifth</w:t>
      </w:r>
      <w:r>
        <w:t xml:space="preserve"> Symphony exists through thousands of published scores, recordings, and performances, and all of these together form the abstract notion of the work. But there is no one physical item that can be pointed </w:t>
      </w:r>
      <w:r w:rsidR="00631E30">
        <w:t>to</w:t>
      </w:r>
      <w:r>
        <w:t xml:space="preserve"> as </w:t>
      </w:r>
      <w:r w:rsidR="00472924">
        <w:t xml:space="preserve">the </w:t>
      </w:r>
      <w:r w:rsidR="00F45955">
        <w:t xml:space="preserve">Platonic form of the </w:t>
      </w:r>
      <w:r w:rsidR="00472924">
        <w:t>work.</w:t>
      </w:r>
      <w:r w:rsidR="00F45955">
        <w:t xml:space="preserve"> C</w:t>
      </w:r>
      <w:r w:rsidR="001A7FBF">
        <w:t xml:space="preserve">lassical music, </w:t>
      </w:r>
      <w:r w:rsidR="00F45955">
        <w:t>with its</w:t>
      </w:r>
      <w:r w:rsidR="00472924">
        <w:t xml:space="preserve"> clear distinction between</w:t>
      </w:r>
      <w:r w:rsidR="001A7FBF">
        <w:t xml:space="preserve"> composition and performance, </w:t>
      </w:r>
      <w:r w:rsidR="00F45955">
        <w:t>draws a firm delineation</w:t>
      </w:r>
      <w:r w:rsidR="001A7FBF">
        <w:t xml:space="preserve"> between the ideational content and the semantic content of a piece of music. </w:t>
      </w:r>
    </w:p>
    <w:p w14:paraId="63B6648D" w14:textId="7CA2B4CC" w:rsidR="009C1A01" w:rsidRDefault="00F45955" w:rsidP="00B56060">
      <w:pPr>
        <w:spacing w:after="0" w:line="480" w:lineRule="auto"/>
      </w:pPr>
      <w:r>
        <w:tab/>
        <w:t>T</w:t>
      </w:r>
      <w:r w:rsidR="001A7FBF">
        <w:t xml:space="preserve">his </w:t>
      </w:r>
      <w:r w:rsidR="00BA08EC">
        <w:t>work-instance</w:t>
      </w:r>
      <w:r w:rsidR="001A7FBF">
        <w:t xml:space="preserve"> model of composition and performance is</w:t>
      </w:r>
      <w:r w:rsidR="00BA08EC">
        <w:t xml:space="preserve"> easily</w:t>
      </w:r>
      <w:r w:rsidR="001A7FBF">
        <w:t xml:space="preserve"> applicable to Western classical music. </w:t>
      </w:r>
      <w:r>
        <w:t>But while</w:t>
      </w:r>
      <w:r w:rsidR="001A7FBF">
        <w:t xml:space="preserve"> </w:t>
      </w:r>
      <w:r w:rsidR="00BA08EC">
        <w:t>the model</w:t>
      </w:r>
      <w:r w:rsidR="001A7FBF">
        <w:t xml:space="preserve"> is robust enough to deal with the scenario of Beethoven’s </w:t>
      </w:r>
      <w:r w:rsidR="00BD50E4">
        <w:t>Fifth</w:t>
      </w:r>
      <w:r w:rsidR="001A7FBF">
        <w:t xml:space="preserve"> Symphony, it is not clear that it is equipped to tackle other models of musical composition and performance. In fact, the</w:t>
      </w:r>
      <w:r w:rsidR="005F7AEB">
        <w:t xml:space="preserve"> entire notion of an abstract work</w:t>
      </w:r>
      <w:r w:rsidR="001A7FBF">
        <w:t xml:space="preserve"> entity existing above and outside of any physical exemplars is difficult to apply to musical pieces outside the classical canon. </w:t>
      </w:r>
      <w:r w:rsidR="000B0FE5">
        <w:t>Many</w:t>
      </w:r>
      <w:r w:rsidR="001A7FBF">
        <w:t xml:space="preserve"> pieces of popular music are not “composed” or “performed” in the same manner as a Beethoven symphony. </w:t>
      </w:r>
      <w:r w:rsidR="000B0FE5">
        <w:t>Producers</w:t>
      </w:r>
      <w:r w:rsidR="001A7FBF">
        <w:t xml:space="preserve"> and performers of popular music have discussed their process of creating sounds in a recording studio as akin to composition. The producer, composer, and </w:t>
      </w:r>
      <w:r w:rsidR="006C4FF5">
        <w:t>recording artist</w:t>
      </w:r>
      <w:r w:rsidR="00472924">
        <w:t xml:space="preserve"> Brian Eno has discussed this</w:t>
      </w:r>
      <w:r w:rsidR="0068300A">
        <w:t>:</w:t>
      </w:r>
    </w:p>
    <w:p w14:paraId="673C6936" w14:textId="08FF023B" w:rsidR="009C1A01" w:rsidRPr="009C1A01" w:rsidRDefault="006C4FF5" w:rsidP="00B56060">
      <w:pPr>
        <w:autoSpaceDE w:val="0"/>
        <w:autoSpaceDN w:val="0"/>
        <w:adjustRightInd w:val="0"/>
        <w:spacing w:after="0" w:line="480" w:lineRule="auto"/>
        <w:ind w:left="720" w:right="720"/>
        <w:rPr>
          <w:color w:val="000000"/>
        </w:rPr>
      </w:pPr>
      <w:r>
        <w:rPr>
          <w:color w:val="000000"/>
        </w:rPr>
        <w:t>“</w:t>
      </w:r>
      <w:r w:rsidR="00472924" w:rsidRPr="00BA08EC">
        <w:rPr>
          <w:color w:val="000000"/>
        </w:rPr>
        <w:t>In-studio composition [is]</w:t>
      </w:r>
      <w:r w:rsidR="001A7FBF" w:rsidRPr="00BA08EC">
        <w:rPr>
          <w:color w:val="000000"/>
        </w:rPr>
        <w:t xml:space="preserve"> where you no longer come to the studio with a conception of the finished piece. Instead, you come with actually rather a bare skeleton of the piece, or perhaps with nothing at all. I often start working with no starting point…[you’re] actually constructing a piece in the studio.</w:t>
      </w:r>
      <w:r>
        <w:rPr>
          <w:color w:val="000000"/>
        </w:rPr>
        <w:t>”</w:t>
      </w:r>
      <w:r w:rsidR="005840C1" w:rsidRPr="00BA08EC">
        <w:rPr>
          <w:rStyle w:val="EndnoteReference"/>
          <w:color w:val="000000"/>
        </w:rPr>
        <w:endnoteReference w:id="51"/>
      </w:r>
    </w:p>
    <w:p w14:paraId="2922ED8C" w14:textId="3A053852" w:rsidR="009C1A01" w:rsidRDefault="005840C1" w:rsidP="00B56060">
      <w:pPr>
        <w:autoSpaceDE w:val="0"/>
        <w:autoSpaceDN w:val="0"/>
        <w:adjustRightInd w:val="0"/>
        <w:spacing w:after="0" w:line="480" w:lineRule="auto"/>
      </w:pPr>
      <w:r>
        <w:lastRenderedPageBreak/>
        <w:t xml:space="preserve">Likewise, songwriter and producer Mike Stoller has claimed that creating a </w:t>
      </w:r>
      <w:r w:rsidRPr="009C1A01">
        <w:t>recording</w:t>
      </w:r>
      <w:r>
        <w:t xml:space="preserve"> is a fundamentally different creative process than composing a piece of music on paper:</w:t>
      </w:r>
    </w:p>
    <w:p w14:paraId="3BFFE9BA" w14:textId="5D605E52" w:rsidR="009C1A01" w:rsidRPr="009C1A01" w:rsidRDefault="006C4FF5" w:rsidP="00B56060">
      <w:pPr>
        <w:autoSpaceDE w:val="0"/>
        <w:autoSpaceDN w:val="0"/>
        <w:adjustRightInd w:val="0"/>
        <w:spacing w:after="0" w:line="480" w:lineRule="auto"/>
        <w:ind w:left="720" w:right="720"/>
        <w:rPr>
          <w:color w:val="000000"/>
        </w:rPr>
      </w:pPr>
      <w:r>
        <w:rPr>
          <w:color w:val="000000"/>
        </w:rPr>
        <w:t>“</w:t>
      </w:r>
      <w:r w:rsidR="005840C1" w:rsidRPr="009C1A01">
        <w:rPr>
          <w:color w:val="000000"/>
        </w:rPr>
        <w:t>When we conceived these [pieces of music], we conceived them as records rather than as a song that exists on a piece of paper</w:t>
      </w:r>
      <w:r w:rsidR="00BD50E4">
        <w:t>—</w:t>
      </w:r>
      <w:r w:rsidR="005840C1" w:rsidRPr="009C1A01">
        <w:rPr>
          <w:color w:val="000000"/>
        </w:rPr>
        <w:t>it wasn’t music that was written down in a full scale arrangement.</w:t>
      </w:r>
      <w:r>
        <w:rPr>
          <w:color w:val="000000"/>
        </w:rPr>
        <w:t>”</w:t>
      </w:r>
      <w:r w:rsidR="005840C1" w:rsidRPr="009C1A01">
        <w:rPr>
          <w:rStyle w:val="EndnoteReference"/>
          <w:color w:val="000000"/>
        </w:rPr>
        <w:endnoteReference w:id="52"/>
      </w:r>
    </w:p>
    <w:p w14:paraId="72357BD0" w14:textId="43DAA5DF" w:rsidR="001A7FBF" w:rsidRDefault="001A7FBF" w:rsidP="00B56060">
      <w:pPr>
        <w:spacing w:after="0" w:line="480" w:lineRule="auto"/>
      </w:pPr>
      <w:r>
        <w:t>The separation of “</w:t>
      </w:r>
      <w:r w:rsidR="00AB7B5F">
        <w:t>concept</w:t>
      </w:r>
      <w:r>
        <w:t xml:space="preserve">” and “content” becomes harder to discern when discussing recorded music. There is a clear difference between Beethoven’s </w:t>
      </w:r>
      <w:r w:rsidR="00AB7B5F">
        <w:t>abstract conception of</w:t>
      </w:r>
      <w:r>
        <w:t xml:space="preserve"> a symphony and the </w:t>
      </w:r>
      <w:r w:rsidR="009C1A01">
        <w:t>musical</w:t>
      </w:r>
      <w:r>
        <w:t xml:space="preserve"> content that is produced by a symphony orchestra. With studio recordings, however, it is less clear where the line between the creator of the </w:t>
      </w:r>
      <w:r w:rsidR="00AB7B5F">
        <w:t xml:space="preserve">concept </w:t>
      </w:r>
      <w:r>
        <w:t xml:space="preserve">and the performer of the content lies. </w:t>
      </w:r>
    </w:p>
    <w:p w14:paraId="08DBDD17" w14:textId="1C34E2BC" w:rsidR="00B66E36" w:rsidRDefault="00F45955" w:rsidP="00B56060">
      <w:pPr>
        <w:spacing w:after="0" w:line="480" w:lineRule="auto"/>
      </w:pPr>
      <w:r>
        <w:tab/>
      </w:r>
      <w:r w:rsidR="00BD50E4">
        <w:t xml:space="preserve">Steve Reich’s piece </w:t>
      </w:r>
      <w:r w:rsidR="00BD50E4" w:rsidRPr="00BD50E4">
        <w:rPr>
          <w:i/>
        </w:rPr>
        <w:t>It’s Gonna Rain</w:t>
      </w:r>
      <w:r w:rsidR="00B66E36">
        <w:t xml:space="preserve"> is one of the seminal pieces of American avant-garde music. The work consists of a </w:t>
      </w:r>
      <w:r w:rsidR="000B0FE5">
        <w:t xml:space="preserve">sound </w:t>
      </w:r>
      <w:r w:rsidR="00B66E36">
        <w:t>recording of a street preacher</w:t>
      </w:r>
      <w:r w:rsidR="000B0FE5">
        <w:t>’s speech</w:t>
      </w:r>
      <w:r w:rsidR="00B66E36">
        <w:t xml:space="preserve"> that has been manipulated by Reich. In the </w:t>
      </w:r>
      <w:r w:rsidR="000B0FE5">
        <w:t>middle</w:t>
      </w:r>
      <w:r w:rsidR="00B66E36">
        <w:t xml:space="preserve"> of an apocalyptic sermon, the preacher declares that, “It’s gonna rain,” and Reich then loops this snippet of sound so that it repeats itself over and over, at first in a consistent pattern, and then with Reich using the tools of the recording studio to accentuate certain syllables or phonetic sounds.</w:t>
      </w:r>
    </w:p>
    <w:p w14:paraId="75BD7F03" w14:textId="37DE94C8" w:rsidR="00B66E36" w:rsidRDefault="00B66E36" w:rsidP="00B56060">
      <w:pPr>
        <w:spacing w:after="0" w:line="480" w:lineRule="auto"/>
      </w:pPr>
      <w:r>
        <w:tab/>
      </w:r>
      <w:r w:rsidR="008804CE">
        <w:t xml:space="preserve">Under the standard </w:t>
      </w:r>
      <w:r w:rsidR="00A660E2">
        <w:t>work-instance model,</w:t>
      </w:r>
      <w:r w:rsidR="008804CE">
        <w:t xml:space="preserve"> the composer would conceptualize an idea that is later instanti</w:t>
      </w:r>
      <w:r w:rsidR="00BD50E4">
        <w:t xml:space="preserve">ated in a performance. But for </w:t>
      </w:r>
      <w:r w:rsidR="00BD50E4" w:rsidRPr="00BD50E4">
        <w:rPr>
          <w:i/>
        </w:rPr>
        <w:t>It’s Gonna Rain</w:t>
      </w:r>
      <w:r w:rsidR="00BD50E4">
        <w:t>,</w:t>
      </w:r>
      <w:r w:rsidR="008804CE">
        <w:t xml:space="preserve"> there is arguably no separation between the composer and the performer. In this case, the composer is literally manipulating pre-existing </w:t>
      </w:r>
      <w:r w:rsidR="00F45955">
        <w:t xml:space="preserve">sonic </w:t>
      </w:r>
      <w:r w:rsidR="008804CE">
        <w:t xml:space="preserve">material to create new content. The semantic content (in this case, the sounds of the sermon) is inextricably bound with the ideational content of Reich’s </w:t>
      </w:r>
      <w:r w:rsidR="00D8477F">
        <w:t xml:space="preserve">musical </w:t>
      </w:r>
      <w:r w:rsidR="008804CE">
        <w:t xml:space="preserve">ideas. Unlike Beethoven’s </w:t>
      </w:r>
      <w:r w:rsidR="00BD50E4">
        <w:t>Fifth</w:t>
      </w:r>
      <w:r w:rsidR="008804CE">
        <w:t xml:space="preserve"> Symphony, there is a clear</w:t>
      </w:r>
      <w:r w:rsidR="00F45955">
        <w:t xml:space="preserve"> material</w:t>
      </w:r>
      <w:r w:rsidR="008804CE">
        <w:t xml:space="preserve"> </w:t>
      </w:r>
      <w:r w:rsidR="008804CE" w:rsidRPr="00A660E2">
        <w:t>thing</w:t>
      </w:r>
      <w:r w:rsidR="008804CE">
        <w:t xml:space="preserve"> that can be pointed to as </w:t>
      </w:r>
      <w:r w:rsidR="008804CE">
        <w:rPr>
          <w:i/>
        </w:rPr>
        <w:t xml:space="preserve">the </w:t>
      </w:r>
      <w:r w:rsidR="00BD50E4">
        <w:t xml:space="preserve">work of </w:t>
      </w:r>
      <w:r w:rsidR="00BD50E4" w:rsidRPr="00BD50E4">
        <w:rPr>
          <w:i/>
        </w:rPr>
        <w:t>It’s Gonna Rain</w:t>
      </w:r>
      <w:r w:rsidR="0068300A">
        <w:t>—</w:t>
      </w:r>
      <w:r w:rsidR="008804CE">
        <w:t xml:space="preserve">the master tape that Reich produced. </w:t>
      </w:r>
    </w:p>
    <w:p w14:paraId="01BE971F" w14:textId="29C29631" w:rsidR="00770F95" w:rsidRPr="00181359" w:rsidRDefault="00770F95" w:rsidP="00B56060">
      <w:pPr>
        <w:spacing w:after="0" w:line="480" w:lineRule="auto"/>
      </w:pPr>
      <w:r>
        <w:tab/>
        <w:t xml:space="preserve">Beethoven’s </w:t>
      </w:r>
      <w:r w:rsidR="00BD50E4">
        <w:t>Fifth</w:t>
      </w:r>
      <w:r>
        <w:t xml:space="preserve"> Symphony can find authentic instantiations in multiple </w:t>
      </w:r>
      <w:r w:rsidR="00F45955">
        <w:t>forms of media</w:t>
      </w:r>
      <w:r>
        <w:t>, including printed scores and</w:t>
      </w:r>
      <w:r w:rsidR="00F45955">
        <w:t xml:space="preserve"> live</w:t>
      </w:r>
      <w:r>
        <w:t xml:space="preserve"> performances. It’s unclear, howeve</w:t>
      </w:r>
      <w:r w:rsidR="00BD50E4">
        <w:t xml:space="preserve">r, if the same can be said for </w:t>
      </w:r>
      <w:r w:rsidR="00BD50E4" w:rsidRPr="00BD50E4">
        <w:rPr>
          <w:i/>
        </w:rPr>
        <w:t xml:space="preserve">It’s </w:t>
      </w:r>
      <w:r w:rsidR="00BD50E4" w:rsidRPr="00BD50E4">
        <w:rPr>
          <w:i/>
        </w:rPr>
        <w:lastRenderedPageBreak/>
        <w:t>Gonna Rain</w:t>
      </w:r>
      <w:r w:rsidR="00BD50E4">
        <w:t>.</w:t>
      </w:r>
      <w:r>
        <w:t xml:space="preserve"> The sounds themselves could be notated, and </w:t>
      </w:r>
      <w:r w:rsidR="00A660E2">
        <w:t>sections</w:t>
      </w:r>
      <w:r>
        <w:t xml:space="preserve"> of the work have, in fact, been published as a notated score.</w:t>
      </w:r>
      <w:r w:rsidR="007350FF">
        <w:rPr>
          <w:rStyle w:val="EndnoteReference"/>
        </w:rPr>
        <w:endnoteReference w:id="53"/>
      </w:r>
      <w:r>
        <w:t xml:space="preserve"> </w:t>
      </w:r>
      <w:r w:rsidR="00E1035A">
        <w:t>But</w:t>
      </w:r>
      <w:r w:rsidR="00BD50E4">
        <w:t xml:space="preserve"> a written notation of </w:t>
      </w:r>
      <w:r w:rsidR="00BD50E4" w:rsidRPr="00BD50E4">
        <w:rPr>
          <w:i/>
        </w:rPr>
        <w:t>It’s Gonna Rain</w:t>
      </w:r>
      <w:r>
        <w:t xml:space="preserve"> </w:t>
      </w:r>
      <w:r w:rsidR="00E1035A">
        <w:t xml:space="preserve">only functions as a derivation of the original sound recording, rather than a written urtext created after the fact. Such written notation </w:t>
      </w:r>
      <w:r w:rsidR="00210FAF">
        <w:t xml:space="preserve">conveys </w:t>
      </w:r>
      <w:r>
        <w:t xml:space="preserve">the rhythms and pitches of the piece, but not the complex timbres and sound </w:t>
      </w:r>
      <w:r w:rsidR="00D31076">
        <w:t>editing</w:t>
      </w:r>
      <w:r>
        <w:t xml:space="preserve"> and splicing decisions made by Reich as the composer. </w:t>
      </w:r>
      <w:r w:rsidR="00210FAF">
        <w:t xml:space="preserve">Such </w:t>
      </w:r>
      <w:r>
        <w:t xml:space="preserve">sound </w:t>
      </w:r>
      <w:r w:rsidR="00D31076">
        <w:t>editing</w:t>
      </w:r>
      <w:r>
        <w:t xml:space="preserve"> would be semantic content,</w:t>
      </w:r>
      <w:r w:rsidR="00D31076">
        <w:t xml:space="preserve"> rather than pure idea,</w:t>
      </w:r>
      <w:r>
        <w:t xml:space="preserve"> and thus </w:t>
      </w:r>
      <w:r w:rsidR="00852D71">
        <w:t xml:space="preserve">would </w:t>
      </w:r>
      <w:r>
        <w:t xml:space="preserve">not fall </w:t>
      </w:r>
      <w:r w:rsidR="00BD50E4">
        <w:t>under</w:t>
      </w:r>
      <w:r w:rsidR="001D0A5A">
        <w:t xml:space="preserve"> the</w:t>
      </w:r>
      <w:r w:rsidR="00BD50E4">
        <w:t xml:space="preserve"> traditional </w:t>
      </w:r>
      <w:r w:rsidR="00D31076">
        <w:t>work</w:t>
      </w:r>
      <w:r w:rsidR="00BD50E4">
        <w:t xml:space="preserve"> entity</w:t>
      </w:r>
      <w:r>
        <w:t xml:space="preserve">. But in relegating </w:t>
      </w:r>
      <w:r w:rsidR="00D31076" w:rsidRPr="00852D71">
        <w:rPr>
          <w:i/>
        </w:rPr>
        <w:t>only</w:t>
      </w:r>
      <w:r w:rsidR="00D31076">
        <w:t xml:space="preserve"> ideational content to the work</w:t>
      </w:r>
      <w:r>
        <w:t xml:space="preserve"> entity, </w:t>
      </w:r>
      <w:r w:rsidR="001D0A5A">
        <w:t>this model is</w:t>
      </w:r>
      <w:r>
        <w:t xml:space="preserve"> failing to account for </w:t>
      </w:r>
      <w:r w:rsidR="00672EC9">
        <w:t xml:space="preserve">such </w:t>
      </w:r>
      <w:r w:rsidR="00BD50E4">
        <w:t xml:space="preserve">pieces as </w:t>
      </w:r>
      <w:r w:rsidR="00BD50E4" w:rsidRPr="00BD50E4">
        <w:rPr>
          <w:i/>
        </w:rPr>
        <w:t>It’s Gonna Rain</w:t>
      </w:r>
      <w:r w:rsidR="00BD50E4">
        <w:t>,</w:t>
      </w:r>
      <w:r>
        <w:t xml:space="preserve"> in which specific </w:t>
      </w:r>
      <w:r w:rsidR="001D0A5A">
        <w:t xml:space="preserve">aural and </w:t>
      </w:r>
      <w:r>
        <w:t xml:space="preserve">timbral decisions are inherent to the work, rather than an incidental part of it. Traditional definitions of the “work” are suitable for describing musical works that happen to be recorded, </w:t>
      </w:r>
      <w:r w:rsidR="00BD50E4">
        <w:t>but fall short at</w:t>
      </w:r>
      <w:r>
        <w:t xml:space="preserve"> describing musical works</w:t>
      </w:r>
      <w:r w:rsidR="00BD50E4">
        <w:t xml:space="preserve"> such as </w:t>
      </w:r>
      <w:r w:rsidR="00BD50E4" w:rsidRPr="00BD50E4">
        <w:rPr>
          <w:i/>
        </w:rPr>
        <w:t>It’s Gonna Rain</w:t>
      </w:r>
      <w:r w:rsidR="00BD50E4">
        <w:t>,</w:t>
      </w:r>
      <w:r w:rsidR="00852D71">
        <w:t xml:space="preserve"> </w:t>
      </w:r>
      <w:r w:rsidR="00BD50E4">
        <w:t>which</w:t>
      </w:r>
      <w:r w:rsidR="00852D71">
        <w:t xml:space="preserve"> are</w:t>
      </w:r>
      <w:r>
        <w:t xml:space="preserve"> </w:t>
      </w:r>
      <w:r>
        <w:rPr>
          <w:i/>
        </w:rPr>
        <w:t xml:space="preserve">conceived of </w:t>
      </w:r>
      <w:r>
        <w:t xml:space="preserve">as recordings. </w:t>
      </w:r>
      <w:r w:rsidR="00A11A7F">
        <w:t xml:space="preserve">An effective work-instance model for musical works would have to take into account the added dimension of recorded sound, and find a way to </w:t>
      </w:r>
      <w:r w:rsidR="00181359">
        <w:t xml:space="preserve">treat the characteristics of </w:t>
      </w:r>
      <w:r w:rsidR="00210FAF">
        <w:t xml:space="preserve">the sound recording of </w:t>
      </w:r>
      <w:r w:rsidR="00181359">
        <w:rPr>
          <w:i/>
        </w:rPr>
        <w:t>It’s Gonna Rain—</w:t>
      </w:r>
      <w:r w:rsidR="00210FAF">
        <w:t xml:space="preserve">including </w:t>
      </w:r>
      <w:r w:rsidR="00181359">
        <w:t>the timbres, the sound editing and mixing—as work-level attributes.</w:t>
      </w:r>
    </w:p>
    <w:p w14:paraId="07B82BA6" w14:textId="77777777" w:rsidR="00045344" w:rsidRDefault="00045344" w:rsidP="00B56060">
      <w:pPr>
        <w:spacing w:after="0" w:line="480" w:lineRule="auto"/>
        <w:rPr>
          <w:i/>
        </w:rPr>
      </w:pPr>
    </w:p>
    <w:p w14:paraId="3F6F394D" w14:textId="77777777" w:rsidR="00045344" w:rsidRDefault="00045344" w:rsidP="00B56060">
      <w:pPr>
        <w:spacing w:after="0" w:line="480" w:lineRule="auto"/>
        <w:rPr>
          <w:i/>
        </w:rPr>
      </w:pPr>
      <w:r>
        <w:rPr>
          <w:i/>
        </w:rPr>
        <w:t>Playback and Performance, Autographs and Allographs</w:t>
      </w:r>
    </w:p>
    <w:p w14:paraId="28F62012" w14:textId="5AB6034E" w:rsidR="005840C1" w:rsidRDefault="00045344" w:rsidP="00B56060">
      <w:pPr>
        <w:spacing w:after="0" w:line="480" w:lineRule="auto"/>
      </w:pPr>
      <w:r>
        <w:tab/>
      </w:r>
      <w:r w:rsidR="00C93530">
        <w:t xml:space="preserve">Philosopher </w:t>
      </w:r>
      <w:r>
        <w:t>Nelson Goodman draws a distinction between “autog</w:t>
      </w:r>
      <w:r w:rsidR="00775D28">
        <w:t>raphic” and “allographic” works,</w:t>
      </w:r>
      <w:r>
        <w:t xml:space="preserve"> which </w:t>
      </w:r>
      <w:r w:rsidR="00706B0A">
        <w:t>helps</w:t>
      </w:r>
      <w:r>
        <w:t xml:space="preserve"> elucidate the problem at hand. According to Goodman, an allographic work is an abstract idea in which “all correct performances are equally genuine instances of the work.”</w:t>
      </w:r>
      <w:r w:rsidR="005840C1">
        <w:rPr>
          <w:rStyle w:val="EndnoteReference"/>
        </w:rPr>
        <w:endnoteReference w:id="54"/>
      </w:r>
      <w:r w:rsidR="005840C1">
        <w:t xml:space="preserve"> Goodman sees literature as allographic, because any reproduction of the text can be seen as the “authentic” work. Readers experience a novel through any one of thousands of instantiations, rather than seeking out some single original exemplar. There is no one item that can be seen as the authentic embodiment of the work. Most pieces of classical music would also be allographic works. Beethoven’s </w:t>
      </w:r>
      <w:r w:rsidR="00AC63DD">
        <w:t>Fifth</w:t>
      </w:r>
      <w:r w:rsidR="005840C1">
        <w:t xml:space="preserve"> Symphony, for example, is an allographic work that is realized through thousands of performances and dozens of </w:t>
      </w:r>
      <w:r w:rsidR="005840C1">
        <w:lastRenderedPageBreak/>
        <w:t xml:space="preserve">different formats of printed music. In this sense, the traditional Lubetzkian work entity represents an allographic work. </w:t>
      </w:r>
    </w:p>
    <w:p w14:paraId="05392CAF" w14:textId="42CBEAA0" w:rsidR="005840C1" w:rsidRDefault="005840C1" w:rsidP="00B56060">
      <w:pPr>
        <w:spacing w:after="0" w:line="480" w:lineRule="auto"/>
      </w:pPr>
      <w:r>
        <w:tab/>
        <w:t>Autographic works, on the other hand, are those works in which the initial artistic object is preserved</w:t>
      </w:r>
      <w:r w:rsidR="00775D28">
        <w:t xml:space="preserve"> as something special</w:t>
      </w:r>
      <w:r>
        <w:t>. While duplicat</w:t>
      </w:r>
      <w:r w:rsidR="00D31076">
        <w:t>ions and reproductions may be created</w:t>
      </w:r>
      <w:r>
        <w:t>, these are considered “inauthentic” or even forgeries when compared to the original exemplar of the work.</w:t>
      </w:r>
      <w:r>
        <w:rPr>
          <w:rStyle w:val="EndnoteReference"/>
        </w:rPr>
        <w:endnoteReference w:id="55"/>
      </w:r>
      <w:r>
        <w:t xml:space="preserve"> Painting and sculpture are two autographic arts. While there can be many reproductions made of the </w:t>
      </w:r>
      <w:r>
        <w:rPr>
          <w:i/>
        </w:rPr>
        <w:t>Mona Lisa</w:t>
      </w:r>
      <w:r>
        <w:t xml:space="preserve"> or Michelangelo’s David, the originals are considered irreplaceable and un-reproducible.</w:t>
      </w:r>
    </w:p>
    <w:p w14:paraId="5FF4A998" w14:textId="4DDFF366" w:rsidR="005840C1" w:rsidRDefault="005840C1" w:rsidP="00B56060">
      <w:pPr>
        <w:spacing w:after="0" w:line="480" w:lineRule="auto"/>
      </w:pPr>
      <w:r>
        <w:tab/>
        <w:t>Goodman himself views music as allographic. However, Theodore Gracyk argues that many recording-based works of popular music are autographic, because they don’t rely on any fidelity to written notation.</w:t>
      </w:r>
      <w:r>
        <w:rPr>
          <w:rStyle w:val="EndnoteReference"/>
        </w:rPr>
        <w:endnoteReference w:id="56"/>
      </w:r>
      <w:r>
        <w:t xml:space="preserve"> </w:t>
      </w:r>
      <w:r w:rsidR="00760477">
        <w:t xml:space="preserve">Unlike traditional classical music, which relies on the reproduction of a notated score, recorded popular music relies on the reproduction of a </w:t>
      </w:r>
      <w:r w:rsidR="00760477">
        <w:rPr>
          <w:i/>
        </w:rPr>
        <w:t>sound</w:t>
      </w:r>
      <w:r w:rsidR="00760477">
        <w:t xml:space="preserve">. This sound could include </w:t>
      </w:r>
      <w:r w:rsidR="00775D28">
        <w:t xml:space="preserve">aural elements, such as </w:t>
      </w:r>
      <w:r w:rsidR="00760477">
        <w:t>feedback and distortion</w:t>
      </w:r>
      <w:r w:rsidR="00775D28">
        <w:t>,</w:t>
      </w:r>
      <w:r w:rsidR="00760477">
        <w:t xml:space="preserve"> that cannot be incorporated into traditional musical notation. Jimi Hendrix’s use of guitar feedback, for example, cou</w:t>
      </w:r>
      <w:r w:rsidR="00D31076">
        <w:t>ld be seen as intrinsic to the work</w:t>
      </w:r>
      <w:r w:rsidR="00760477">
        <w:t xml:space="preserve"> of “Purple Haze.” This would make that specific recording of “Purple Haze” an autographic work; if another artist played the same song, it would at best be an inauthentic reproduction of the original sounds laid to tape by Hendrix.</w:t>
      </w:r>
      <w:r w:rsidR="0052369E">
        <w:t xml:space="preserve"> The speci</w:t>
      </w:r>
      <w:r w:rsidR="00AC63DD">
        <w:t xml:space="preserve">fic aural qualities of Reich’s </w:t>
      </w:r>
      <w:r w:rsidR="00AC63DD" w:rsidRPr="00AC63DD">
        <w:rPr>
          <w:i/>
        </w:rPr>
        <w:t>It’s Gonna Rain</w:t>
      </w:r>
      <w:r w:rsidR="0052369E">
        <w:t xml:space="preserve"> would also make it an autographic work; </w:t>
      </w:r>
      <w:r w:rsidR="00AC63DD">
        <w:t xml:space="preserve">no performer is going to cover </w:t>
      </w:r>
      <w:r w:rsidR="00AC63DD" w:rsidRPr="00AC63DD">
        <w:rPr>
          <w:i/>
        </w:rPr>
        <w:t>It’s Gonna Rain</w:t>
      </w:r>
      <w:r w:rsidR="0052369E">
        <w:t xml:space="preserve"> and still produce a performance</w:t>
      </w:r>
      <w:r w:rsidR="00AC63DD">
        <w:t xml:space="preserve"> that can be called the same work</w:t>
      </w:r>
      <w:r w:rsidR="0052369E">
        <w:t xml:space="preserve"> as Reich’s original.</w:t>
      </w:r>
      <w:r w:rsidR="007D760F">
        <w:t xml:space="preserve"> </w:t>
      </w:r>
      <w:r>
        <w:t>“When music is conceived as recording and not merely as a performance that happens to be recorded,” Gracyk argues, “traditional ontology does not have a place for the musical work.”</w:t>
      </w:r>
      <w:r>
        <w:rPr>
          <w:rStyle w:val="EndnoteReference"/>
        </w:rPr>
        <w:endnoteReference w:id="57"/>
      </w:r>
    </w:p>
    <w:p w14:paraId="5402CE3C" w14:textId="3FBBEBD4" w:rsidR="005840C1" w:rsidRDefault="005840C1" w:rsidP="00B56060">
      <w:pPr>
        <w:spacing w:after="0" w:line="480" w:lineRule="auto"/>
      </w:pPr>
      <w:r>
        <w:tab/>
        <w:t>The autographic work directly contradicts Lubetzky’s traditional concept of the work entity. Lubetzky’s idea of the work is allographic, something that can have multiple authentic instantiations. A sound recording functions in the traditional model as an instantiation of the work, and not an entity with</w:t>
      </w:r>
      <w:r w:rsidR="00D31076">
        <w:t xml:space="preserve"> aural</w:t>
      </w:r>
      <w:r>
        <w:t xml:space="preserve"> qualities intrinsic to the work itself. If Gracyk is correct in his assertion that recorded musical </w:t>
      </w:r>
      <w:r>
        <w:lastRenderedPageBreak/>
        <w:t xml:space="preserve">works are “autographic,” this causes quite a problem for this traditional work model, which has no place for works that are bound to specific semantic content. The autographic work is more in line with Ravilious’ idea of a work as an entity bound to a specific medium. </w:t>
      </w:r>
    </w:p>
    <w:p w14:paraId="0AAEBC53" w14:textId="4B8F2C09" w:rsidR="00964BC5" w:rsidRDefault="005840C1" w:rsidP="00B56060">
      <w:pPr>
        <w:spacing w:after="0" w:line="480" w:lineRule="auto"/>
      </w:pPr>
      <w:r>
        <w:tab/>
        <w:t>This differentiation between allographic and autographic works is similar to Stephen Davies’ distinction between performance and playback works. In his exploration of the ontology of musical works, Davies conceives of a playback work as music where, “the entire piece is stored as code and, when sounded, is retrieved in a mechanical fashion.”</w:t>
      </w:r>
      <w:r>
        <w:rPr>
          <w:rStyle w:val="EndnoteReference"/>
        </w:rPr>
        <w:endnoteReference w:id="58"/>
      </w:r>
      <w:r>
        <w:t xml:space="preserve"> </w:t>
      </w:r>
      <w:r w:rsidR="00964BC5">
        <w:t xml:space="preserve">In modern times, this most often occurs through digital means, but Davies cities earlier works on magnetic tape, and even player pianos that could play the recording on a specific reel. Davies sees playback works as a category in which the composer has direct interaction with the actual sounds, without an intermediary required. </w:t>
      </w:r>
    </w:p>
    <w:p w14:paraId="6C7B7E89" w14:textId="45F85D0D" w:rsidR="00964BC5" w:rsidRDefault="00964BC5" w:rsidP="00B56060">
      <w:pPr>
        <w:spacing w:after="0" w:line="480" w:lineRule="auto"/>
      </w:pPr>
      <w:r>
        <w:tab/>
        <w:t xml:space="preserve">Playback works are contrasted with performance works. Performance works are largely predicated on musicians exercising their talents in a live setting, and Davies makes the case that the “multi-instantiability” of a work is important; appreciation of a </w:t>
      </w:r>
      <w:r w:rsidR="00481E2F">
        <w:t>performance</w:t>
      </w:r>
      <w:r>
        <w:t xml:space="preserve"> work comes from listening to multiple performances.</w:t>
      </w:r>
      <w:r w:rsidR="005840C1">
        <w:rPr>
          <w:rStyle w:val="EndnoteReference"/>
        </w:rPr>
        <w:endnoteReference w:id="59"/>
      </w:r>
      <w:r w:rsidR="005840C1">
        <w:t xml:space="preserve"> </w:t>
      </w:r>
      <w:r w:rsidR="00694FD3">
        <w:t xml:space="preserve">By asserting that each performance falls under the overarching category of “work,” Davies’ conception of performance works largely aligns with </w:t>
      </w:r>
      <w:r w:rsidR="0082585D">
        <w:t>Lubetzky’s</w:t>
      </w:r>
      <w:r w:rsidR="00694FD3">
        <w:t xml:space="preserve"> traditional model of the work.</w:t>
      </w:r>
    </w:p>
    <w:p w14:paraId="58B24B6C" w14:textId="11973F42" w:rsidR="00694FD3" w:rsidRDefault="00694FD3" w:rsidP="00B56060">
      <w:pPr>
        <w:spacing w:after="0" w:line="480" w:lineRule="auto"/>
      </w:pPr>
      <w:r>
        <w:tab/>
        <w:t>Playback works do not have the performer as a</w:t>
      </w:r>
      <w:r w:rsidR="00AC63DD">
        <w:t xml:space="preserve">n intermediary. Again, Reich’s </w:t>
      </w:r>
      <w:r w:rsidRPr="00AC63DD">
        <w:rPr>
          <w:i/>
        </w:rPr>
        <w:t>It’s Gonna</w:t>
      </w:r>
      <w:r w:rsidR="00AC63DD" w:rsidRPr="00AC63DD">
        <w:rPr>
          <w:i/>
        </w:rPr>
        <w:t xml:space="preserve"> Rain</w:t>
      </w:r>
      <w:r>
        <w:t xml:space="preserve"> is a good example. The piece features no performer or score; only Reich’s manipulations of pre-recorded content might count as a “performance.” As a result, there is no room for multiple performers to express the work in different ways; Reich’s intentions have been committed to tape since the very first ins</w:t>
      </w:r>
      <w:r w:rsidR="00AC63DD">
        <w:t xml:space="preserve">tantiation of </w:t>
      </w:r>
      <w:r w:rsidR="00AC63DD" w:rsidRPr="00AC63DD">
        <w:rPr>
          <w:i/>
        </w:rPr>
        <w:t>It’s Gonna Rain</w:t>
      </w:r>
      <w:r w:rsidR="00AC63DD">
        <w:t>.</w:t>
      </w:r>
      <w:r>
        <w:t xml:space="preserve"> This does not fit with the traditional model of </w:t>
      </w:r>
      <w:r w:rsidR="0082585D">
        <w:t>the work, which assumes that a work</w:t>
      </w:r>
      <w:r>
        <w:t xml:space="preserve"> exists as ideational content that is only later manifested through semantic cont</w:t>
      </w:r>
      <w:r w:rsidR="00AC63DD">
        <w:t xml:space="preserve">ent. With </w:t>
      </w:r>
      <w:r w:rsidR="00AC63DD" w:rsidRPr="00AC63DD">
        <w:rPr>
          <w:i/>
        </w:rPr>
        <w:t>It’s Gonna Rain</w:t>
      </w:r>
      <w:r w:rsidR="00AC63DD">
        <w:t>,</w:t>
      </w:r>
      <w:r>
        <w:t xml:space="preserve"> the ideational and semantic content are one and the same, and it is perhaps impossible to disentangle them. </w:t>
      </w:r>
    </w:p>
    <w:p w14:paraId="45434560" w14:textId="709F2667" w:rsidR="0082585D" w:rsidRDefault="009741BE" w:rsidP="00B56060">
      <w:pPr>
        <w:spacing w:after="0" w:line="480" w:lineRule="auto"/>
      </w:pPr>
      <w:r>
        <w:lastRenderedPageBreak/>
        <w:tab/>
        <w:t>The</w:t>
      </w:r>
      <w:r w:rsidR="0082585D">
        <w:t xml:space="preserve"> traditional concept of the work</w:t>
      </w:r>
      <w:r>
        <w:t xml:space="preserve"> as ideational content is broad, but not necessarily flexible enough to take into account alternate conceptions of the work proposed by Gracyk and Davies. The traditional work is an abstraction, content that exists as idea. However, Gracyk makes a good case that musical works can be autographic, tied to a particular piece of semantic content, and Davies’ definition of a playback work also ties the musical idea to its material instantiation. </w:t>
      </w:r>
    </w:p>
    <w:p w14:paraId="4B045F9A" w14:textId="4E993F5E" w:rsidR="009741BE" w:rsidRDefault="0082585D" w:rsidP="00B56060">
      <w:pPr>
        <w:spacing w:after="0" w:line="480" w:lineRule="auto"/>
      </w:pPr>
      <w:r>
        <w:tab/>
        <w:t xml:space="preserve">The Lubetzkian model considers the </w:t>
      </w:r>
      <w:r w:rsidR="00AC63DD">
        <w:t>work</w:t>
      </w:r>
      <w:r w:rsidR="00383C46">
        <w:t xml:space="preserve"> to be the abstract idea of notes, chord sequences, rhythms, and lyrics</w:t>
      </w:r>
      <w:r>
        <w:t>. However, Gracyk’s autograph works and Davies’ playback works</w:t>
      </w:r>
      <w:r w:rsidR="00383C46">
        <w:t xml:space="preserve"> include </w:t>
      </w:r>
      <w:r>
        <w:t xml:space="preserve">additional aspects such as </w:t>
      </w:r>
      <w:r w:rsidR="00383C46">
        <w:t xml:space="preserve">timbre, </w:t>
      </w:r>
      <w:r>
        <w:t>sound mixing, and feedback.</w:t>
      </w:r>
      <w:r w:rsidR="00383C46">
        <w:t xml:space="preserve"> In only relegating </w:t>
      </w:r>
      <w:r w:rsidR="00383C46" w:rsidRPr="0052369E">
        <w:t>ideational</w:t>
      </w:r>
      <w:r w:rsidR="00383C46">
        <w:rPr>
          <w:i/>
        </w:rPr>
        <w:t xml:space="preserve"> </w:t>
      </w:r>
      <w:r w:rsidR="00AC63DD">
        <w:t>content to the work entity,</w:t>
      </w:r>
      <w:r w:rsidR="00383C46">
        <w:t xml:space="preserve"> </w:t>
      </w:r>
      <w:r>
        <w:t>the traditional model</w:t>
      </w:r>
      <w:r w:rsidR="00383C46">
        <w:t xml:space="preserve"> fails to capture these other aspects of works conceived of as recorded sound. </w:t>
      </w:r>
      <w:r w:rsidR="007E7FEB">
        <w:t xml:space="preserve">To effectively tackle the problem of musical works in knowledge organization, a work-instance model should be applicable to </w:t>
      </w:r>
      <w:r w:rsidR="0093488D">
        <w:t xml:space="preserve">autograph and </w:t>
      </w:r>
      <w:r w:rsidR="007E7FEB">
        <w:t>playback works</w:t>
      </w:r>
      <w:r w:rsidR="0093488D">
        <w:t>, and not assume that all musical works are performance works or allographic works.</w:t>
      </w:r>
    </w:p>
    <w:p w14:paraId="01D469F8" w14:textId="77777777" w:rsidR="00936C57" w:rsidRDefault="00936C57" w:rsidP="00B56060">
      <w:pPr>
        <w:spacing w:after="0" w:line="480" w:lineRule="auto"/>
      </w:pPr>
    </w:p>
    <w:p w14:paraId="4CF20C76" w14:textId="77777777" w:rsidR="00936C57" w:rsidRDefault="00936C57" w:rsidP="00B56060">
      <w:pPr>
        <w:spacing w:after="0" w:line="480" w:lineRule="auto"/>
        <w:rPr>
          <w:b/>
        </w:rPr>
      </w:pPr>
      <w:r>
        <w:rPr>
          <w:b/>
        </w:rPr>
        <w:t xml:space="preserve">The </w:t>
      </w:r>
      <w:r>
        <w:rPr>
          <w:b/>
          <w:i/>
        </w:rPr>
        <w:t>Dark Side of the Moon</w:t>
      </w:r>
    </w:p>
    <w:p w14:paraId="7CD4DBA4" w14:textId="7AC01BCB" w:rsidR="00936C57" w:rsidRDefault="00936C57" w:rsidP="00B56060">
      <w:pPr>
        <w:spacing w:after="0" w:line="480" w:lineRule="auto"/>
      </w:pPr>
      <w:r>
        <w:rPr>
          <w:b/>
        </w:rPr>
        <w:tab/>
      </w:r>
      <w:r w:rsidR="00AC63DD">
        <w:t xml:space="preserve">An avant-garde work such as </w:t>
      </w:r>
      <w:r w:rsidR="00AC63DD" w:rsidRPr="00AC63DD">
        <w:rPr>
          <w:i/>
        </w:rPr>
        <w:t>It’s Gonna Rain</w:t>
      </w:r>
      <w:r>
        <w:t xml:space="preserve"> is very clearly intended to be a playback work, rather than a piece to be realized in individual performances. However, its experimental nature makes this type of playback work relatively rare. A much more common kind of playback work would be an album of popular music. Consider the rock band Pink Floyd’s seminal 1973 release </w:t>
      </w:r>
      <w:r>
        <w:rPr>
          <w:i/>
        </w:rPr>
        <w:t>Dark Side of the Moon</w:t>
      </w:r>
      <w:r>
        <w:t xml:space="preserve">. </w:t>
      </w:r>
      <w:r w:rsidR="00754F47">
        <w:t>This</w:t>
      </w:r>
      <w:r>
        <w:t xml:space="preserve"> is a work that is primarily experienced as a </w:t>
      </w:r>
      <w:r w:rsidR="00F352F5">
        <w:t>piece of recorded sound</w:t>
      </w:r>
      <w:r>
        <w:t xml:space="preserve">, although live performances of it have occurred. </w:t>
      </w:r>
    </w:p>
    <w:p w14:paraId="0CFB0C15" w14:textId="0373E088" w:rsidR="00936C57" w:rsidRDefault="00936C57" w:rsidP="00B56060">
      <w:pPr>
        <w:spacing w:after="0" w:line="480" w:lineRule="auto"/>
      </w:pPr>
      <w:r>
        <w:tab/>
        <w:t xml:space="preserve">In the traditional sense, </w:t>
      </w:r>
      <w:r>
        <w:rPr>
          <w:i/>
        </w:rPr>
        <w:t>Dark Side of the Moon</w:t>
      </w:r>
      <w:r>
        <w:t xml:space="preserve"> is a work composed by Pink Floyd,</w:t>
      </w:r>
      <w:r w:rsidR="007D760F">
        <w:t xml:space="preserve"> with</w:t>
      </w:r>
      <w:r>
        <w:t xml:space="preserve"> individual performances of the composition</w:t>
      </w:r>
      <w:r w:rsidR="007D760F">
        <w:t xml:space="preserve"> acting as instantiations of the work</w:t>
      </w:r>
      <w:r>
        <w:t xml:space="preserve">. For example, </w:t>
      </w:r>
      <w:r w:rsidR="00F352F5">
        <w:t>the</w:t>
      </w:r>
      <w:r>
        <w:t xml:space="preserve"> album’s studio recording sessions</w:t>
      </w:r>
      <w:r w:rsidR="00F352F5">
        <w:t xml:space="preserve"> could be portrayed,</w:t>
      </w:r>
      <w:r>
        <w:t xml:space="preserve"> using FRBR’s hierarchy</w:t>
      </w:r>
      <w:r w:rsidR="00F352F5">
        <w:t>,</w:t>
      </w:r>
      <w:r>
        <w:t xml:space="preserve"> as this.</w:t>
      </w:r>
    </w:p>
    <w:p w14:paraId="160B2B84" w14:textId="77777777" w:rsidR="00936C57" w:rsidRDefault="00936C57" w:rsidP="00B56060">
      <w:pPr>
        <w:spacing w:after="0" w:line="480" w:lineRule="auto"/>
        <w:ind w:left="720"/>
        <w:rPr>
          <w:i/>
        </w:rPr>
      </w:pPr>
      <w:r w:rsidRPr="00481E2F">
        <w:rPr>
          <w:b/>
        </w:rPr>
        <w:t>W1</w:t>
      </w:r>
      <w:r>
        <w:t xml:space="preserve">: </w:t>
      </w:r>
      <w:r>
        <w:rPr>
          <w:i/>
        </w:rPr>
        <w:t>Dark Side of the Moon</w:t>
      </w:r>
    </w:p>
    <w:p w14:paraId="45912F09" w14:textId="77777777" w:rsidR="00936C57" w:rsidRDefault="00936C57" w:rsidP="00B56060">
      <w:pPr>
        <w:spacing w:after="0" w:line="480" w:lineRule="auto"/>
      </w:pPr>
      <w:r>
        <w:rPr>
          <w:i/>
        </w:rPr>
        <w:lastRenderedPageBreak/>
        <w:tab/>
      </w:r>
      <w:r>
        <w:tab/>
      </w:r>
      <w:r w:rsidRPr="00481E2F">
        <w:rPr>
          <w:b/>
        </w:rPr>
        <w:t>E1</w:t>
      </w:r>
      <w:r>
        <w:t xml:space="preserve">: </w:t>
      </w:r>
      <w:r>
        <w:rPr>
          <w:i/>
        </w:rPr>
        <w:t>Dark Side of the Moon</w:t>
      </w:r>
      <w:r>
        <w:t xml:space="preserve"> 1972-73 Pink Floyd studio recording sessions</w:t>
      </w:r>
    </w:p>
    <w:p w14:paraId="6DC63C11" w14:textId="77777777" w:rsidR="00936C57" w:rsidRDefault="00936C57" w:rsidP="00B56060">
      <w:pPr>
        <w:spacing w:after="0" w:line="480" w:lineRule="auto"/>
      </w:pPr>
      <w:r>
        <w:tab/>
      </w:r>
      <w:r>
        <w:tab/>
      </w:r>
      <w:r>
        <w:tab/>
      </w:r>
      <w:r w:rsidRPr="00481E2F">
        <w:rPr>
          <w:b/>
        </w:rPr>
        <w:t>M1</w:t>
      </w:r>
      <w:r>
        <w:t>: 1973 LP release</w:t>
      </w:r>
    </w:p>
    <w:p w14:paraId="68FB432C" w14:textId="77777777" w:rsidR="00936C57" w:rsidRDefault="00936C57" w:rsidP="00B56060">
      <w:pPr>
        <w:spacing w:after="0" w:line="480" w:lineRule="auto"/>
      </w:pPr>
      <w:r>
        <w:tab/>
      </w:r>
      <w:r>
        <w:tab/>
      </w:r>
      <w:r>
        <w:tab/>
      </w:r>
      <w:r w:rsidRPr="00481E2F">
        <w:rPr>
          <w:b/>
        </w:rPr>
        <w:t>M2</w:t>
      </w:r>
      <w:r>
        <w:t>: 1979 remastered LP release</w:t>
      </w:r>
    </w:p>
    <w:p w14:paraId="0A4CD783" w14:textId="77777777" w:rsidR="00936C57" w:rsidRDefault="00936C57" w:rsidP="00B56060">
      <w:pPr>
        <w:spacing w:after="0" w:line="480" w:lineRule="auto"/>
      </w:pPr>
      <w:r>
        <w:tab/>
      </w:r>
      <w:r>
        <w:tab/>
      </w:r>
      <w:r>
        <w:tab/>
      </w:r>
      <w:r w:rsidRPr="00481E2F">
        <w:rPr>
          <w:b/>
        </w:rPr>
        <w:t>M3</w:t>
      </w:r>
      <w:r>
        <w:t>: 1984 CD release</w:t>
      </w:r>
    </w:p>
    <w:p w14:paraId="40F47EFA" w14:textId="77777777" w:rsidR="00936C57" w:rsidRDefault="00936C57" w:rsidP="00B56060">
      <w:pPr>
        <w:spacing w:after="0" w:line="480" w:lineRule="auto"/>
      </w:pPr>
      <w:r>
        <w:tab/>
      </w:r>
      <w:r>
        <w:tab/>
      </w:r>
      <w:r>
        <w:tab/>
      </w:r>
      <w:r w:rsidRPr="00481E2F">
        <w:rPr>
          <w:b/>
        </w:rPr>
        <w:t>M4</w:t>
      </w:r>
      <w:r>
        <w:t>: 2003 SACD release</w:t>
      </w:r>
    </w:p>
    <w:p w14:paraId="76E86776" w14:textId="5E5FF9C9" w:rsidR="00936C57" w:rsidRDefault="00936C57" w:rsidP="00B56060">
      <w:pPr>
        <w:spacing w:after="0" w:line="480" w:lineRule="auto"/>
      </w:pPr>
      <w:r>
        <w:t xml:space="preserve">However, the studio recording is not the only instance of </w:t>
      </w:r>
      <w:r>
        <w:rPr>
          <w:i/>
        </w:rPr>
        <w:t>Dark Side</w:t>
      </w:r>
      <w:r>
        <w:t>; there have been live performances of the work as well. The band played the album in its entirety at a concert at Wembley in 1974, and this performance was later released in a 2009 box set as a live concert recording.</w:t>
      </w:r>
      <w:r w:rsidR="007D760F">
        <w:t xml:space="preserve"> This would make the hierarchy as follows:</w:t>
      </w:r>
    </w:p>
    <w:p w14:paraId="4CD60C48" w14:textId="77777777" w:rsidR="00936C57" w:rsidRDefault="00936C57" w:rsidP="00B56060">
      <w:pPr>
        <w:spacing w:after="0" w:line="480" w:lineRule="auto"/>
        <w:ind w:firstLine="720"/>
        <w:rPr>
          <w:i/>
        </w:rPr>
      </w:pPr>
      <w:r w:rsidRPr="00481E2F">
        <w:rPr>
          <w:b/>
        </w:rPr>
        <w:t>W1</w:t>
      </w:r>
      <w:r>
        <w:t xml:space="preserve">: </w:t>
      </w:r>
      <w:r>
        <w:rPr>
          <w:i/>
        </w:rPr>
        <w:t>Dark Side of the Moon</w:t>
      </w:r>
    </w:p>
    <w:p w14:paraId="4AA20E15" w14:textId="77777777" w:rsidR="00936C57" w:rsidRDefault="00936C57" w:rsidP="00B56060">
      <w:pPr>
        <w:spacing w:after="0" w:line="480" w:lineRule="auto"/>
      </w:pPr>
      <w:r>
        <w:rPr>
          <w:i/>
        </w:rPr>
        <w:tab/>
      </w:r>
      <w:r>
        <w:tab/>
      </w:r>
      <w:r w:rsidRPr="00481E2F">
        <w:rPr>
          <w:b/>
        </w:rPr>
        <w:t>E1</w:t>
      </w:r>
      <w:r>
        <w:t xml:space="preserve">: </w:t>
      </w:r>
      <w:r>
        <w:rPr>
          <w:i/>
        </w:rPr>
        <w:t>Dark Side of the Moon</w:t>
      </w:r>
      <w:r>
        <w:t xml:space="preserve"> 1972-73 Pink Floyd studio recording sessions</w:t>
      </w:r>
    </w:p>
    <w:p w14:paraId="460312FF" w14:textId="77777777" w:rsidR="00936C57" w:rsidRDefault="00936C57" w:rsidP="00B56060">
      <w:pPr>
        <w:spacing w:after="0" w:line="480" w:lineRule="auto"/>
      </w:pPr>
      <w:r>
        <w:tab/>
      </w:r>
      <w:r>
        <w:tab/>
      </w:r>
      <w:r>
        <w:tab/>
      </w:r>
      <w:r w:rsidRPr="00481E2F">
        <w:rPr>
          <w:b/>
        </w:rPr>
        <w:t>M1</w:t>
      </w:r>
      <w:r>
        <w:t>: 1973 LP release</w:t>
      </w:r>
    </w:p>
    <w:p w14:paraId="7EFC9288" w14:textId="77777777" w:rsidR="00936C57" w:rsidRDefault="00936C57" w:rsidP="00B56060">
      <w:pPr>
        <w:spacing w:after="0" w:line="480" w:lineRule="auto"/>
      </w:pPr>
      <w:r>
        <w:tab/>
      </w:r>
      <w:r>
        <w:tab/>
      </w:r>
      <w:r>
        <w:tab/>
      </w:r>
      <w:r w:rsidRPr="00481E2F">
        <w:rPr>
          <w:b/>
        </w:rPr>
        <w:t>M2</w:t>
      </w:r>
      <w:r>
        <w:t>: 1979 remastered LP release</w:t>
      </w:r>
    </w:p>
    <w:p w14:paraId="3A8E59B4" w14:textId="77777777" w:rsidR="00936C57" w:rsidRDefault="00936C57" w:rsidP="00B56060">
      <w:pPr>
        <w:spacing w:after="0" w:line="480" w:lineRule="auto"/>
      </w:pPr>
      <w:r>
        <w:tab/>
      </w:r>
      <w:r>
        <w:tab/>
      </w:r>
      <w:r>
        <w:tab/>
      </w:r>
      <w:r w:rsidRPr="00481E2F">
        <w:rPr>
          <w:b/>
        </w:rPr>
        <w:t>M3</w:t>
      </w:r>
      <w:r>
        <w:t>: 1984 CD release</w:t>
      </w:r>
    </w:p>
    <w:p w14:paraId="02141042" w14:textId="77777777" w:rsidR="00936C57" w:rsidRDefault="00936C57" w:rsidP="00B56060">
      <w:pPr>
        <w:spacing w:after="0" w:line="480" w:lineRule="auto"/>
      </w:pPr>
      <w:r>
        <w:tab/>
      </w:r>
      <w:r>
        <w:tab/>
      </w:r>
      <w:r>
        <w:tab/>
      </w:r>
      <w:r w:rsidRPr="00481E2F">
        <w:rPr>
          <w:b/>
        </w:rPr>
        <w:t>M4</w:t>
      </w:r>
      <w:r>
        <w:t>: 2003 SACD release</w:t>
      </w:r>
    </w:p>
    <w:p w14:paraId="56C05A7D" w14:textId="77777777" w:rsidR="00936C57" w:rsidRDefault="00936C57" w:rsidP="00B56060">
      <w:pPr>
        <w:spacing w:after="0" w:line="480" w:lineRule="auto"/>
      </w:pPr>
      <w:r>
        <w:tab/>
      </w:r>
      <w:r>
        <w:tab/>
      </w:r>
      <w:r w:rsidRPr="00481E2F">
        <w:rPr>
          <w:b/>
        </w:rPr>
        <w:t>E2</w:t>
      </w:r>
      <w:r>
        <w:t xml:space="preserve">: </w:t>
      </w:r>
      <w:r>
        <w:rPr>
          <w:i/>
        </w:rPr>
        <w:t>Dark Side of the Moon</w:t>
      </w:r>
      <w:r>
        <w:t xml:space="preserve"> live Wembley concert performance</w:t>
      </w:r>
    </w:p>
    <w:p w14:paraId="2C5C5531" w14:textId="77777777" w:rsidR="00936C57" w:rsidRDefault="00936C57" w:rsidP="00B56060">
      <w:pPr>
        <w:spacing w:after="0" w:line="480" w:lineRule="auto"/>
      </w:pPr>
      <w:r>
        <w:tab/>
      </w:r>
      <w:r>
        <w:tab/>
      </w:r>
      <w:r>
        <w:tab/>
      </w:r>
      <w:r w:rsidRPr="00481E2F">
        <w:rPr>
          <w:b/>
        </w:rPr>
        <w:t>M1</w:t>
      </w:r>
      <w:r>
        <w:t>: 2009 CD release</w:t>
      </w:r>
    </w:p>
    <w:p w14:paraId="563E2615" w14:textId="16815A52" w:rsidR="00936C57" w:rsidRDefault="00936C57" w:rsidP="00B56060">
      <w:pPr>
        <w:spacing w:after="0" w:line="480" w:lineRule="auto"/>
      </w:pPr>
      <w:r>
        <w:t xml:space="preserve">To complicate things even further, Pink Floyd is not the only band to perform </w:t>
      </w:r>
      <w:r>
        <w:rPr>
          <w:i/>
        </w:rPr>
        <w:t xml:space="preserve">Dark Side of the Moon. </w:t>
      </w:r>
      <w:r>
        <w:t>Other figures, including the band the Flaming Lips and Billy Sherwoo</w:t>
      </w:r>
      <w:r w:rsidR="007D760F">
        <w:t>d, have also performed the work. This further complicates the FRBR hierarchy:</w:t>
      </w:r>
    </w:p>
    <w:p w14:paraId="2947E226" w14:textId="77777777" w:rsidR="00936C57" w:rsidRDefault="00936C57" w:rsidP="00B56060">
      <w:pPr>
        <w:spacing w:after="0" w:line="480" w:lineRule="auto"/>
        <w:ind w:firstLine="720"/>
        <w:rPr>
          <w:i/>
        </w:rPr>
      </w:pPr>
      <w:r w:rsidRPr="00481E2F">
        <w:rPr>
          <w:b/>
        </w:rPr>
        <w:t>W1</w:t>
      </w:r>
      <w:r w:rsidRPr="00481E2F">
        <w:t>:</w:t>
      </w:r>
      <w:r>
        <w:t xml:space="preserve"> </w:t>
      </w:r>
      <w:r>
        <w:rPr>
          <w:i/>
        </w:rPr>
        <w:t>Dark Side of the Moon</w:t>
      </w:r>
    </w:p>
    <w:p w14:paraId="45BBA292" w14:textId="77777777" w:rsidR="00936C57" w:rsidRDefault="00936C57" w:rsidP="00B56060">
      <w:pPr>
        <w:spacing w:after="0" w:line="480" w:lineRule="auto"/>
      </w:pPr>
      <w:r>
        <w:rPr>
          <w:i/>
        </w:rPr>
        <w:tab/>
      </w:r>
      <w:r>
        <w:tab/>
      </w:r>
      <w:r w:rsidRPr="00481E2F">
        <w:rPr>
          <w:b/>
        </w:rPr>
        <w:t>E1</w:t>
      </w:r>
      <w:r>
        <w:t xml:space="preserve">: </w:t>
      </w:r>
      <w:r>
        <w:rPr>
          <w:i/>
        </w:rPr>
        <w:t>Dark Side of the Moon</w:t>
      </w:r>
      <w:r>
        <w:t xml:space="preserve"> 1972-73 Pink Floyd studio recording sessions</w:t>
      </w:r>
    </w:p>
    <w:p w14:paraId="4A58A1EA" w14:textId="77777777" w:rsidR="00936C57" w:rsidRDefault="00936C57" w:rsidP="00B56060">
      <w:pPr>
        <w:spacing w:after="0" w:line="480" w:lineRule="auto"/>
      </w:pPr>
      <w:r>
        <w:tab/>
      </w:r>
      <w:r>
        <w:tab/>
      </w:r>
      <w:r>
        <w:tab/>
      </w:r>
      <w:r w:rsidRPr="00481E2F">
        <w:rPr>
          <w:b/>
        </w:rPr>
        <w:t>M1</w:t>
      </w:r>
      <w:r>
        <w:t>: 1973 LP release</w:t>
      </w:r>
    </w:p>
    <w:p w14:paraId="454876E8" w14:textId="77777777" w:rsidR="00936C57" w:rsidRDefault="00936C57" w:rsidP="00B56060">
      <w:pPr>
        <w:spacing w:after="0" w:line="480" w:lineRule="auto"/>
      </w:pPr>
      <w:r>
        <w:tab/>
      </w:r>
      <w:r>
        <w:tab/>
      </w:r>
      <w:r>
        <w:tab/>
      </w:r>
      <w:r w:rsidRPr="00481E2F">
        <w:rPr>
          <w:b/>
        </w:rPr>
        <w:t>M2</w:t>
      </w:r>
      <w:r>
        <w:t>: 1979 remastered LP release</w:t>
      </w:r>
    </w:p>
    <w:p w14:paraId="08068783" w14:textId="77777777" w:rsidR="00936C57" w:rsidRDefault="00936C57" w:rsidP="00B56060">
      <w:pPr>
        <w:spacing w:after="0" w:line="480" w:lineRule="auto"/>
      </w:pPr>
      <w:r>
        <w:lastRenderedPageBreak/>
        <w:tab/>
      </w:r>
      <w:r>
        <w:tab/>
      </w:r>
      <w:r>
        <w:tab/>
      </w:r>
      <w:r w:rsidRPr="00481E2F">
        <w:rPr>
          <w:b/>
        </w:rPr>
        <w:t>M3</w:t>
      </w:r>
      <w:r>
        <w:t>: 1984 CD release</w:t>
      </w:r>
    </w:p>
    <w:p w14:paraId="7D896F46" w14:textId="77777777" w:rsidR="00936C57" w:rsidRDefault="00936C57" w:rsidP="00B56060">
      <w:pPr>
        <w:spacing w:after="0" w:line="480" w:lineRule="auto"/>
      </w:pPr>
      <w:r>
        <w:tab/>
      </w:r>
      <w:r>
        <w:tab/>
      </w:r>
      <w:r>
        <w:tab/>
      </w:r>
      <w:r w:rsidRPr="00481E2F">
        <w:rPr>
          <w:b/>
        </w:rPr>
        <w:t>M4</w:t>
      </w:r>
      <w:r>
        <w:t>: 2003 SACD release</w:t>
      </w:r>
    </w:p>
    <w:p w14:paraId="1C7EC399" w14:textId="77777777" w:rsidR="00936C57" w:rsidRDefault="00936C57" w:rsidP="00B56060">
      <w:pPr>
        <w:spacing w:after="0" w:line="480" w:lineRule="auto"/>
      </w:pPr>
      <w:r>
        <w:tab/>
      </w:r>
      <w:r>
        <w:tab/>
      </w:r>
      <w:r w:rsidRPr="00481E2F">
        <w:rPr>
          <w:b/>
        </w:rPr>
        <w:t>E2</w:t>
      </w:r>
      <w:r>
        <w:t xml:space="preserve">: </w:t>
      </w:r>
      <w:r>
        <w:rPr>
          <w:i/>
        </w:rPr>
        <w:t>Dark Side of the Moon</w:t>
      </w:r>
      <w:r>
        <w:t xml:space="preserve"> live Wembley concert performance</w:t>
      </w:r>
    </w:p>
    <w:p w14:paraId="46227F1A" w14:textId="77777777" w:rsidR="00936C57" w:rsidRDefault="00936C57" w:rsidP="00B56060">
      <w:pPr>
        <w:spacing w:after="0" w:line="480" w:lineRule="auto"/>
      </w:pPr>
      <w:r>
        <w:tab/>
      </w:r>
      <w:r>
        <w:tab/>
      </w:r>
      <w:r>
        <w:tab/>
      </w:r>
      <w:r w:rsidRPr="00481E2F">
        <w:rPr>
          <w:b/>
        </w:rPr>
        <w:t>M1</w:t>
      </w:r>
      <w:r>
        <w:t>: 2009 CD release</w:t>
      </w:r>
    </w:p>
    <w:p w14:paraId="3472DCF7" w14:textId="77777777" w:rsidR="00936C57" w:rsidRDefault="00936C57" w:rsidP="00B56060">
      <w:pPr>
        <w:spacing w:after="0" w:line="480" w:lineRule="auto"/>
      </w:pPr>
      <w:r>
        <w:tab/>
      </w:r>
      <w:r>
        <w:tab/>
      </w:r>
      <w:r w:rsidRPr="00481E2F">
        <w:rPr>
          <w:b/>
        </w:rPr>
        <w:t>E3</w:t>
      </w:r>
      <w:r>
        <w:t>: 2009 Flaming Lips studio recording sessions</w:t>
      </w:r>
    </w:p>
    <w:p w14:paraId="3593C560" w14:textId="77777777" w:rsidR="00936C57" w:rsidRDefault="00936C57" w:rsidP="00B56060">
      <w:pPr>
        <w:spacing w:after="0" w:line="480" w:lineRule="auto"/>
      </w:pPr>
      <w:r>
        <w:tab/>
      </w:r>
      <w:r>
        <w:tab/>
      </w:r>
      <w:r>
        <w:tab/>
      </w:r>
      <w:r w:rsidRPr="00481E2F">
        <w:rPr>
          <w:b/>
        </w:rPr>
        <w:t>M1</w:t>
      </w:r>
      <w:r>
        <w:t xml:space="preserve">: 2009 </w:t>
      </w:r>
      <w:r>
        <w:rPr>
          <w:i/>
        </w:rPr>
        <w:t xml:space="preserve">Flaming Lips…Doing Dark Side of the Moon </w:t>
      </w:r>
      <w:r>
        <w:t>CD release</w:t>
      </w:r>
    </w:p>
    <w:p w14:paraId="0107BEF5" w14:textId="3CADF3C4" w:rsidR="00936C57" w:rsidRDefault="00936C57" w:rsidP="00B56060">
      <w:pPr>
        <w:spacing w:after="0" w:line="480" w:lineRule="auto"/>
      </w:pPr>
      <w:r>
        <w:tab/>
      </w:r>
      <w:r>
        <w:tab/>
      </w:r>
      <w:r>
        <w:tab/>
      </w:r>
      <w:r w:rsidRPr="00481E2F">
        <w:rPr>
          <w:b/>
        </w:rPr>
        <w:t>M2</w:t>
      </w:r>
      <w:r>
        <w:t xml:space="preserve">: 2009 </w:t>
      </w:r>
      <w:r w:rsidR="007D760F">
        <w:rPr>
          <w:i/>
        </w:rPr>
        <w:t xml:space="preserve">Flaming Lips…Doing Dark Side of the Moon </w:t>
      </w:r>
      <w:r>
        <w:t>LP release (green)</w:t>
      </w:r>
    </w:p>
    <w:p w14:paraId="213570A2" w14:textId="41A6DF9F" w:rsidR="00936C57" w:rsidRDefault="00936C57" w:rsidP="00B56060">
      <w:pPr>
        <w:spacing w:after="0" w:line="480" w:lineRule="auto"/>
      </w:pPr>
      <w:r>
        <w:tab/>
      </w:r>
      <w:r>
        <w:tab/>
      </w:r>
      <w:r>
        <w:tab/>
      </w:r>
      <w:r w:rsidRPr="00481E2F">
        <w:rPr>
          <w:b/>
        </w:rPr>
        <w:t>M3</w:t>
      </w:r>
      <w:r>
        <w:t xml:space="preserve">: 2009 </w:t>
      </w:r>
      <w:r w:rsidR="007D760F">
        <w:rPr>
          <w:i/>
        </w:rPr>
        <w:t xml:space="preserve">Flaming Lips…Doing Dark Side of the Moon </w:t>
      </w:r>
      <w:r w:rsidR="007D760F">
        <w:t>LP release (clear)</w:t>
      </w:r>
    </w:p>
    <w:p w14:paraId="1A2EB01A" w14:textId="77777777" w:rsidR="00936C57" w:rsidRDefault="00936C57" w:rsidP="00B56060">
      <w:pPr>
        <w:spacing w:after="0" w:line="480" w:lineRule="auto"/>
      </w:pPr>
      <w:r>
        <w:tab/>
      </w:r>
      <w:r>
        <w:tab/>
      </w:r>
      <w:r w:rsidRPr="00481E2F">
        <w:rPr>
          <w:b/>
        </w:rPr>
        <w:t>E4</w:t>
      </w:r>
      <w:r>
        <w:t>: 2005 Billy Sherwood studio recording sessions</w:t>
      </w:r>
    </w:p>
    <w:p w14:paraId="0C268BBC" w14:textId="77777777" w:rsidR="00936C57" w:rsidRDefault="00936C57" w:rsidP="00B56060">
      <w:pPr>
        <w:spacing w:after="0" w:line="480" w:lineRule="auto"/>
      </w:pPr>
      <w:r>
        <w:tab/>
      </w:r>
      <w:r>
        <w:tab/>
      </w:r>
      <w:r>
        <w:tab/>
      </w:r>
      <w:r w:rsidRPr="00481E2F">
        <w:rPr>
          <w:b/>
        </w:rPr>
        <w:t>M1</w:t>
      </w:r>
      <w:r>
        <w:t xml:space="preserve">: </w:t>
      </w:r>
      <w:r>
        <w:rPr>
          <w:i/>
        </w:rPr>
        <w:t>Return to the Dark Side of the Moon</w:t>
      </w:r>
      <w:r>
        <w:t xml:space="preserve"> 2006 CD release</w:t>
      </w:r>
    </w:p>
    <w:p w14:paraId="3E90CD12" w14:textId="39DDA2E4" w:rsidR="00936C57" w:rsidRDefault="00936C57" w:rsidP="00B56060">
      <w:pPr>
        <w:spacing w:after="0" w:line="480" w:lineRule="auto"/>
      </w:pPr>
      <w:r>
        <w:t xml:space="preserve">As can be seen, FRBR undoubtedly does a good job linking the plethora of relationships between the work of </w:t>
      </w:r>
      <w:r>
        <w:rPr>
          <w:i/>
        </w:rPr>
        <w:t>Dark Side of the Moon</w:t>
      </w:r>
      <w:r>
        <w:t xml:space="preserve"> and its expressions and manifestations. But does this hierarchy correspond to any definition of the “work” that musicologists or music aficionados adhere to? </w:t>
      </w:r>
    </w:p>
    <w:p w14:paraId="541807DA" w14:textId="2860D615" w:rsidR="00936C57" w:rsidRDefault="00936C57" w:rsidP="00B56060">
      <w:pPr>
        <w:spacing w:after="0" w:line="480" w:lineRule="auto"/>
      </w:pPr>
      <w:r>
        <w:tab/>
        <w:t xml:space="preserve">When a library patron is searching </w:t>
      </w:r>
      <w:r w:rsidR="00754F47">
        <w:t xml:space="preserve">for a sound recording of </w:t>
      </w:r>
      <w:r>
        <w:t xml:space="preserve">Beethoven’s </w:t>
      </w:r>
      <w:r w:rsidR="00AC63DD">
        <w:t>Fifth</w:t>
      </w:r>
      <w:r>
        <w:t xml:space="preserve"> Symphony, </w:t>
      </w:r>
      <w:r w:rsidR="007D760F">
        <w:t>that patron</w:t>
      </w:r>
      <w:r w:rsidR="00754F47">
        <w:t xml:space="preserve"> may or may not have a specific performance in mind</w:t>
      </w:r>
      <w:r>
        <w:t xml:space="preserve">. However, when a library patron is searching for Pink Floyd’s </w:t>
      </w:r>
      <w:r>
        <w:rPr>
          <w:i/>
        </w:rPr>
        <w:t>Dark Side of the Moon</w:t>
      </w:r>
      <w:r>
        <w:t xml:space="preserve">, it’s a safe bet that </w:t>
      </w:r>
      <w:r w:rsidR="007D760F">
        <w:t>he or she</w:t>
      </w:r>
      <w:r>
        <w:t xml:space="preserve"> </w:t>
      </w:r>
      <w:r w:rsidR="007D760F">
        <w:t>is</w:t>
      </w:r>
      <w:r>
        <w:t xml:space="preserve"> looking for the 1973 studio recording performed by Pink Floyd themselves, </w:t>
      </w:r>
      <w:r w:rsidR="00754F47">
        <w:t xml:space="preserve">and </w:t>
      </w:r>
      <w:r>
        <w:rPr>
          <w:i/>
        </w:rPr>
        <w:t>not</w:t>
      </w:r>
      <w:r>
        <w:t xml:space="preserve"> the Flaming Lips cover album from 2009.</w:t>
      </w:r>
    </w:p>
    <w:p w14:paraId="38F207A5" w14:textId="72880E4C" w:rsidR="00936C57" w:rsidRDefault="00936C57" w:rsidP="00B56060">
      <w:pPr>
        <w:spacing w:after="0" w:line="480" w:lineRule="auto"/>
      </w:pPr>
      <w:r>
        <w:tab/>
        <w:t xml:space="preserve">For Pink Floyd fans, the studio album release of </w:t>
      </w:r>
      <w:r>
        <w:rPr>
          <w:i/>
        </w:rPr>
        <w:t>Dark Side of the Moon</w:t>
      </w:r>
      <w:r>
        <w:t xml:space="preserve"> represents a kind of </w:t>
      </w:r>
      <w:r w:rsidR="00053DAD" w:rsidRPr="00AC63DD">
        <w:t>urtext</w:t>
      </w:r>
      <w:r w:rsidR="00053DAD">
        <w:t xml:space="preserve"> that does not exist for a work of classical music such as a Beethoven symphony. Beethoven’s </w:t>
      </w:r>
      <w:r w:rsidR="00AC63DD">
        <w:t>Fifth</w:t>
      </w:r>
      <w:r w:rsidR="00053DAD">
        <w:t xml:space="preserve"> Symphony does not have a singular exemplar that is ac</w:t>
      </w:r>
      <w:r w:rsidR="00754F47">
        <w:t xml:space="preserve">cepted as the most “authentic.” </w:t>
      </w:r>
      <w:r w:rsidR="00053DAD">
        <w:rPr>
          <w:i/>
        </w:rPr>
        <w:t>Dark Side of the Moon</w:t>
      </w:r>
      <w:r w:rsidR="00AC63DD">
        <w:t xml:space="preserve"> does have this exemplar—</w:t>
      </w:r>
      <w:r w:rsidR="00053DAD">
        <w:t>the master tapes chosen by the band to represent this work. However, within t</w:t>
      </w:r>
      <w:r w:rsidR="008F4A3C">
        <w:t>he traditional conception of the work,</w:t>
      </w:r>
      <w:r w:rsidR="00053DAD">
        <w:t xml:space="preserve"> a work is necessarily ideational content. This makes it difficult </w:t>
      </w:r>
      <w:r w:rsidR="008F4A3C">
        <w:t>to name a sound recording as a work—</w:t>
      </w:r>
      <w:r w:rsidR="00053DAD">
        <w:t xml:space="preserve">after all, sound recordings contain physical data by their very nature, rather than simply ideas. </w:t>
      </w:r>
    </w:p>
    <w:p w14:paraId="381C096D" w14:textId="66A775FE" w:rsidR="00053DAD" w:rsidRDefault="00053DAD" w:rsidP="00B56060">
      <w:pPr>
        <w:spacing w:after="0" w:line="480" w:lineRule="auto"/>
      </w:pPr>
      <w:r>
        <w:lastRenderedPageBreak/>
        <w:tab/>
      </w:r>
      <w:r w:rsidR="00754F47">
        <w:t>According to the</w:t>
      </w:r>
      <w:r>
        <w:t xml:space="preserve"> FRBR model, a work is abstract to the point of not even having a form. “Sound recording” exists in FRBR as a form of the </w:t>
      </w:r>
      <w:r w:rsidRPr="007D760F">
        <w:t>expression</w:t>
      </w:r>
      <w:r>
        <w:t xml:space="preserve">, rather than a form of the work. Under FRBR, </w:t>
      </w:r>
      <w:r>
        <w:rPr>
          <w:i/>
        </w:rPr>
        <w:t>Dark Side of the Moon</w:t>
      </w:r>
      <w:r>
        <w:t xml:space="preserve"> exists as a nebulous, formless musical compos</w:t>
      </w:r>
      <w:r w:rsidR="00754F47">
        <w:t>ition that only becomes a sound</w:t>
      </w:r>
      <w:r>
        <w:t xml:space="preserve"> recording on the </w:t>
      </w:r>
      <w:r w:rsidR="00754F47">
        <w:t>expression level. This is problematic.</w:t>
      </w:r>
    </w:p>
    <w:p w14:paraId="576AE87F" w14:textId="0105248F" w:rsidR="007D760F" w:rsidRDefault="00053DAD" w:rsidP="00B56060">
      <w:pPr>
        <w:spacing w:after="0" w:line="480" w:lineRule="auto"/>
      </w:pPr>
      <w:r>
        <w:tab/>
      </w:r>
      <w:r w:rsidR="00C74832">
        <w:t>It could be argued that for ma</w:t>
      </w:r>
      <w:r w:rsidR="008F4A3C">
        <w:t>ny forms of popular music, the work</w:t>
      </w:r>
      <w:r w:rsidR="00C74832">
        <w:t xml:space="preserve"> is considered by most to be the recording, rather than the abstract composition of ideational content. Gracyk proposes a thought experiment in which every copy of Bruce Springsteen’s 1975 album </w:t>
      </w:r>
      <w:r w:rsidR="00C74832">
        <w:rPr>
          <w:i/>
        </w:rPr>
        <w:t>Born to Run</w:t>
      </w:r>
      <w:r w:rsidR="007D760F">
        <w:t xml:space="preserve"> disappears</w:t>
      </w:r>
      <w:r w:rsidR="00C74832">
        <w:t xml:space="preserve">, and asks if the work </w:t>
      </w:r>
      <w:r w:rsidR="00C74832">
        <w:rPr>
          <w:i/>
        </w:rPr>
        <w:t>Born to Run</w:t>
      </w:r>
      <w:r w:rsidR="00C74832">
        <w:t xml:space="preserve"> would still exist without an instance of the original recording.</w:t>
      </w:r>
      <w:r w:rsidR="005840C1">
        <w:rPr>
          <w:rStyle w:val="EndnoteReference"/>
        </w:rPr>
        <w:endnoteReference w:id="60"/>
      </w:r>
      <w:r w:rsidR="005840C1">
        <w:t xml:space="preserve"> After all, even without </w:t>
      </w:r>
      <w:r w:rsidR="007D760F">
        <w:t>the original</w:t>
      </w:r>
      <w:r w:rsidR="00F352F5">
        <w:t xml:space="preserve"> </w:t>
      </w:r>
      <w:r w:rsidR="00F352F5">
        <w:rPr>
          <w:i/>
        </w:rPr>
        <w:t>Born to Run</w:t>
      </w:r>
      <w:r w:rsidR="005840C1">
        <w:t xml:space="preserve">, many live performances of the work would still exist, as </w:t>
      </w:r>
      <w:r w:rsidR="007D760F">
        <w:t>well as covers by other artists</w:t>
      </w:r>
      <w:r w:rsidR="005840C1">
        <w:t xml:space="preserve"> and published sheet music. According to the traditional work model, Springsteen’s 1975 recording is just one instance of </w:t>
      </w:r>
      <w:r w:rsidR="005840C1">
        <w:rPr>
          <w:i/>
        </w:rPr>
        <w:t>Born to Run</w:t>
      </w:r>
      <w:r w:rsidR="005840C1">
        <w:t xml:space="preserve"> among many. However, Gracyk argues that if all instances of Springste</w:t>
      </w:r>
      <w:r w:rsidR="007D760F">
        <w:t xml:space="preserve">en’s 1975 album disappeared, all </w:t>
      </w:r>
      <w:r w:rsidR="005840C1">
        <w:t>access to the original work</w:t>
      </w:r>
      <w:r w:rsidR="007D760F">
        <w:t xml:space="preserve"> </w:t>
      </w:r>
      <w:r w:rsidR="007D760F">
        <w:rPr>
          <w:i/>
        </w:rPr>
        <w:t xml:space="preserve">would </w:t>
      </w:r>
      <w:r w:rsidR="007D760F">
        <w:t>be lost</w:t>
      </w:r>
      <w:r w:rsidR="005840C1">
        <w:t>, positing that the specific sound mixing decisions, instrumental timbres, guitar overdubs, and vocal stylings on the 1975 album are essential qualities of the work itself. He writes that:</w:t>
      </w:r>
    </w:p>
    <w:p w14:paraId="41767D11" w14:textId="77777777" w:rsidR="005840C1" w:rsidRDefault="005840C1" w:rsidP="00B56060">
      <w:pPr>
        <w:spacing w:after="0" w:line="480" w:lineRule="auto"/>
        <w:ind w:left="720" w:right="720"/>
        <w:rPr>
          <w:iCs/>
        </w:rPr>
      </w:pPr>
      <w:r>
        <w:rPr>
          <w:i/>
        </w:rPr>
        <w:t>“</w:t>
      </w:r>
      <w:r w:rsidRPr="0057179B">
        <w:rPr>
          <w:i/>
        </w:rPr>
        <w:t>Born to Run</w:t>
      </w:r>
      <w:r w:rsidRPr="0057179B">
        <w:t xml:space="preserve"> </w:t>
      </w:r>
      <w:r w:rsidRPr="0057179B">
        <w:rPr>
          <w:iCs/>
        </w:rPr>
        <w:t xml:space="preserve">is only accessible by playing, on machines, end-products derived from a montage of partial performances that </w:t>
      </w:r>
      <w:r>
        <w:rPr>
          <w:iCs/>
        </w:rPr>
        <w:t xml:space="preserve">[producers] </w:t>
      </w:r>
      <w:r w:rsidRPr="0057179B">
        <w:rPr>
          <w:iCs/>
        </w:rPr>
        <w:t>Landau, Appell, and Springsteen combined on a strip of magnetic recording tape in 1975</w:t>
      </w:r>
      <w:r>
        <w:rPr>
          <w:iCs/>
        </w:rPr>
        <w:t>.”</w:t>
      </w:r>
      <w:r>
        <w:rPr>
          <w:rStyle w:val="EndnoteReference"/>
          <w:iCs/>
        </w:rPr>
        <w:endnoteReference w:id="61"/>
      </w:r>
    </w:p>
    <w:p w14:paraId="5B9C23D0" w14:textId="4F88FD19" w:rsidR="005840C1" w:rsidRDefault="005840C1" w:rsidP="00B56060">
      <w:pPr>
        <w:spacing w:after="0" w:line="480" w:lineRule="auto"/>
      </w:pPr>
      <w:r>
        <w:t xml:space="preserve">Gracyk is making the case that </w:t>
      </w:r>
      <w:r>
        <w:rPr>
          <w:i/>
        </w:rPr>
        <w:t>Born to Run</w:t>
      </w:r>
      <w:r>
        <w:t xml:space="preserve">, and all recorded rock music, exist primarily as autographic works, rather than allographic </w:t>
      </w:r>
      <w:r w:rsidR="00481E2F">
        <w:t>works</w:t>
      </w:r>
      <w:r>
        <w:t>. Without access to the original “artifact,” the work is lost.</w:t>
      </w:r>
    </w:p>
    <w:p w14:paraId="1016D7FA" w14:textId="34D7303F" w:rsidR="00C74832" w:rsidRDefault="005840C1" w:rsidP="00B56060">
      <w:pPr>
        <w:spacing w:after="0" w:line="480" w:lineRule="auto"/>
      </w:pPr>
      <w:r>
        <w:tab/>
        <w:t>This autographic approach to music mirrors the cataloging community’s current approach to fil</w:t>
      </w:r>
      <w:r w:rsidR="008F4A3C">
        <w:t>m and the work.</w:t>
      </w:r>
      <w:r>
        <w:t xml:space="preserve"> Film catalogers consider a video recording of a performance to be a new work, because of the intellectual effort involved in the direction, lighting, editing, cinematography, and so on.</w:t>
      </w:r>
      <w:r>
        <w:rPr>
          <w:rStyle w:val="EndnoteReference"/>
        </w:rPr>
        <w:endnoteReference w:id="62"/>
      </w:r>
      <w:r>
        <w:t xml:space="preserve"> </w:t>
      </w:r>
      <w:r w:rsidR="00655B13">
        <w:t>According to this philosophy, e</w:t>
      </w:r>
      <w:r>
        <w:t>ach film</w:t>
      </w:r>
      <w:r w:rsidR="00655B13">
        <w:t xml:space="preserve"> of a performance of Shakespeare’s </w:t>
      </w:r>
      <w:r w:rsidR="00655B13">
        <w:rPr>
          <w:i/>
        </w:rPr>
        <w:t xml:space="preserve">Hamlet </w:t>
      </w:r>
      <w:r w:rsidR="00655B13">
        <w:t>would exist as a different work</w:t>
      </w:r>
      <w:r>
        <w:t xml:space="preserve">. However, music catalogers have traditionally ignored the intellectual effort that goes </w:t>
      </w:r>
      <w:r>
        <w:lastRenderedPageBreak/>
        <w:t xml:space="preserve">into producing, capturing, mixing, and mastering a sound recording, and have viewed audio recordings of the same </w:t>
      </w:r>
      <w:r w:rsidR="00655B13">
        <w:t>composition</w:t>
      </w:r>
      <w:r>
        <w:t xml:space="preserve"> as different instances of the same work. For the classical music community, which views the</w:t>
      </w:r>
      <w:r w:rsidR="008F4A3C">
        <w:t xml:space="preserve"> ideational composition as the work,</w:t>
      </w:r>
      <w:r>
        <w:t xml:space="preserve"> this has not been a bad thing, but as several scholars have demonstrated</w:t>
      </w:r>
      <w:r w:rsidR="005141CE">
        <w:t>,</w:t>
      </w:r>
      <w:r>
        <w:rPr>
          <w:rStyle w:val="EndnoteReference"/>
        </w:rPr>
        <w:endnoteReference w:id="63"/>
      </w:r>
      <w:r w:rsidR="009E250B">
        <w:t xml:space="preserve"> the popular music community, much like the film community, </w:t>
      </w:r>
      <w:r w:rsidR="00754F47">
        <w:t xml:space="preserve">largely </w:t>
      </w:r>
      <w:r w:rsidR="008F4A3C">
        <w:t>views the recording as the work.</w:t>
      </w:r>
    </w:p>
    <w:p w14:paraId="57685D7F" w14:textId="77777777" w:rsidR="009E250B" w:rsidRDefault="009E250B" w:rsidP="00B56060">
      <w:pPr>
        <w:spacing w:after="0" w:line="480" w:lineRule="auto"/>
      </w:pPr>
      <w:r>
        <w:tab/>
        <w:t xml:space="preserve">In the case of </w:t>
      </w:r>
      <w:r>
        <w:rPr>
          <w:i/>
        </w:rPr>
        <w:t>Dark Side of the Moon</w:t>
      </w:r>
      <w:r>
        <w:t xml:space="preserve">, the Flaming Lips’ performance of the work would be seen as an arrangement or derivation of the original Pink Floyd performance, rather than these two performances existing as coequal instantiations. This is not necessarily a relationship that is unable to be represented in the traditional model of the work, but it does require more complicated hierarchical mapping. </w:t>
      </w:r>
    </w:p>
    <w:p w14:paraId="59D7BC82" w14:textId="3E62B209" w:rsidR="009E250B" w:rsidRDefault="009E250B" w:rsidP="00B56060">
      <w:pPr>
        <w:spacing w:after="0" w:line="480" w:lineRule="auto"/>
      </w:pPr>
      <w:r>
        <w:tab/>
      </w:r>
      <w:r w:rsidR="00655B13">
        <w:t>FRBR can again provide a model for this mapping</w:t>
      </w:r>
      <w:r>
        <w:t>. FRBR admits that relationships can be depicted at the general or specific level</w:t>
      </w:r>
      <w:r w:rsidR="005141CE">
        <w:t>,</w:t>
      </w:r>
      <w:r w:rsidR="005840C1">
        <w:rPr>
          <w:rStyle w:val="EndnoteReference"/>
        </w:rPr>
        <w:endnoteReference w:id="64"/>
      </w:r>
      <w:r w:rsidR="005840C1">
        <w:t xml:space="preserve"> and Vellucci has stated that FRBR’s “expression” level can consist of multiple sublevels.</w:t>
      </w:r>
      <w:r w:rsidR="005840C1">
        <w:rPr>
          <w:rStyle w:val="EndnoteReference"/>
        </w:rPr>
        <w:endnoteReference w:id="65"/>
      </w:r>
      <w:r w:rsidR="005840C1">
        <w:t xml:space="preserve"> </w:t>
      </w:r>
      <w:r>
        <w:t>Such a hierarchy might be mapped like this:</w:t>
      </w:r>
    </w:p>
    <w:p w14:paraId="4467AC3B" w14:textId="77777777" w:rsidR="009E250B" w:rsidRDefault="009E250B" w:rsidP="00B56060">
      <w:pPr>
        <w:spacing w:after="0" w:line="480" w:lineRule="auto"/>
        <w:ind w:left="720"/>
        <w:rPr>
          <w:i/>
        </w:rPr>
      </w:pPr>
      <w:r w:rsidRPr="009D334B">
        <w:rPr>
          <w:b/>
        </w:rPr>
        <w:t>W1</w:t>
      </w:r>
      <w:r>
        <w:t xml:space="preserve">: </w:t>
      </w:r>
      <w:r>
        <w:rPr>
          <w:i/>
        </w:rPr>
        <w:t>Dark Side of the Moon</w:t>
      </w:r>
    </w:p>
    <w:p w14:paraId="58472794" w14:textId="77777777" w:rsidR="009E250B" w:rsidRDefault="009E250B" w:rsidP="00B56060">
      <w:pPr>
        <w:spacing w:after="0" w:line="480" w:lineRule="auto"/>
        <w:ind w:left="720"/>
      </w:pPr>
      <w:r>
        <w:rPr>
          <w:i/>
        </w:rPr>
        <w:tab/>
      </w:r>
      <w:r w:rsidRPr="009D334B">
        <w:rPr>
          <w:b/>
        </w:rPr>
        <w:t>E1</w:t>
      </w:r>
      <w:r>
        <w:t xml:space="preserve">: </w:t>
      </w:r>
      <w:r>
        <w:rPr>
          <w:i/>
        </w:rPr>
        <w:t>Dark Side of the Moon</w:t>
      </w:r>
      <w:r>
        <w:t xml:space="preserve"> 1972-73 Pink Floyd studio recording sessions</w:t>
      </w:r>
    </w:p>
    <w:p w14:paraId="3CC631EE" w14:textId="77777777" w:rsidR="009E250B" w:rsidRDefault="009E250B" w:rsidP="00B56060">
      <w:pPr>
        <w:spacing w:after="0" w:line="480" w:lineRule="auto"/>
        <w:ind w:left="720"/>
      </w:pPr>
      <w:r>
        <w:tab/>
      </w:r>
      <w:r>
        <w:tab/>
      </w:r>
      <w:r>
        <w:tab/>
      </w:r>
      <w:r w:rsidRPr="009D334B">
        <w:rPr>
          <w:b/>
        </w:rPr>
        <w:t>M1</w:t>
      </w:r>
      <w:r>
        <w:t>: 1973 LP release</w:t>
      </w:r>
    </w:p>
    <w:p w14:paraId="1A765726" w14:textId="77777777" w:rsidR="009E250B" w:rsidRDefault="009E250B" w:rsidP="00B56060">
      <w:pPr>
        <w:spacing w:after="0" w:line="480" w:lineRule="auto"/>
        <w:ind w:left="720"/>
      </w:pPr>
      <w:r>
        <w:tab/>
      </w:r>
      <w:r>
        <w:tab/>
      </w:r>
      <w:r>
        <w:tab/>
      </w:r>
      <w:r w:rsidRPr="009D334B">
        <w:rPr>
          <w:b/>
        </w:rPr>
        <w:t>M2</w:t>
      </w:r>
      <w:r>
        <w:t>: 1979 remastered LP release</w:t>
      </w:r>
    </w:p>
    <w:p w14:paraId="48F9FE8F" w14:textId="77777777" w:rsidR="009E250B" w:rsidRDefault="009E250B" w:rsidP="00B56060">
      <w:pPr>
        <w:spacing w:after="0" w:line="480" w:lineRule="auto"/>
        <w:ind w:left="720"/>
      </w:pPr>
      <w:r>
        <w:tab/>
      </w:r>
      <w:r>
        <w:tab/>
      </w:r>
      <w:r>
        <w:tab/>
      </w:r>
      <w:r w:rsidRPr="009D334B">
        <w:rPr>
          <w:b/>
        </w:rPr>
        <w:t>M3</w:t>
      </w:r>
      <w:r>
        <w:t>: 1984 CD release</w:t>
      </w:r>
    </w:p>
    <w:p w14:paraId="39A77ECE" w14:textId="77777777" w:rsidR="009E250B" w:rsidRDefault="009E250B" w:rsidP="00B56060">
      <w:pPr>
        <w:spacing w:after="0" w:line="480" w:lineRule="auto"/>
        <w:ind w:left="720"/>
      </w:pPr>
      <w:r>
        <w:tab/>
      </w:r>
      <w:r>
        <w:tab/>
      </w:r>
      <w:r>
        <w:tab/>
      </w:r>
      <w:r w:rsidRPr="009D334B">
        <w:rPr>
          <w:b/>
        </w:rPr>
        <w:t>M4</w:t>
      </w:r>
      <w:r>
        <w:t>: 2003 SACD release</w:t>
      </w:r>
    </w:p>
    <w:p w14:paraId="69B869EB" w14:textId="77777777" w:rsidR="009E250B" w:rsidRDefault="009E250B" w:rsidP="00B56060">
      <w:pPr>
        <w:spacing w:after="0" w:line="480" w:lineRule="auto"/>
        <w:ind w:left="720"/>
      </w:pPr>
      <w:r>
        <w:tab/>
      </w:r>
      <w:r>
        <w:tab/>
      </w:r>
      <w:r w:rsidRPr="009D334B">
        <w:rPr>
          <w:b/>
        </w:rPr>
        <w:t>E1₁</w:t>
      </w:r>
      <w:r>
        <w:t xml:space="preserve">: </w:t>
      </w:r>
      <w:r>
        <w:rPr>
          <w:i/>
        </w:rPr>
        <w:t>Dark Side of the Moon</w:t>
      </w:r>
      <w:r>
        <w:t xml:space="preserve"> live Wembley concert performance</w:t>
      </w:r>
    </w:p>
    <w:p w14:paraId="62C44857" w14:textId="77777777" w:rsidR="009E250B" w:rsidRDefault="009E250B" w:rsidP="00B56060">
      <w:pPr>
        <w:spacing w:after="0" w:line="480" w:lineRule="auto"/>
        <w:ind w:left="720"/>
      </w:pPr>
      <w:r>
        <w:tab/>
      </w:r>
      <w:r>
        <w:tab/>
      </w:r>
      <w:r>
        <w:tab/>
      </w:r>
      <w:r w:rsidRPr="009D334B">
        <w:rPr>
          <w:b/>
        </w:rPr>
        <w:t>M1</w:t>
      </w:r>
      <w:r>
        <w:t>: 2009 CD release</w:t>
      </w:r>
    </w:p>
    <w:p w14:paraId="1F1827FF" w14:textId="77777777" w:rsidR="009E250B" w:rsidRDefault="009E250B" w:rsidP="00B56060">
      <w:pPr>
        <w:spacing w:after="0" w:line="480" w:lineRule="auto"/>
        <w:ind w:left="720"/>
      </w:pPr>
      <w:r>
        <w:tab/>
      </w:r>
      <w:r>
        <w:tab/>
      </w:r>
      <w:r w:rsidRPr="009D334B">
        <w:rPr>
          <w:b/>
        </w:rPr>
        <w:t>E1₂</w:t>
      </w:r>
      <w:r>
        <w:t>: 2009 Flaming Lips studio recording sessions</w:t>
      </w:r>
    </w:p>
    <w:p w14:paraId="7CC314CF" w14:textId="77777777" w:rsidR="009E250B" w:rsidRDefault="009E250B" w:rsidP="00B56060">
      <w:pPr>
        <w:spacing w:after="0" w:line="480" w:lineRule="auto"/>
        <w:ind w:left="720"/>
      </w:pPr>
      <w:r>
        <w:tab/>
      </w:r>
      <w:r>
        <w:tab/>
      </w:r>
      <w:r>
        <w:tab/>
      </w:r>
      <w:r w:rsidRPr="009D334B">
        <w:rPr>
          <w:b/>
        </w:rPr>
        <w:t>M1</w:t>
      </w:r>
      <w:r>
        <w:t xml:space="preserve">: 2009 </w:t>
      </w:r>
      <w:r>
        <w:rPr>
          <w:i/>
        </w:rPr>
        <w:t xml:space="preserve">Flaming Lips…Doing Dark Side of the Moon </w:t>
      </w:r>
      <w:r>
        <w:t>CD release</w:t>
      </w:r>
    </w:p>
    <w:p w14:paraId="0D3505FE" w14:textId="42BEE85B" w:rsidR="00655B13" w:rsidRDefault="009E250B" w:rsidP="00B56060">
      <w:pPr>
        <w:spacing w:after="0" w:line="480" w:lineRule="auto"/>
      </w:pPr>
      <w:r>
        <w:tab/>
      </w:r>
      <w:r>
        <w:tab/>
      </w:r>
      <w:r>
        <w:tab/>
      </w:r>
      <w:r w:rsidR="00655B13">
        <w:tab/>
      </w:r>
      <w:r w:rsidR="00655B13" w:rsidRPr="009D334B">
        <w:rPr>
          <w:b/>
        </w:rPr>
        <w:t>M2</w:t>
      </w:r>
      <w:r w:rsidR="00655B13">
        <w:t xml:space="preserve">: 2009 </w:t>
      </w:r>
      <w:r w:rsidR="00655B13">
        <w:rPr>
          <w:i/>
        </w:rPr>
        <w:t xml:space="preserve">Flaming Lips…Doing Dark Side of the Moon </w:t>
      </w:r>
      <w:r w:rsidR="00655B13">
        <w:t>LP release (green)</w:t>
      </w:r>
    </w:p>
    <w:p w14:paraId="46338D42" w14:textId="30E4BA8F" w:rsidR="00655B13" w:rsidRDefault="00655B13" w:rsidP="00B56060">
      <w:pPr>
        <w:spacing w:after="0" w:line="480" w:lineRule="auto"/>
      </w:pPr>
      <w:r>
        <w:lastRenderedPageBreak/>
        <w:tab/>
      </w:r>
      <w:r>
        <w:tab/>
      </w:r>
      <w:r>
        <w:tab/>
      </w:r>
      <w:r>
        <w:tab/>
        <w:t xml:space="preserve">M3: 2009 </w:t>
      </w:r>
      <w:r>
        <w:rPr>
          <w:i/>
        </w:rPr>
        <w:t xml:space="preserve">Flaming Lips…Doing Dark Side of the Moon </w:t>
      </w:r>
      <w:r>
        <w:t>LP release (clear)</w:t>
      </w:r>
    </w:p>
    <w:p w14:paraId="6436CC18" w14:textId="4A6E86C5" w:rsidR="009E250B" w:rsidRDefault="009E250B" w:rsidP="00B56060">
      <w:pPr>
        <w:spacing w:after="0" w:line="480" w:lineRule="auto"/>
        <w:ind w:left="720"/>
      </w:pPr>
      <w:r>
        <w:tab/>
      </w:r>
      <w:r>
        <w:tab/>
      </w:r>
      <w:r w:rsidRPr="009D334B">
        <w:rPr>
          <w:b/>
        </w:rPr>
        <w:t>E1₃</w:t>
      </w:r>
      <w:r>
        <w:t>: 2005 Billy Sherwood studio recording sessions</w:t>
      </w:r>
    </w:p>
    <w:p w14:paraId="2540ACAE" w14:textId="77777777" w:rsidR="009E250B" w:rsidRDefault="009E250B" w:rsidP="00B56060">
      <w:pPr>
        <w:spacing w:after="0" w:line="480" w:lineRule="auto"/>
        <w:ind w:left="720"/>
      </w:pPr>
      <w:r>
        <w:tab/>
      </w:r>
      <w:r>
        <w:tab/>
      </w:r>
      <w:r>
        <w:tab/>
      </w:r>
      <w:r w:rsidRPr="009D334B">
        <w:rPr>
          <w:b/>
        </w:rPr>
        <w:t>M1</w:t>
      </w:r>
      <w:r>
        <w:t xml:space="preserve">: </w:t>
      </w:r>
      <w:r>
        <w:rPr>
          <w:i/>
        </w:rPr>
        <w:t>Return to the Dark Side of the Moon</w:t>
      </w:r>
      <w:r>
        <w:t xml:space="preserve"> 2006 CD release</w:t>
      </w:r>
    </w:p>
    <w:p w14:paraId="11075633" w14:textId="77777777" w:rsidR="009E250B" w:rsidRDefault="009E250B" w:rsidP="00B56060">
      <w:pPr>
        <w:spacing w:after="0" w:line="480" w:lineRule="auto"/>
      </w:pPr>
      <w:r>
        <w:t xml:space="preserve">In this chart, the live performance of the work by Pink Floyd, as well as the cover albums by the Flaming Lips and Billy Sherwood, are subexpressions of the original expression of the 1973 studio album by Pink Floyd. It gives primacy to the original studio release, correctly asserting that other expressions of </w:t>
      </w:r>
      <w:r>
        <w:rPr>
          <w:i/>
        </w:rPr>
        <w:t>Dark Side of the Moon</w:t>
      </w:r>
      <w:r>
        <w:t xml:space="preserve"> are based on that recording. </w:t>
      </w:r>
    </w:p>
    <w:p w14:paraId="6182ADE7" w14:textId="397447DB" w:rsidR="00371536" w:rsidRPr="00754F47" w:rsidRDefault="009E250B" w:rsidP="00B56060">
      <w:pPr>
        <w:spacing w:after="0" w:line="480" w:lineRule="auto"/>
      </w:pPr>
      <w:r>
        <w:tab/>
        <w:t>However, there is still the problem of relegating a hos</w:t>
      </w:r>
      <w:r w:rsidR="008F4A3C">
        <w:t>t of creative decisions to the expression</w:t>
      </w:r>
      <w:r>
        <w:t xml:space="preserve"> level of the FRBR hierarchy. The 1973 </w:t>
      </w:r>
      <w:r>
        <w:rPr>
          <w:i/>
        </w:rPr>
        <w:t>Dark Side of the Moon</w:t>
      </w:r>
      <w:r>
        <w:t xml:space="preserve"> studio album features not only the standard rock setup of guitar, bass, drums, and keyboard, but also elements that are difficult to replicate, such as </w:t>
      </w:r>
      <w:r>
        <w:rPr>
          <w:i/>
        </w:rPr>
        <w:t xml:space="preserve">musique </w:t>
      </w:r>
      <w:r w:rsidR="005141CE">
        <w:rPr>
          <w:i/>
        </w:rPr>
        <w:t>concrète</w:t>
      </w:r>
      <w:r>
        <w:rPr>
          <w:i/>
        </w:rPr>
        <w:t xml:space="preserve"> </w:t>
      </w:r>
      <w:r>
        <w:t>sound effects (ticking clocks, ringing cash registers, helicopter sounds) and snippets of pre-recorded interviews with studio technicians.</w:t>
      </w:r>
      <w:r w:rsidR="00906FCC">
        <w:t xml:space="preserve"> An effective work-instance model should be able treat these creative contributions as work-level attributes; FRBR falls short in this regard, with its insistence at addressing such activity only as an expression-level element.</w:t>
      </w:r>
      <w:r>
        <w:t xml:space="preserve"> Much as film catalogers view the intellectual effort involved in creating a film to necessitate the emergence of a new work, the effort that Pink Floyd put into using their studio technology to create a specific aural experience would seem to necessitate calling their 1973 album </w:t>
      </w:r>
      <w:r w:rsidR="00D85771">
        <w:t xml:space="preserve">a </w:t>
      </w:r>
      <w:r w:rsidR="00D85771" w:rsidRPr="008F4A3C">
        <w:t>work</w:t>
      </w:r>
      <w:r w:rsidR="00D85771">
        <w:t xml:space="preserve">, rather than an </w:t>
      </w:r>
      <w:r w:rsidR="00D85771" w:rsidRPr="008F4A3C">
        <w:t>ur</w:t>
      </w:r>
      <w:r w:rsidR="00D85771">
        <w:rPr>
          <w:i/>
        </w:rPr>
        <w:t>-</w:t>
      </w:r>
      <w:r w:rsidR="00D85771">
        <w:t>expression upon which all other expressions are based.</w:t>
      </w:r>
      <w:r w:rsidR="00FD2764">
        <w:t xml:space="preserve"> </w:t>
      </w:r>
    </w:p>
    <w:p w14:paraId="6D566CC7" w14:textId="77777777" w:rsidR="00371536" w:rsidRDefault="00371536" w:rsidP="00B56060">
      <w:pPr>
        <w:spacing w:after="0" w:line="480" w:lineRule="auto"/>
      </w:pPr>
    </w:p>
    <w:p w14:paraId="279803C8" w14:textId="77777777" w:rsidR="00371536" w:rsidRDefault="00371536" w:rsidP="00B56060">
      <w:pPr>
        <w:spacing w:after="0" w:line="480" w:lineRule="auto"/>
      </w:pPr>
      <w:r>
        <w:rPr>
          <w:b/>
        </w:rPr>
        <w:t>Thick and Thin Works</w:t>
      </w:r>
    </w:p>
    <w:p w14:paraId="7A913A10" w14:textId="519A5055" w:rsidR="00D96949" w:rsidRDefault="00D96949" w:rsidP="00B56060">
      <w:pPr>
        <w:spacing w:after="0" w:line="480" w:lineRule="auto"/>
        <w:ind w:firstLine="720"/>
      </w:pPr>
      <w:r>
        <w:t>It is here that Lubetzky’s notion of a work falls short</w:t>
      </w:r>
      <w:r w:rsidR="008F4A3C">
        <w:t xml:space="preserve">; </w:t>
      </w:r>
      <w:r>
        <w:t xml:space="preserve">if </w:t>
      </w:r>
      <w:r>
        <w:rPr>
          <w:i/>
        </w:rPr>
        <w:t>Dark Side of the Moon</w:t>
      </w:r>
      <w:r>
        <w:t xml:space="preserve"> is specifically limited to the medium of recorded sound, this is much more akin to Ravilious’ medium-specific works. Ravilious’ definition could be used to frame </w:t>
      </w:r>
      <w:r>
        <w:rPr>
          <w:i/>
        </w:rPr>
        <w:t xml:space="preserve">Dark Side of the </w:t>
      </w:r>
      <w:r w:rsidRPr="00D96949">
        <w:t>Moon</w:t>
      </w:r>
      <w:r w:rsidR="008F4A3C">
        <w:t xml:space="preserve"> as a </w:t>
      </w:r>
      <w:r w:rsidR="00B369B6" w:rsidRPr="00D96949">
        <w:t>playback</w:t>
      </w:r>
      <w:r w:rsidR="00B369B6">
        <w:t xml:space="preserve"> work, or an autographic work, one tied to the specific </w:t>
      </w:r>
      <w:r w:rsidR="00655B13">
        <w:t>sonic content of</w:t>
      </w:r>
      <w:r w:rsidR="00B369B6">
        <w:t xml:space="preserve"> the 1973 studio recording. This view allows </w:t>
      </w:r>
      <w:r w:rsidR="00655B13">
        <w:t>one</w:t>
      </w:r>
      <w:r w:rsidR="00B369B6">
        <w:t xml:space="preserve"> to </w:t>
      </w:r>
      <w:r w:rsidR="00B369B6">
        <w:lastRenderedPageBreak/>
        <w:t xml:space="preserve">properly attribute the creative decisions </w:t>
      </w:r>
      <w:r>
        <w:t>involved in</w:t>
      </w:r>
      <w:r w:rsidR="00B369B6">
        <w:t xml:space="preserve"> the recording of music as work-level attributes. However, this nominalism makes it difficult to tie the 1973 studio album to other iterations of </w:t>
      </w:r>
      <w:r w:rsidR="00B369B6">
        <w:rPr>
          <w:i/>
        </w:rPr>
        <w:t>Dark Side of the Moon</w:t>
      </w:r>
      <w:r w:rsidR="00B369B6">
        <w:t xml:space="preserve">. While the 1973 release of </w:t>
      </w:r>
      <w:r w:rsidR="00B369B6">
        <w:rPr>
          <w:i/>
        </w:rPr>
        <w:t>Dark Side</w:t>
      </w:r>
      <w:r w:rsidR="00B369B6">
        <w:t xml:space="preserve"> may be seen as a work in its own right, rather than an instance of </w:t>
      </w:r>
      <w:r w:rsidR="00655B13">
        <w:t>an</w:t>
      </w:r>
      <w:r w:rsidR="00B369B6">
        <w:t xml:space="preserve"> abstract composition, there still needs to be a model to relate this 1973 album with all other iterations of the music. </w:t>
      </w:r>
    </w:p>
    <w:p w14:paraId="61578B39" w14:textId="5EB31A93" w:rsidR="009E250B" w:rsidRDefault="00B369B6" w:rsidP="00B56060">
      <w:pPr>
        <w:spacing w:after="0" w:line="480" w:lineRule="auto"/>
        <w:ind w:firstLine="720"/>
      </w:pPr>
      <w:r>
        <w:t xml:space="preserve">If the 1973 Pink Floyd recording of </w:t>
      </w:r>
      <w:r>
        <w:rPr>
          <w:i/>
        </w:rPr>
        <w:t xml:space="preserve">Dark Side </w:t>
      </w:r>
      <w:r>
        <w:t xml:space="preserve">is one work, and the 2009 Flaming Lips recording of </w:t>
      </w:r>
      <w:r>
        <w:rPr>
          <w:i/>
        </w:rPr>
        <w:t>Dark Side</w:t>
      </w:r>
      <w:r>
        <w:t xml:space="preserve"> is another, how </w:t>
      </w:r>
      <w:r w:rsidR="00D96949">
        <w:t xml:space="preserve">is the relationship mapped between the two? </w:t>
      </w:r>
      <w:r>
        <w:rPr>
          <w:i/>
        </w:rPr>
        <w:t xml:space="preserve">Dark Side of the Moon </w:t>
      </w:r>
      <w:r w:rsidR="00371536">
        <w:t>is rigidly tied to certain sounds on the 1973 studio recording</w:t>
      </w:r>
      <w:r w:rsidR="00D96949">
        <w:t xml:space="preserve"> (in the playback/autographic sense)</w:t>
      </w:r>
      <w:r w:rsidR="00371536">
        <w:t>, but is also flexible enough to be recognizable in different per</w:t>
      </w:r>
      <w:r w:rsidR="00D96949">
        <w:t>formances by different figures (in the performance/allographic sense).</w:t>
      </w:r>
    </w:p>
    <w:p w14:paraId="558A5BF3" w14:textId="6FDC67E9" w:rsidR="00655B13" w:rsidRDefault="00B369B6" w:rsidP="00B56060">
      <w:pPr>
        <w:spacing w:after="0" w:line="480" w:lineRule="auto"/>
        <w:ind w:firstLine="720"/>
      </w:pPr>
      <w:r>
        <w:t>Stephen Davies introduces a third dichotomy of musical works that can help solve the issues with these works that straddle the dichotomy of autographic and allographic. He distinguishes between “thick” and “thin” works in the following manner:</w:t>
      </w:r>
    </w:p>
    <w:p w14:paraId="1C83C75A" w14:textId="758B3660" w:rsidR="00F57F15" w:rsidRDefault="00655B13" w:rsidP="00B56060">
      <w:pPr>
        <w:spacing w:after="0" w:line="480" w:lineRule="auto"/>
        <w:ind w:left="720" w:right="720"/>
      </w:pPr>
      <w:r>
        <w:t>“</w:t>
      </w:r>
      <w:r w:rsidR="00B369B6">
        <w:t>If it is thin, the work's determinative properties are comparatively few in number and most of the qualities of a performance are aspects of the performer's interpretation, not of the work as such. The thinner they are, the freer is the performer to control aspects of the performance. Pieces specified only as a melody and chord sequence are thin…By contrast, if the work is thick, a great many of the properties heard in a performance are crucial to its identity and must be reproduced in a fully faithful rendition of the work. The thicker the work, the more the composer controls the sonic detail of its accurate instances.</w:t>
      </w:r>
      <w:r>
        <w:t xml:space="preserve">” </w:t>
      </w:r>
      <w:r w:rsidR="005840C1">
        <w:rPr>
          <w:rStyle w:val="EndnoteReference"/>
        </w:rPr>
        <w:endnoteReference w:id="66"/>
      </w:r>
    </w:p>
    <w:p w14:paraId="10D74C90" w14:textId="6820DAC7" w:rsidR="005840C1" w:rsidRDefault="009D334B" w:rsidP="00B56060">
      <w:pPr>
        <w:spacing w:after="0" w:line="480" w:lineRule="auto"/>
      </w:pPr>
      <w:r>
        <w:t>To simplify Davies’ language, thick</w:t>
      </w:r>
      <w:r w:rsidR="005840C1">
        <w:t xml:space="preserve"> works are those that require the exact sound-for-sound replication of the original</w:t>
      </w:r>
      <w:r w:rsidR="00F57F15">
        <w:t xml:space="preserve"> product</w:t>
      </w:r>
      <w:r>
        <w:t xml:space="preserve">, while </w:t>
      </w:r>
      <w:r w:rsidR="005840C1">
        <w:t>thi</w:t>
      </w:r>
      <w:r>
        <w:t>n</w:t>
      </w:r>
      <w:r w:rsidR="005840C1">
        <w:t xml:space="preserve"> works are those pieces that can mutate somewhat and still be recognizable as the same work. “Thick” and “thin” exist on a spectrum; classical music is </w:t>
      </w:r>
      <w:r w:rsidR="006F2A67">
        <w:t xml:space="preserve">typically </w:t>
      </w:r>
      <w:r w:rsidR="005840C1">
        <w:lastRenderedPageBreak/>
        <w:t>“thick”</w:t>
      </w:r>
      <w:r w:rsidR="005141CE">
        <w:t>—</w:t>
      </w:r>
      <w:r w:rsidR="005840C1">
        <w:t>performances are tied to the specific notes, rhythms, dynamics, and expressive markings dictated by the composer</w:t>
      </w:r>
      <w:r w:rsidR="005141CE">
        <w:t>—</w:t>
      </w:r>
      <w:r w:rsidR="005840C1">
        <w:t>but can be “thin” enough to leave certain interpretative issues up to the conductor or performer. Folk songs, in contrast, are much more “thin,” in that they rely on the performer to flesh out the basic melody provided. “The Ballad of John Henry,” a wor</w:t>
      </w:r>
      <w:r>
        <w:t>k with no known composer, is a thin</w:t>
      </w:r>
      <w:r w:rsidR="005840C1">
        <w:t xml:space="preserve"> work</w:t>
      </w:r>
      <w:r w:rsidR="008F4A3C">
        <w:t xml:space="preserve">; </w:t>
      </w:r>
      <w:r w:rsidR="005840C1">
        <w:t xml:space="preserve">without explicit instructions outlined by the composer, the music can become more fluid, as each performer can make his or her own decisions about how to convey the music. </w:t>
      </w:r>
    </w:p>
    <w:p w14:paraId="2EA0F6D2" w14:textId="1EBA1ADE" w:rsidR="00FF1780" w:rsidRDefault="005840C1" w:rsidP="00B56060">
      <w:pPr>
        <w:spacing w:after="0" w:line="480" w:lineRule="auto"/>
        <w:ind w:firstLine="720"/>
      </w:pPr>
      <w:r>
        <w:t xml:space="preserve">All playback works can be seen as thick works. </w:t>
      </w:r>
      <w:r w:rsidR="00F352F5">
        <w:t xml:space="preserve">Adam </w:t>
      </w:r>
      <w:r>
        <w:t>Stansbie argues that composers of playback works acknowledge that they are creating thick works (which he calls “tape works”), writing that, “The tape composer is able to control and shape the timbre of a sound with precision; as a result the tape work…will necessarily share timbral details with each and every token.”</w:t>
      </w:r>
      <w:r>
        <w:rPr>
          <w:rStyle w:val="EndnoteReference"/>
        </w:rPr>
        <w:endnoteReference w:id="67"/>
      </w:r>
      <w:r>
        <w:t xml:space="preserve"> </w:t>
      </w:r>
      <w:r w:rsidR="00FF1780">
        <w:t xml:space="preserve">While a playback work could conceivably have derivations that represent “thin” properties, the fact that they are necessarily tied to specific sounds created by the composer makes them thick works. </w:t>
      </w:r>
    </w:p>
    <w:p w14:paraId="7029AD34" w14:textId="7310D06D" w:rsidR="001A7364" w:rsidRDefault="00FF1780" w:rsidP="00B56060">
      <w:pPr>
        <w:spacing w:after="0" w:line="480" w:lineRule="auto"/>
        <w:ind w:firstLine="720"/>
      </w:pPr>
      <w:r>
        <w:t xml:space="preserve">Davies’ distinction between thick and thin works helps resolve the lack of clarity in defining a “work.” It provides a dual framework to look at musical works in particular. </w:t>
      </w:r>
      <w:r>
        <w:rPr>
          <w:i/>
        </w:rPr>
        <w:t>Dark Side of the Moon</w:t>
      </w:r>
      <w:r>
        <w:t xml:space="preserve"> can be seen simultaneously as both a thick and thin work. </w:t>
      </w:r>
      <w:r w:rsidR="001A7364">
        <w:t>As a thick work, the piece is autographic. It is tied to the specific sounds featured on the 1973 studio recording, and any instance that doesn’t use this exact aural conte</w:t>
      </w:r>
      <w:r w:rsidR="008F4A3C">
        <w:t>nt would be inauthentic to the thick</w:t>
      </w:r>
      <w:r w:rsidR="001A7364">
        <w:t xml:space="preserve"> work. As a thin work, however, </w:t>
      </w:r>
      <w:r w:rsidR="001A7364">
        <w:rPr>
          <w:i/>
        </w:rPr>
        <w:t>Dark Side of the Moon</w:t>
      </w:r>
      <w:r w:rsidR="001A7364">
        <w:t xml:space="preserve"> is more flexible; all performances of the work that feature the same lyrics, chord progressions, and rhythms might be acceptable instantiations, including Pink Floyd’s live performances, the Flaming Lips 2009 cover album, and others. None of these perfo</w:t>
      </w:r>
      <w:r w:rsidR="008F4A3C">
        <w:t>rmances specifically match the thick</w:t>
      </w:r>
      <w:r w:rsidR="001A7364">
        <w:t xml:space="preserve"> work on the 1973 studio album, but they adhere enough to the chords and rhythms of the wor</w:t>
      </w:r>
      <w:r w:rsidR="008F4A3C">
        <w:t>k to exist as instances of the thin</w:t>
      </w:r>
      <w:r w:rsidR="001A7364">
        <w:t xml:space="preserve"> work of </w:t>
      </w:r>
      <w:r w:rsidR="001A7364">
        <w:rPr>
          <w:i/>
        </w:rPr>
        <w:t>Dark Side</w:t>
      </w:r>
      <w:r w:rsidR="001A7364">
        <w:t xml:space="preserve">. </w:t>
      </w:r>
    </w:p>
    <w:p w14:paraId="09E698B5" w14:textId="23AF1CFC" w:rsidR="001A7364" w:rsidRDefault="001A7364" w:rsidP="00B56060">
      <w:pPr>
        <w:spacing w:after="0" w:line="480" w:lineRule="auto"/>
        <w:ind w:firstLine="720"/>
      </w:pPr>
      <w:r>
        <w:t xml:space="preserve">As stated above, Theodore Gracyk considers Bruce Springsteen’s </w:t>
      </w:r>
      <w:r>
        <w:rPr>
          <w:i/>
        </w:rPr>
        <w:t>Born to Run</w:t>
      </w:r>
      <w:r>
        <w:t xml:space="preserve"> an autographic work, one that would no longer exist if all copies of the 1975 studio recording were destroyed. While it </w:t>
      </w:r>
      <w:r>
        <w:lastRenderedPageBreak/>
        <w:t xml:space="preserve">is true that </w:t>
      </w:r>
      <w:r>
        <w:rPr>
          <w:i/>
        </w:rPr>
        <w:t>Born to Run</w:t>
      </w:r>
      <w:r>
        <w:t xml:space="preserve"> could no longer exist as a </w:t>
      </w:r>
      <w:r>
        <w:rPr>
          <w:i/>
        </w:rPr>
        <w:t>thick</w:t>
      </w:r>
      <w:r>
        <w:t xml:space="preserve"> work if all its original recordings were destroyed, it could still easily exist as a thin work through covers and performances that authentically replicate the chords, rhythms and lyrics, if not the exact </w:t>
      </w:r>
      <w:r>
        <w:rPr>
          <w:i/>
        </w:rPr>
        <w:t>sounds</w:t>
      </w:r>
      <w:r>
        <w:t xml:space="preserve"> of Springsteen’s studio album. There is no conflict between playback and performance, or between autograph and allograph. Works can be simultaneously thick and thin, allowing for a framework that gives precedence to the original autograph (the thick work), while still acknowledging the </w:t>
      </w:r>
      <w:r w:rsidR="00D96949">
        <w:t>possibility</w:t>
      </w:r>
      <w:r>
        <w:t xml:space="preserve"> of varying performances (instances of the thin work). </w:t>
      </w:r>
    </w:p>
    <w:p w14:paraId="2E9AE965" w14:textId="4F75F822" w:rsidR="00EF3283" w:rsidRDefault="001A7364" w:rsidP="00B56060">
      <w:pPr>
        <w:spacing w:after="0" w:line="480" w:lineRule="auto"/>
        <w:ind w:firstLine="720"/>
      </w:pPr>
      <w:r>
        <w:t>The traditional work model</w:t>
      </w:r>
      <w:r w:rsidR="00D96949">
        <w:t xml:space="preserve"> of Lubetzky</w:t>
      </w:r>
      <w:r>
        <w:t xml:space="preserve"> assumes that all musical works are thin, allowing for </w:t>
      </w:r>
      <w:r w:rsidR="00D96949">
        <w:t>multiple authentic instances</w:t>
      </w:r>
      <w:r w:rsidR="00EE0C41">
        <w:t xml:space="preserve"> from different performers.</w:t>
      </w:r>
      <w:r w:rsidR="00D96949">
        <w:t xml:space="preserve"> Ravilious’ competing model sees works as something inherently bound to a specific medium.</w:t>
      </w:r>
      <w:r w:rsidR="00EE0C41">
        <w:t xml:space="preserve"> However, as detailed above, many works can be seen as both thick </w:t>
      </w:r>
      <w:r w:rsidR="00EE0C41">
        <w:rPr>
          <w:i/>
        </w:rPr>
        <w:t xml:space="preserve">and </w:t>
      </w:r>
      <w:r w:rsidR="00EE0C41">
        <w:t>thin. The adoption of these signifiers would help settle long-standing issues in the field of musical knowledge organization</w:t>
      </w:r>
      <w:r w:rsidR="00E27DE6">
        <w:t>.</w:t>
      </w:r>
      <w:r w:rsidR="00EE0C41">
        <w:t xml:space="preserve"> </w:t>
      </w:r>
    </w:p>
    <w:p w14:paraId="4F2D1C35" w14:textId="1F7BD8A0" w:rsidR="00EE0C41" w:rsidRPr="00B67477" w:rsidRDefault="00E27DE6" w:rsidP="00B56060">
      <w:pPr>
        <w:spacing w:after="0" w:line="480" w:lineRule="auto"/>
        <w:ind w:firstLine="720"/>
      </w:pPr>
      <w:r>
        <w:t>For example,</w:t>
      </w:r>
      <w:r w:rsidR="00EE0C41">
        <w:t xml:space="preserve"> the status of jazz works have been a source of contention for some time.</w:t>
      </w:r>
      <w:r w:rsidR="005840C1">
        <w:rPr>
          <w:rStyle w:val="EndnoteReference"/>
        </w:rPr>
        <w:endnoteReference w:id="68"/>
      </w:r>
      <w:r>
        <w:t xml:space="preserve"> Raymond Schmidt </w:t>
      </w:r>
      <w:r w:rsidR="00EF3283">
        <w:t>makes the case that each</w:t>
      </w:r>
      <w:r>
        <w:t xml:space="preserve"> individual </w:t>
      </w:r>
      <w:r w:rsidR="00EF3283">
        <w:t>jazz</w:t>
      </w:r>
      <w:r w:rsidR="00B67477">
        <w:t xml:space="preserve"> improvisation is a separate work, rather than a derivation of an existing work. He cites Art Tatum’s recording of “Tea for Two” from Vincent Youmans’ musical </w:t>
      </w:r>
      <w:r w:rsidR="00B67477">
        <w:rPr>
          <w:i/>
        </w:rPr>
        <w:t>No, No, Nanette</w:t>
      </w:r>
      <w:r w:rsidR="00B67477">
        <w:t xml:space="preserve"> as an example of a jazz improvisation that functions as a new work.</w:t>
      </w:r>
      <w:r w:rsidR="00B67477">
        <w:rPr>
          <w:rStyle w:val="EndnoteReference"/>
        </w:rPr>
        <w:endnoteReference w:id="69"/>
      </w:r>
      <w:r w:rsidR="00B67477">
        <w:t xml:space="preserve"> However, using the concepts of “thick” and “thin,” one could make the case that Tatum’s piece is a thick work in that it is bound to a specific musical medium and style, while simultaneously functioning as</w:t>
      </w:r>
      <w:r w:rsidR="00B10A76">
        <w:t xml:space="preserve"> a thin work, in that it is </w:t>
      </w:r>
      <w:r w:rsidR="00EF3283">
        <w:t>an</w:t>
      </w:r>
      <w:r w:rsidR="00B67477">
        <w:t xml:space="preserve"> instantiation of the original</w:t>
      </w:r>
      <w:r w:rsidR="00EF3283">
        <w:t xml:space="preserve"> musical number </w:t>
      </w:r>
      <w:r w:rsidR="008425A9">
        <w:t>that employs the same melodies and chord progressions.</w:t>
      </w:r>
      <w:r w:rsidR="00B67477">
        <w:t xml:space="preserve"> </w:t>
      </w:r>
      <w:r w:rsidR="00EF3283">
        <w:t>The dual identification as a thick and thin work helps establish Tatum’s creation of improvisatory content while still acknowledging the piece’s heavy connection to the original</w:t>
      </w:r>
      <w:r w:rsidR="00B10A76">
        <w:t xml:space="preserve"> musical number</w:t>
      </w:r>
      <w:r w:rsidR="00EF3283">
        <w:t>.</w:t>
      </w:r>
    </w:p>
    <w:p w14:paraId="6BB15A46" w14:textId="77777777" w:rsidR="00F57F15" w:rsidRDefault="00F57F15" w:rsidP="00B56060">
      <w:pPr>
        <w:spacing w:after="0" w:line="240" w:lineRule="auto"/>
        <w:ind w:firstLine="720"/>
      </w:pPr>
    </w:p>
    <w:p w14:paraId="109FFB4B" w14:textId="77777777" w:rsidR="00EE0C41" w:rsidRDefault="00BA64C3" w:rsidP="00B56060">
      <w:pPr>
        <w:spacing w:after="0" w:line="480" w:lineRule="auto"/>
        <w:rPr>
          <w:b/>
        </w:rPr>
      </w:pPr>
      <w:r>
        <w:rPr>
          <w:b/>
        </w:rPr>
        <w:t>Conclusion</w:t>
      </w:r>
    </w:p>
    <w:p w14:paraId="1048AA61" w14:textId="6718D2B1" w:rsidR="00F57F15" w:rsidRDefault="00BA64C3" w:rsidP="00B56060">
      <w:pPr>
        <w:spacing w:after="0" w:line="480" w:lineRule="auto"/>
      </w:pPr>
      <w:r>
        <w:tab/>
      </w:r>
      <w:r w:rsidR="007948B2">
        <w:t>Because it is</w:t>
      </w:r>
      <w:r>
        <w:t xml:space="preserve"> such a seminal concept </w:t>
      </w:r>
      <w:r w:rsidR="006839CF">
        <w:t>in</w:t>
      </w:r>
      <w:r>
        <w:t xml:space="preserve"> the literature of library and information science, </w:t>
      </w:r>
      <w:r w:rsidR="007948B2">
        <w:t xml:space="preserve">it is surprising that </w:t>
      </w:r>
      <w:r>
        <w:t xml:space="preserve">the “work” still lacks a concrete definition. </w:t>
      </w:r>
      <w:r w:rsidR="007A2BD1">
        <w:t xml:space="preserve">Early literature indicates that many aspects of </w:t>
      </w:r>
      <w:r w:rsidR="007A2BD1">
        <w:lastRenderedPageBreak/>
        <w:t xml:space="preserve">the work </w:t>
      </w:r>
      <w:r w:rsidR="006839CF">
        <w:t>were</w:t>
      </w:r>
      <w:r w:rsidR="007A2BD1">
        <w:t xml:space="preserve"> still up for debate, with a lack of consensus on whether or not a work even could embody a specific form</w:t>
      </w:r>
      <w:r w:rsidR="00F57F15">
        <w:t xml:space="preserve">at. Eventually, the profession </w:t>
      </w:r>
      <w:r w:rsidR="007A2BD1">
        <w:t xml:space="preserve">adopted Lubetzky’s claim that a work </w:t>
      </w:r>
      <w:r w:rsidR="006839CF">
        <w:t xml:space="preserve">was an abstract entity that </w:t>
      </w:r>
      <w:r w:rsidR="007A2BD1">
        <w:t xml:space="preserve">could be embodied in multiple forms. But a more precise definition of the work was lacking. </w:t>
      </w:r>
      <w:r>
        <w:t xml:space="preserve">Even </w:t>
      </w:r>
      <w:r w:rsidR="007A2BD1">
        <w:t>models</w:t>
      </w:r>
      <w:r>
        <w:t xml:space="preserve"> such as FRBR, with a rigid hierar</w:t>
      </w:r>
      <w:r w:rsidR="007A2BD1">
        <w:t>chy in place, lack</w:t>
      </w:r>
      <w:r>
        <w:t xml:space="preserve"> a clear</w:t>
      </w:r>
      <w:r w:rsidR="007A2BD1">
        <w:t>-cut definition of this entity.</w:t>
      </w:r>
      <w:r>
        <w:t xml:space="preserve"> </w:t>
      </w:r>
      <w:r w:rsidR="007A2BD1">
        <w:t>FRBR</w:t>
      </w:r>
      <w:r>
        <w:t xml:space="preserve"> claims that:</w:t>
      </w:r>
    </w:p>
    <w:p w14:paraId="23D15A6D" w14:textId="3E57BC1F" w:rsidR="00BA64C3" w:rsidRDefault="00BA64C3" w:rsidP="00B56060">
      <w:pPr>
        <w:spacing w:after="0" w:line="480" w:lineRule="auto"/>
        <w:ind w:left="720" w:right="720"/>
      </w:pPr>
      <w:r>
        <w:t>“The concept of what constitutes a work and where the line of demarcation lies between one work and another may in fact be viewed differently from one culture to another. Consequently the bibliographic conventions established by various cultures or national groups may differ in terms of the criteria they use for determining the boundaries between one work and another.”</w:t>
      </w:r>
      <w:r w:rsidR="005840C1">
        <w:rPr>
          <w:rStyle w:val="EndnoteReference"/>
        </w:rPr>
        <w:endnoteReference w:id="70"/>
      </w:r>
    </w:p>
    <w:p w14:paraId="3186CDF5" w14:textId="6D00DF5B" w:rsidR="007A2BD1" w:rsidRDefault="00BA64C3" w:rsidP="00B56060">
      <w:pPr>
        <w:spacing w:after="0" w:line="480" w:lineRule="auto"/>
      </w:pPr>
      <w:r>
        <w:t xml:space="preserve">FRBR’s call for </w:t>
      </w:r>
      <w:r w:rsidR="007A2BD1">
        <w:t xml:space="preserve">community-specific definitions for the work makes sense, but </w:t>
      </w:r>
      <w:r w:rsidR="00F57F15">
        <w:t>has</w:t>
      </w:r>
      <w:r w:rsidR="007A2BD1">
        <w:t xml:space="preserve"> not been followed through in practice, particularly with</w:t>
      </w:r>
      <w:r w:rsidR="006839CF">
        <w:t>in</w:t>
      </w:r>
      <w:r w:rsidR="007A2BD1">
        <w:t xml:space="preserve"> the musical community. </w:t>
      </w:r>
    </w:p>
    <w:p w14:paraId="1B97F8FD" w14:textId="6D32437F" w:rsidR="00BA64C3" w:rsidRDefault="007A2BD1" w:rsidP="00B56060">
      <w:pPr>
        <w:spacing w:after="0" w:line="480" w:lineRule="auto"/>
        <w:ind w:firstLine="720"/>
      </w:pPr>
      <w:r>
        <w:t xml:space="preserve">Librarians have followed the traditional, Lubetzkian model of the musical work as a formless entity that could be instantiated as printed score, recorded sound, or live performance. This has been adequate for classical music, yet has also led to the largely unspoken fact that this model does not fit popular, folk, jazz, electronic, hip-hop, or avant-garde music. Musicologists and philosophers of music have not embraced this definition of the work, instead examining the problems inherent in the rise of sound recording and its displacement of live performance as the primary mode of listening in the modern world. This </w:t>
      </w:r>
      <w:r w:rsidR="00A675E8">
        <w:t xml:space="preserve">alternative </w:t>
      </w:r>
      <w:r>
        <w:t>definition of a work accepts the existe</w:t>
      </w:r>
      <w:r w:rsidR="008F4A3C">
        <w:t>nce of a sound recording as a work</w:t>
      </w:r>
      <w:r>
        <w:t xml:space="preserve"> in th</w:t>
      </w:r>
      <w:r w:rsidR="008F4A3C">
        <w:t>e same manner that a film is a work</w:t>
      </w:r>
      <w:r w:rsidR="00B95927">
        <w:t>—</w:t>
      </w:r>
      <w:r>
        <w:t xml:space="preserve">there are specific creative decisions made by producers and sound mixers in creating a recording that give them primary creative control. Under this definition, two recordings of the same piece of music are two separate works, just as two movies of a Shakespeare play are two separate works. </w:t>
      </w:r>
    </w:p>
    <w:p w14:paraId="3037B23D" w14:textId="4453797A" w:rsidR="007A2BD1" w:rsidRDefault="00DC7878" w:rsidP="00B56060">
      <w:pPr>
        <w:spacing w:after="0" w:line="480" w:lineRule="auto"/>
        <w:ind w:firstLine="720"/>
      </w:pPr>
      <w:r>
        <w:lastRenderedPageBreak/>
        <w:t>The application of models such as Gracyk’s allographic/autographic distinction or Davies’ spectrum of thick and thin works goes a long way toward clearing up some of the confusion surrounding musical works. Being able to distinguish between allographic works that can be instantiated in several different formats, and autographic music tied to a specific recording adds a crucial dimension to this d</w:t>
      </w:r>
      <w:r w:rsidR="008F4A3C">
        <w:t>efinition, and the spectrum of thick and thin</w:t>
      </w:r>
      <w:r>
        <w:t xml:space="preserve"> works allows </w:t>
      </w:r>
      <w:r w:rsidR="00D06F58">
        <w:t xml:space="preserve">pieces such as </w:t>
      </w:r>
      <w:r w:rsidR="00D06F58">
        <w:rPr>
          <w:i/>
        </w:rPr>
        <w:t>Dark Side of the Moon</w:t>
      </w:r>
      <w:r w:rsidR="00D06F58">
        <w:t xml:space="preserve"> to be treated in multiple ways, as both an abstract composition and a specific master recording. </w:t>
      </w:r>
    </w:p>
    <w:p w14:paraId="63BDAE11" w14:textId="09A8B4DE" w:rsidR="00B427C4" w:rsidRDefault="00E14925" w:rsidP="00B56060">
      <w:pPr>
        <w:spacing w:after="0" w:line="480" w:lineRule="auto"/>
        <w:ind w:firstLine="720"/>
      </w:pPr>
      <w:r>
        <w:t>The work</w:t>
      </w:r>
      <w:r w:rsidR="00C725EA">
        <w:t xml:space="preserve"> </w:t>
      </w:r>
      <w:r w:rsidR="00905F48">
        <w:t>has been considered an abstract entity of ideational content for a long time, and FRBR has codified the notion that the work is not tied to any specific piece of semantic content or physical format. Yet there is clear evidence that the musicological community has definitions of the “work” that differ from t</w:t>
      </w:r>
      <w:r w:rsidR="00AB4440">
        <w:t xml:space="preserve">his purely ideational framework, and </w:t>
      </w:r>
      <w:r w:rsidR="00CA57DC">
        <w:t>challenge many of the assumptions that librarians may have about musical works.</w:t>
      </w:r>
      <w:r w:rsidR="00905F48">
        <w:t xml:space="preserve"> There should be increased interdisciplinary interaction between librarians and members of </w:t>
      </w:r>
      <w:r w:rsidR="00C725EA">
        <w:t>musical communities</w:t>
      </w:r>
      <w:r w:rsidR="00905F48">
        <w:t xml:space="preserve"> in order</w:t>
      </w:r>
      <w:r>
        <w:t xml:space="preserve"> to further understand how the work</w:t>
      </w:r>
      <w:r w:rsidR="00905F48">
        <w:t xml:space="preserve"> is defined outside the world of information science. </w:t>
      </w:r>
      <w:r w:rsidR="00AB48BD">
        <w:t>Future work-instance models should take into account these new definitions of a musical work, and be able to handle both traditional classical music for performance and popular music manifested in a sound recording.</w:t>
      </w:r>
    </w:p>
    <w:p w14:paraId="7ECBAF31" w14:textId="079BCF3E" w:rsidR="00905F48" w:rsidRDefault="00B427C4" w:rsidP="00B56060">
      <w:pPr>
        <w:spacing w:after="0" w:line="480" w:lineRule="auto"/>
        <w:ind w:firstLine="720"/>
      </w:pPr>
      <w:r>
        <w:t>Some figures, such as Le</w:t>
      </w:r>
      <w:r w:rsidR="00C725EA">
        <w:t xml:space="preserve"> </w:t>
      </w:r>
      <w:r w:rsidR="00FA1563">
        <w:t>Boeuf</w:t>
      </w:r>
      <w:r>
        <w:t>, have dismissed the endless questions about what constitutes a new work as meaningless and counterproductive.</w:t>
      </w:r>
      <w:r w:rsidR="005840C1">
        <w:rPr>
          <w:rStyle w:val="EndnoteReference"/>
        </w:rPr>
        <w:endnoteReference w:id="71"/>
      </w:r>
      <w:r w:rsidR="005840C1">
        <w:t xml:space="preserve"> </w:t>
      </w:r>
      <w:r>
        <w:t xml:space="preserve">It is true that there will never be a universally accepted definition of a work, and this article is not a call to throw out all previous definitions and start </w:t>
      </w:r>
      <w:r w:rsidR="00F57F15">
        <w:t>over</w:t>
      </w:r>
      <w:r>
        <w:t xml:space="preserve">. However, conceptions of the work should be flexible enough to incorporate ideas </w:t>
      </w:r>
      <w:r w:rsidR="00F57F15">
        <w:t>from</w:t>
      </w:r>
      <w:r>
        <w:t xml:space="preserve"> specific communities, and the area of popular</w:t>
      </w:r>
      <w:r w:rsidR="00AB48BD">
        <w:t xml:space="preserve"> music and sound recordings</w:t>
      </w:r>
      <w:r>
        <w:t xml:space="preserve"> is one area ripe for a reexamination of the definition of the “work.” </w:t>
      </w:r>
      <w:r w:rsidR="00CA57DC">
        <w:t>As linked data efforts</w:t>
      </w:r>
      <w:r>
        <w:t xml:space="preserve"> with musical works</w:t>
      </w:r>
      <w:r w:rsidR="00CA57DC">
        <w:t xml:space="preserve"> move forward in cultural institutions, the idea of the musical work should be reconsidered in order to incorporate these </w:t>
      </w:r>
      <w:r>
        <w:t>communities</w:t>
      </w:r>
      <w:r w:rsidR="00CA57DC">
        <w:t xml:space="preserve">. </w:t>
      </w:r>
    </w:p>
    <w:p w14:paraId="47D9B68F" w14:textId="5790EF1C" w:rsidR="00F068B5" w:rsidRPr="00D06F58" w:rsidRDefault="00F068B5" w:rsidP="00B56060">
      <w:pPr>
        <w:spacing w:after="0" w:line="480" w:lineRule="auto"/>
        <w:ind w:firstLine="720"/>
      </w:pPr>
    </w:p>
    <w:sectPr w:rsidR="00F068B5" w:rsidRPr="00D06F58">
      <w:footerReference w:type="default" r:id="rId7"/>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E3289B" w14:textId="77777777" w:rsidR="009C11FB" w:rsidRDefault="009C11FB" w:rsidP="008F4129">
      <w:pPr>
        <w:spacing w:after="0" w:line="240" w:lineRule="auto"/>
      </w:pPr>
      <w:r>
        <w:separator/>
      </w:r>
    </w:p>
  </w:endnote>
  <w:endnote w:type="continuationSeparator" w:id="0">
    <w:p w14:paraId="298700CF" w14:textId="77777777" w:rsidR="009C11FB" w:rsidRDefault="009C11FB" w:rsidP="008F4129">
      <w:pPr>
        <w:spacing w:after="0" w:line="240" w:lineRule="auto"/>
      </w:pPr>
      <w:r>
        <w:continuationSeparator/>
      </w:r>
    </w:p>
  </w:endnote>
  <w:endnote w:id="1">
    <w:p w14:paraId="1F00291C" w14:textId="67B3DB31" w:rsidR="009C11FB" w:rsidRPr="00740157" w:rsidRDefault="009C11FB" w:rsidP="00E14925">
      <w:pPr>
        <w:pStyle w:val="EndnoteText"/>
        <w:spacing w:line="480" w:lineRule="auto"/>
        <w:ind w:firstLine="360"/>
        <w:jc w:val="both"/>
      </w:pPr>
      <w:r>
        <w:rPr>
          <w:rStyle w:val="EndnoteReference"/>
        </w:rPr>
        <w:endnoteRef/>
      </w:r>
      <w:r>
        <w:t xml:space="preserve"> Seymour Lubetzky, </w:t>
      </w:r>
      <w:r>
        <w:rPr>
          <w:i/>
        </w:rPr>
        <w:t>Principles of Cataloging, Final Report. Phase I: Descriptive Cataloging</w:t>
      </w:r>
      <w:r>
        <w:t xml:space="preserve"> (Los  Angeles: Institute of Library Research, University of California, 1969), 19.</w:t>
      </w:r>
    </w:p>
  </w:endnote>
  <w:endnote w:id="2">
    <w:p w14:paraId="6435DDC1" w14:textId="6D436002" w:rsidR="009C11FB" w:rsidRDefault="009C11FB" w:rsidP="00E14925">
      <w:pPr>
        <w:pStyle w:val="EndnoteText"/>
        <w:spacing w:line="480" w:lineRule="auto"/>
        <w:ind w:left="180" w:firstLine="180"/>
        <w:jc w:val="both"/>
      </w:pPr>
      <w:r>
        <w:rPr>
          <w:rStyle w:val="EndnoteReference"/>
        </w:rPr>
        <w:endnoteRef/>
      </w:r>
      <w:r>
        <w:t xml:space="preserve"> Elaine Svenonius, </w:t>
      </w:r>
      <w:r>
        <w:rPr>
          <w:i/>
        </w:rPr>
        <w:t xml:space="preserve">The Intellectual Foundations of Information Organization </w:t>
      </w:r>
      <w:r>
        <w:t>(Cambridge: MIT Press, 2000), 35.</w:t>
      </w:r>
    </w:p>
  </w:endnote>
  <w:endnote w:id="3">
    <w:p w14:paraId="01891301" w14:textId="77777777" w:rsidR="009C11FB" w:rsidRDefault="009C11FB" w:rsidP="00E14925">
      <w:pPr>
        <w:pStyle w:val="EndnoteText"/>
        <w:spacing w:line="480" w:lineRule="auto"/>
        <w:ind w:left="180" w:firstLine="180"/>
        <w:jc w:val="both"/>
      </w:pPr>
      <w:r>
        <w:rPr>
          <w:rStyle w:val="EndnoteReference"/>
        </w:rPr>
        <w:endnoteRef/>
      </w:r>
      <w:r>
        <w:t xml:space="preserve"> Ibid., 84.</w:t>
      </w:r>
    </w:p>
  </w:endnote>
  <w:endnote w:id="4">
    <w:p w14:paraId="66BE1CD0" w14:textId="441B2B8D" w:rsidR="009C11FB" w:rsidRDefault="009C11FB" w:rsidP="00E14925">
      <w:pPr>
        <w:pStyle w:val="EndnoteText"/>
        <w:spacing w:line="480" w:lineRule="auto"/>
        <w:ind w:firstLine="360"/>
        <w:jc w:val="both"/>
      </w:pPr>
      <w:r>
        <w:rPr>
          <w:rStyle w:val="EndnoteReference"/>
        </w:rPr>
        <w:endnoteRef/>
      </w:r>
      <w:r>
        <w:t xml:space="preserve"> Music Library Association, </w:t>
      </w:r>
      <w:r>
        <w:rPr>
          <w:i/>
        </w:rPr>
        <w:t xml:space="preserve">A Basic Music Library: Essential Scores and Sound Recordings </w:t>
      </w:r>
      <w:r>
        <w:t>(Chicago: American Library Association, 1997), 330-559.</w:t>
      </w:r>
    </w:p>
  </w:endnote>
  <w:endnote w:id="5">
    <w:p w14:paraId="26644303" w14:textId="2F65F5E0" w:rsidR="009C11FB" w:rsidRDefault="009C11FB" w:rsidP="00E14925">
      <w:pPr>
        <w:pStyle w:val="EndnoteText"/>
        <w:spacing w:line="480" w:lineRule="auto"/>
        <w:ind w:firstLine="360"/>
        <w:jc w:val="both"/>
      </w:pPr>
      <w:r>
        <w:rPr>
          <w:rStyle w:val="EndnoteReference"/>
        </w:rPr>
        <w:endnoteRef/>
      </w:r>
      <w:r>
        <w:t xml:space="preserve"> Arved Ashby, </w:t>
      </w:r>
      <w:r>
        <w:rPr>
          <w:i/>
        </w:rPr>
        <w:t xml:space="preserve">Absolute Music, Mechanical Reproduction </w:t>
      </w:r>
      <w:r>
        <w:t xml:space="preserve">(Berkeley: University of California Press, 2010), 39. </w:t>
      </w:r>
    </w:p>
  </w:endnote>
  <w:endnote w:id="6">
    <w:p w14:paraId="6ADCF3AD" w14:textId="68A6E402" w:rsidR="009C11FB" w:rsidRDefault="009C11FB" w:rsidP="00E14925">
      <w:pPr>
        <w:pStyle w:val="EndnoteText"/>
        <w:spacing w:line="480" w:lineRule="auto"/>
        <w:ind w:firstLine="360"/>
        <w:jc w:val="both"/>
      </w:pPr>
      <w:r>
        <w:rPr>
          <w:rStyle w:val="EndnoteReference"/>
        </w:rPr>
        <w:endnoteRef/>
      </w:r>
      <w:r>
        <w:t xml:space="preserve"> Seymour Lubetzky, </w:t>
      </w:r>
      <w:r>
        <w:rPr>
          <w:i/>
        </w:rPr>
        <w:t xml:space="preserve">Code of Cataloging Rules: Author and Title Entry. Additions, Revisions, and Changes Prepared in Light of Discussions of the March 1960 Draft for the Consideration of the Catalog Code Revision Committee </w:t>
      </w:r>
      <w:r>
        <w:t>(American Library Association, 1961), 1.</w:t>
      </w:r>
    </w:p>
  </w:endnote>
  <w:endnote w:id="7">
    <w:p w14:paraId="0C74960E" w14:textId="103B5FA2" w:rsidR="009C11FB" w:rsidRDefault="009C11FB" w:rsidP="00E14925">
      <w:pPr>
        <w:pStyle w:val="EndnoteText"/>
        <w:spacing w:line="480" w:lineRule="auto"/>
        <w:ind w:firstLine="360"/>
      </w:pPr>
      <w:r>
        <w:rPr>
          <w:rStyle w:val="EndnoteReference"/>
        </w:rPr>
        <w:endnoteRef/>
      </w:r>
      <w:r>
        <w:t xml:space="preserve"> D.W. Krummel, “Musical Functions and Bibliographic Forms,” </w:t>
      </w:r>
      <w:r>
        <w:rPr>
          <w:i/>
        </w:rPr>
        <w:t xml:space="preserve">Library </w:t>
      </w:r>
      <w:r>
        <w:t>s5-XXXI, no. 4 (1976): 348-49. doi: 10.1093/library/s5-XXXI.4.327</w:t>
      </w:r>
    </w:p>
  </w:endnote>
  <w:endnote w:id="8">
    <w:p w14:paraId="6FAD4A42" w14:textId="4F2AEB5F" w:rsidR="009C11FB" w:rsidRDefault="009C11FB" w:rsidP="00E14925">
      <w:pPr>
        <w:pStyle w:val="EndnoteText"/>
        <w:spacing w:line="480" w:lineRule="auto"/>
        <w:ind w:firstLine="360"/>
      </w:pPr>
      <w:r>
        <w:rPr>
          <w:rStyle w:val="EndnoteReference"/>
        </w:rPr>
        <w:endnoteRef/>
      </w:r>
      <w:r>
        <w:t xml:space="preserve"> Vellucci, </w:t>
      </w:r>
      <w:r>
        <w:rPr>
          <w:i/>
        </w:rPr>
        <w:t xml:space="preserve">Bibliographic Relationships, </w:t>
      </w:r>
      <w:r>
        <w:t>12-13.</w:t>
      </w:r>
    </w:p>
  </w:endnote>
  <w:endnote w:id="9">
    <w:p w14:paraId="2D46C086" w14:textId="5B137B3A" w:rsidR="009C11FB" w:rsidRDefault="009C11FB" w:rsidP="00E14925">
      <w:pPr>
        <w:pStyle w:val="EndnoteText"/>
        <w:spacing w:line="480" w:lineRule="auto"/>
        <w:ind w:firstLine="360"/>
      </w:pPr>
      <w:r>
        <w:rPr>
          <w:rStyle w:val="EndnoteReference"/>
        </w:rPr>
        <w:endnoteRef/>
      </w:r>
      <w:r>
        <w:t xml:space="preserve"> Martha M. Yee, “What is a Work? Part 4, Cataloging Theorists and a Definition,” </w:t>
      </w:r>
      <w:r>
        <w:rPr>
          <w:i/>
        </w:rPr>
        <w:t xml:space="preserve">Cataloging &amp; Classification Quarterly </w:t>
      </w:r>
      <w:r>
        <w:t xml:space="preserve">20, no. 2 (1995): 13-14. doi: </w:t>
      </w:r>
      <w:r w:rsidRPr="00363E67">
        <w:t>10.1300/J104v20n02_02</w:t>
      </w:r>
    </w:p>
  </w:endnote>
  <w:endnote w:id="10">
    <w:p w14:paraId="7E12FE6D" w14:textId="1B0B9C05" w:rsidR="009C11FB" w:rsidRDefault="009C11FB" w:rsidP="00E14925">
      <w:pPr>
        <w:pStyle w:val="EndnoteText"/>
        <w:spacing w:line="480" w:lineRule="auto"/>
        <w:ind w:firstLine="360"/>
      </w:pPr>
      <w:r>
        <w:rPr>
          <w:rStyle w:val="EndnoteReference"/>
        </w:rPr>
        <w:endnoteRef/>
      </w:r>
      <w:r>
        <w:t xml:space="preserve"> C.P. Ravilious, </w:t>
      </w:r>
      <w:r>
        <w:rPr>
          <w:i/>
        </w:rPr>
        <w:t xml:space="preserve">A Survey of Existing Systems and Current Proposals for the Cataloguing and Description of Non-Book Materials Collected by Libraries, with Preliminary Suggestions for Their International Coordination </w:t>
      </w:r>
      <w:r>
        <w:t>(Paris: United Nations Educational, Scientific and Cultural Organization, 1975), 58.</w:t>
      </w:r>
    </w:p>
  </w:endnote>
  <w:endnote w:id="11">
    <w:p w14:paraId="39B78D57" w14:textId="232452D1" w:rsidR="009C11FB" w:rsidRDefault="009C11FB" w:rsidP="00E14925">
      <w:pPr>
        <w:pStyle w:val="EndnoteText"/>
        <w:spacing w:line="480" w:lineRule="auto"/>
        <w:ind w:firstLine="360"/>
      </w:pPr>
      <w:r>
        <w:rPr>
          <w:rStyle w:val="EndnoteReference"/>
        </w:rPr>
        <w:endnoteRef/>
      </w:r>
      <w:r>
        <w:t xml:space="preserve"> Yee, “What is a Work?, Part 4,” 21. </w:t>
      </w:r>
    </w:p>
  </w:endnote>
  <w:endnote w:id="12">
    <w:p w14:paraId="50E724AC" w14:textId="75A0345C" w:rsidR="009C11FB" w:rsidRDefault="009C11FB" w:rsidP="00E14925">
      <w:pPr>
        <w:spacing w:after="0" w:line="480" w:lineRule="auto"/>
        <w:ind w:firstLine="360"/>
      </w:pPr>
      <w:r w:rsidRPr="00363E67">
        <w:rPr>
          <w:rStyle w:val="EndnoteReference"/>
          <w:sz w:val="20"/>
          <w:szCs w:val="20"/>
        </w:rPr>
        <w:endnoteRef/>
      </w:r>
      <w:r>
        <w:t xml:space="preserve"> </w:t>
      </w:r>
      <w:r>
        <w:rPr>
          <w:sz w:val="20"/>
          <w:szCs w:val="20"/>
        </w:rPr>
        <w:t xml:space="preserve">Martha M. Yee, “Musical Works on OCLC, or, What If OCLC Were Actually to Become a Catalog?,” </w:t>
      </w:r>
      <w:r>
        <w:rPr>
          <w:i/>
          <w:sz w:val="20"/>
          <w:szCs w:val="20"/>
        </w:rPr>
        <w:t xml:space="preserve">Music Reference Services Quarterly </w:t>
      </w:r>
      <w:r>
        <w:rPr>
          <w:sz w:val="20"/>
          <w:szCs w:val="20"/>
        </w:rPr>
        <w:t xml:space="preserve">8, no. 1 (2002), 10. doi: </w:t>
      </w:r>
      <w:r w:rsidRPr="00D038AA">
        <w:rPr>
          <w:sz w:val="20"/>
          <w:szCs w:val="20"/>
        </w:rPr>
        <w:t>10.1300/J116v08n01_01</w:t>
      </w:r>
    </w:p>
  </w:endnote>
  <w:endnote w:id="13">
    <w:p w14:paraId="4E76CB40" w14:textId="22D83B07" w:rsidR="009C11FB" w:rsidRDefault="009C11FB" w:rsidP="00E14925">
      <w:pPr>
        <w:pStyle w:val="EndnoteText"/>
        <w:spacing w:line="480" w:lineRule="auto"/>
        <w:ind w:firstLine="360"/>
      </w:pPr>
      <w:r>
        <w:rPr>
          <w:rStyle w:val="EndnoteReference"/>
        </w:rPr>
        <w:endnoteRef/>
      </w:r>
      <w:r>
        <w:t xml:space="preserve"> David H. Thomas and Richard P. Smiraglia, “Beyond the Score,” </w:t>
      </w:r>
      <w:r>
        <w:rPr>
          <w:i/>
        </w:rPr>
        <w:t xml:space="preserve">Notes </w:t>
      </w:r>
      <w:r>
        <w:t xml:space="preserve">54, no. 3 (1998): 649-50. doi: </w:t>
      </w:r>
      <w:r w:rsidRPr="00D038AA">
        <w:t>10.2307/899890</w:t>
      </w:r>
    </w:p>
  </w:endnote>
  <w:endnote w:id="14">
    <w:p w14:paraId="3E603E40" w14:textId="034F483B" w:rsidR="009C11FB" w:rsidRDefault="009C11FB" w:rsidP="00E14925">
      <w:pPr>
        <w:pStyle w:val="EndnoteText"/>
        <w:spacing w:line="480" w:lineRule="auto"/>
        <w:ind w:firstLine="360"/>
      </w:pPr>
      <w:r>
        <w:rPr>
          <w:rStyle w:val="EndnoteReference"/>
        </w:rPr>
        <w:endnoteRef/>
      </w:r>
      <w:r>
        <w:t xml:space="preserve"> Ibid., 664-65.</w:t>
      </w:r>
    </w:p>
  </w:endnote>
  <w:endnote w:id="15">
    <w:p w14:paraId="11007745" w14:textId="7F5FC2D2" w:rsidR="009C11FB" w:rsidRDefault="009C11FB" w:rsidP="00E14925">
      <w:pPr>
        <w:pStyle w:val="EndnoteText"/>
        <w:spacing w:line="480" w:lineRule="auto"/>
        <w:ind w:firstLine="360"/>
      </w:pPr>
      <w:r>
        <w:rPr>
          <w:rStyle w:val="EndnoteReference"/>
        </w:rPr>
        <w:endnoteRef/>
      </w:r>
      <w:r>
        <w:t xml:space="preserve"> Richard P. Smiraglia, </w:t>
      </w:r>
      <w:r>
        <w:rPr>
          <w:i/>
        </w:rPr>
        <w:t xml:space="preserve">The Nature of a Work: Implications for the Organization of Knowledge </w:t>
      </w:r>
      <w:r>
        <w:t>(Lanham, MD: Scarecrow Press, 2001), 151.</w:t>
      </w:r>
    </w:p>
  </w:endnote>
  <w:endnote w:id="16">
    <w:p w14:paraId="5B53D337" w14:textId="29021341" w:rsidR="009C11FB" w:rsidRDefault="009C11FB" w:rsidP="00E14925">
      <w:pPr>
        <w:pStyle w:val="EndnoteText"/>
        <w:spacing w:line="480" w:lineRule="auto"/>
        <w:ind w:firstLine="360"/>
      </w:pPr>
      <w:r>
        <w:rPr>
          <w:rStyle w:val="EndnoteReference"/>
        </w:rPr>
        <w:endnoteRef/>
      </w:r>
      <w:r>
        <w:t xml:space="preserve"> Richard P. Smiraglia, “Musical Works as Information Retrieval Entities: Epistemological Perspectives,” </w:t>
      </w:r>
      <w:r>
        <w:rPr>
          <w:i/>
        </w:rPr>
        <w:t xml:space="preserve">ISMIR </w:t>
      </w:r>
      <w:r>
        <w:t xml:space="preserve">(2001), 85, </w:t>
      </w:r>
      <w:r w:rsidRPr="00D038AA">
        <w:t>http://ismir2001.ismir.net/pdf/smiraglia.pdf</w:t>
      </w:r>
      <w:r>
        <w:t>.</w:t>
      </w:r>
    </w:p>
  </w:endnote>
  <w:endnote w:id="17">
    <w:p w14:paraId="25F29568" w14:textId="161D2DB3" w:rsidR="009C11FB" w:rsidRDefault="009C11FB" w:rsidP="00E14925">
      <w:pPr>
        <w:pStyle w:val="EndnoteText"/>
        <w:spacing w:line="480" w:lineRule="auto"/>
        <w:ind w:firstLine="360"/>
      </w:pPr>
      <w:r>
        <w:rPr>
          <w:rStyle w:val="EndnoteReference"/>
        </w:rPr>
        <w:endnoteRef/>
      </w:r>
      <w:r>
        <w:t xml:space="preserve"> Richard P. Smiraglia, “Performance Works: Continuing to Comprehend Instantiation,” </w:t>
      </w:r>
      <w:r>
        <w:rPr>
          <w:i/>
        </w:rPr>
        <w:t xml:space="preserve">North American Symposium on Knowledge Organization, Volume 1 </w:t>
      </w:r>
      <w:r>
        <w:t xml:space="preserve">(2007), 81, </w:t>
      </w:r>
      <w:r w:rsidRPr="002447A3">
        <w:t>http://arizona.openrepository.com/arizona/handle</w:t>
      </w:r>
    </w:p>
    <w:p w14:paraId="188F47B0" w14:textId="786EEBDD" w:rsidR="009C11FB" w:rsidRDefault="009C11FB" w:rsidP="00E14925">
      <w:pPr>
        <w:pStyle w:val="EndnoteText"/>
        <w:spacing w:line="480" w:lineRule="auto"/>
      </w:pPr>
      <w:r w:rsidRPr="002447A3">
        <w:t>/10150/105182</w:t>
      </w:r>
    </w:p>
  </w:endnote>
  <w:endnote w:id="18">
    <w:p w14:paraId="4BBDE2C2" w14:textId="49455CB3" w:rsidR="009C11FB" w:rsidRDefault="009C11FB" w:rsidP="00E14925">
      <w:pPr>
        <w:pStyle w:val="EndnoteText"/>
        <w:spacing w:line="480" w:lineRule="auto"/>
        <w:ind w:firstLine="360"/>
      </w:pPr>
      <w:r>
        <w:rPr>
          <w:rStyle w:val="EndnoteReference"/>
        </w:rPr>
        <w:endnoteRef/>
      </w:r>
      <w:r>
        <w:t xml:space="preserve"> Ibid., 83.</w:t>
      </w:r>
    </w:p>
  </w:endnote>
  <w:endnote w:id="19">
    <w:p w14:paraId="7A266DC1" w14:textId="275C494A" w:rsidR="009C11FB" w:rsidRDefault="009C11FB" w:rsidP="00E14925">
      <w:pPr>
        <w:pStyle w:val="EndnoteText"/>
        <w:spacing w:line="480" w:lineRule="auto"/>
        <w:ind w:firstLine="360"/>
      </w:pPr>
      <w:r>
        <w:rPr>
          <w:rStyle w:val="EndnoteReference"/>
        </w:rPr>
        <w:endnoteRef/>
      </w:r>
      <w:r>
        <w:t xml:space="preserve"> Monika Pietras and Lyn Robinson, “Three Views of the ‘Musical Work’: Bibliographic Control in the Musical Domain,” </w:t>
      </w:r>
      <w:r>
        <w:rPr>
          <w:i/>
        </w:rPr>
        <w:t xml:space="preserve">Library Review </w:t>
      </w:r>
      <w:r>
        <w:t>61, no. 8/9 (2012): 551-560. doi: 10.1108/00242531211292060</w:t>
      </w:r>
    </w:p>
  </w:endnote>
  <w:endnote w:id="20">
    <w:p w14:paraId="4D8454CA" w14:textId="15163856" w:rsidR="009C11FB" w:rsidRDefault="009C11FB" w:rsidP="00E14925">
      <w:pPr>
        <w:pStyle w:val="EndnoteText"/>
        <w:spacing w:line="480" w:lineRule="auto"/>
        <w:ind w:firstLine="360"/>
      </w:pPr>
      <w:r>
        <w:rPr>
          <w:rStyle w:val="EndnoteReference"/>
        </w:rPr>
        <w:endnoteRef/>
      </w:r>
      <w:r>
        <w:t xml:space="preserve"> IFLA Study Group on the Functional Requirements for Bibliographic Records, </w:t>
      </w:r>
      <w:r>
        <w:rPr>
          <w:i/>
        </w:rPr>
        <w:t xml:space="preserve">Functional Requirements for Bibliographic Records, Final Report </w:t>
      </w:r>
      <w:r>
        <w:t xml:space="preserve">(1997), 17, </w:t>
      </w:r>
      <w:r w:rsidRPr="003D5C9C">
        <w:t>http://www.ifla.org/files/assets/cataloguing/frbr/frbr_2008.pdf</w:t>
      </w:r>
    </w:p>
  </w:endnote>
  <w:endnote w:id="21">
    <w:p w14:paraId="1A663D57" w14:textId="602D943E" w:rsidR="009C11FB" w:rsidRPr="003D5C9C" w:rsidRDefault="009C11FB" w:rsidP="00E14925">
      <w:pPr>
        <w:spacing w:after="0" w:line="480" w:lineRule="auto"/>
        <w:ind w:firstLine="360"/>
      </w:pPr>
      <w:r>
        <w:rPr>
          <w:rStyle w:val="EndnoteReference"/>
        </w:rPr>
        <w:endnoteRef/>
      </w:r>
      <w:r>
        <w:t xml:space="preserve"> </w:t>
      </w:r>
      <w:r w:rsidRPr="003D5C9C">
        <w:rPr>
          <w:sz w:val="20"/>
          <w:szCs w:val="20"/>
        </w:rPr>
        <w:t xml:space="preserve">Paola Picco and Virginia Ortiz Repiso, “The Contribution of FRBR to the Identification of Bibliographic Relationships: The New RDA-based Ways of Representing Relationships in Catalogs,” </w:t>
      </w:r>
      <w:r w:rsidRPr="003D5C9C">
        <w:rPr>
          <w:i/>
          <w:sz w:val="20"/>
          <w:szCs w:val="20"/>
        </w:rPr>
        <w:t xml:space="preserve">Cataloging &amp; Classification Quarterly </w:t>
      </w:r>
      <w:r w:rsidRPr="003D5C9C">
        <w:rPr>
          <w:sz w:val="20"/>
          <w:szCs w:val="20"/>
        </w:rPr>
        <w:t>50, no. 5-7 (2012), 625, doi: 10.1080/01639374.2012.680847</w:t>
      </w:r>
    </w:p>
  </w:endnote>
  <w:endnote w:id="22">
    <w:p w14:paraId="5F4BF00C" w14:textId="5F997031" w:rsidR="009C11FB" w:rsidRDefault="009C11FB" w:rsidP="00E14925">
      <w:pPr>
        <w:pStyle w:val="EndnoteText"/>
        <w:spacing w:line="480" w:lineRule="auto"/>
        <w:ind w:firstLine="360"/>
      </w:pPr>
      <w:r>
        <w:rPr>
          <w:rStyle w:val="EndnoteReference"/>
        </w:rPr>
        <w:endnoteRef/>
      </w:r>
      <w:r>
        <w:t xml:space="preserve"> IFLA, 36.</w:t>
      </w:r>
    </w:p>
  </w:endnote>
  <w:endnote w:id="23">
    <w:p w14:paraId="7F44D419" w14:textId="77777777" w:rsidR="009C11FB" w:rsidRDefault="009C11FB" w:rsidP="00E14925">
      <w:pPr>
        <w:pStyle w:val="EndnoteText"/>
        <w:spacing w:line="480" w:lineRule="auto"/>
        <w:ind w:firstLine="360"/>
      </w:pPr>
      <w:r>
        <w:rPr>
          <w:rStyle w:val="EndnoteReference"/>
        </w:rPr>
        <w:endnoteRef/>
      </w:r>
      <w:r>
        <w:t xml:space="preserve"> Ibid.</w:t>
      </w:r>
    </w:p>
  </w:endnote>
  <w:endnote w:id="24">
    <w:p w14:paraId="0E89B7D3" w14:textId="5777276C" w:rsidR="009C11FB" w:rsidRDefault="009C11FB" w:rsidP="00E14925">
      <w:pPr>
        <w:pStyle w:val="EndnoteText"/>
        <w:spacing w:line="480" w:lineRule="auto"/>
        <w:ind w:firstLine="360"/>
      </w:pPr>
      <w:r>
        <w:rPr>
          <w:rStyle w:val="EndnoteReference"/>
        </w:rPr>
        <w:endnoteRef/>
      </w:r>
      <w:r>
        <w:t xml:space="preserve"> Ibid., 75.</w:t>
      </w:r>
    </w:p>
  </w:endnote>
  <w:endnote w:id="25">
    <w:p w14:paraId="2D933CA9" w14:textId="359438CA" w:rsidR="009C11FB" w:rsidRDefault="009C11FB" w:rsidP="00E14925">
      <w:pPr>
        <w:pStyle w:val="EndnoteText"/>
        <w:spacing w:line="480" w:lineRule="auto"/>
        <w:ind w:firstLine="360"/>
      </w:pPr>
      <w:r>
        <w:rPr>
          <w:rStyle w:val="EndnoteReference"/>
        </w:rPr>
        <w:endnoteRef/>
      </w:r>
      <w:r>
        <w:t xml:space="preserve"> Sherry L. Vellucci, “FRBR and Music,” in </w:t>
      </w:r>
      <w:r>
        <w:rPr>
          <w:i/>
        </w:rPr>
        <w:t xml:space="preserve">Understanding FRBR: What It Is and How it Will Affect Our Retrieval Tools, </w:t>
      </w:r>
      <w:r>
        <w:t>ed. Arlene J. Taylor (Westport, Conn.: Libraries Unlimited, 2007), 142.</w:t>
      </w:r>
    </w:p>
  </w:endnote>
  <w:endnote w:id="26">
    <w:p w14:paraId="1AAE21B8" w14:textId="77777777" w:rsidR="009C11FB" w:rsidRPr="00572DBC" w:rsidRDefault="009C11FB" w:rsidP="00B867F4">
      <w:pPr>
        <w:pStyle w:val="EndnoteText"/>
        <w:spacing w:line="480" w:lineRule="auto"/>
        <w:ind w:firstLine="360"/>
      </w:pPr>
      <w:r>
        <w:rPr>
          <w:rStyle w:val="EndnoteReference"/>
        </w:rPr>
        <w:endnoteRef/>
      </w:r>
      <w:r>
        <w:t xml:space="preserve"> Patrick Le Bouef, “Musical Works in the FRBR Model or ‘Quasi la Stessa Cosa’: Variations on a Theme by Umberto Eco,” </w:t>
      </w:r>
      <w:r>
        <w:rPr>
          <w:i/>
        </w:rPr>
        <w:t xml:space="preserve">Cataloging &amp; Classification Quarterly </w:t>
      </w:r>
      <w:r>
        <w:t xml:space="preserve">39, no. 3-4 (2005), 118. doi: </w:t>
      </w:r>
      <w:r w:rsidRPr="00572DBC">
        <w:t>10.1300/J104v39n03_08</w:t>
      </w:r>
    </w:p>
    <w:p w14:paraId="0EE7F9FA" w14:textId="4C948444" w:rsidR="009C11FB" w:rsidRPr="00572DBC" w:rsidRDefault="009C11FB" w:rsidP="00572DBC">
      <w:pPr>
        <w:pStyle w:val="EndnoteText"/>
        <w:ind w:firstLine="360"/>
      </w:pPr>
    </w:p>
  </w:endnote>
  <w:endnote w:id="27">
    <w:p w14:paraId="0B110DA5" w14:textId="139E360C" w:rsidR="009C11FB" w:rsidRDefault="009C11FB" w:rsidP="00E14925">
      <w:pPr>
        <w:pStyle w:val="EndnoteText"/>
        <w:spacing w:line="480" w:lineRule="auto"/>
        <w:ind w:firstLine="360"/>
      </w:pPr>
      <w:r>
        <w:rPr>
          <w:rStyle w:val="EndnoteReference"/>
        </w:rPr>
        <w:endnoteRef/>
      </w:r>
      <w:r>
        <w:t xml:space="preserve"> Jenn Riley, “Application of the Functional Requirements for Bibliographic Records (FRBR) to Music,” in </w:t>
      </w:r>
      <w:r>
        <w:rPr>
          <w:i/>
        </w:rPr>
        <w:t>ISMIR 2008: Proceedings of the 9</w:t>
      </w:r>
      <w:r w:rsidRPr="003D5C9C">
        <w:rPr>
          <w:i/>
          <w:vertAlign w:val="superscript"/>
        </w:rPr>
        <w:t>th</w:t>
      </w:r>
      <w:r>
        <w:rPr>
          <w:i/>
        </w:rPr>
        <w:t xml:space="preserve"> International Conference on Music Information Retrieval, </w:t>
      </w:r>
      <w:r>
        <w:t xml:space="preserve">ed. Juan Pablo Bello, Elaine Chew, and Douglas Turnbull (2008), 440-41, </w:t>
      </w:r>
      <w:r w:rsidRPr="00FB4858">
        <w:t>http://ismir2008.ismir.net/papers/ISMIR2008_244.pdf</w:t>
      </w:r>
    </w:p>
  </w:endnote>
  <w:endnote w:id="28">
    <w:p w14:paraId="7DCBE077" w14:textId="4A6CC194" w:rsidR="009C11FB" w:rsidRPr="00FB4858" w:rsidRDefault="009C11FB" w:rsidP="00E14925">
      <w:pPr>
        <w:autoSpaceDE w:val="0"/>
        <w:autoSpaceDN w:val="0"/>
        <w:adjustRightInd w:val="0"/>
        <w:spacing w:after="0" w:line="480" w:lineRule="auto"/>
        <w:ind w:firstLine="360"/>
        <w:rPr>
          <w:sz w:val="20"/>
          <w:szCs w:val="20"/>
        </w:rPr>
      </w:pPr>
      <w:r>
        <w:rPr>
          <w:rStyle w:val="EndnoteReference"/>
        </w:rPr>
        <w:endnoteRef/>
      </w:r>
      <w:r>
        <w:t xml:space="preserve"> </w:t>
      </w:r>
      <w:r>
        <w:rPr>
          <w:sz w:val="20"/>
          <w:szCs w:val="20"/>
        </w:rPr>
        <w:t xml:space="preserve">Raymond Schmidt, “Composing in Real Time: Jazz Performances as ‘Works’ in the FRBR Model,” </w:t>
      </w:r>
      <w:r>
        <w:rPr>
          <w:i/>
          <w:sz w:val="20"/>
          <w:szCs w:val="20"/>
        </w:rPr>
        <w:t xml:space="preserve">Cataloging &amp; Classification Quarterly </w:t>
      </w:r>
      <w:r>
        <w:rPr>
          <w:sz w:val="20"/>
          <w:szCs w:val="20"/>
        </w:rPr>
        <w:t>50, no. 5-7 (2012), 653-669.</w:t>
      </w:r>
      <w:r w:rsidRPr="00FB4858">
        <w:rPr>
          <w:sz w:val="20"/>
          <w:szCs w:val="20"/>
        </w:rPr>
        <w:t xml:space="preserve"> </w:t>
      </w:r>
      <w:r>
        <w:rPr>
          <w:sz w:val="20"/>
          <w:szCs w:val="20"/>
        </w:rPr>
        <w:t xml:space="preserve"> doi: 10.1080/01639374.2012.681601</w:t>
      </w:r>
    </w:p>
  </w:endnote>
  <w:endnote w:id="29">
    <w:p w14:paraId="71959E2D" w14:textId="7F6A2861" w:rsidR="009C11FB" w:rsidRPr="00FB4858" w:rsidRDefault="009C11FB" w:rsidP="00E14925">
      <w:pPr>
        <w:autoSpaceDE w:val="0"/>
        <w:autoSpaceDN w:val="0"/>
        <w:adjustRightInd w:val="0"/>
        <w:spacing w:after="0" w:line="480" w:lineRule="auto"/>
        <w:ind w:firstLine="360"/>
        <w:rPr>
          <w:sz w:val="20"/>
          <w:szCs w:val="20"/>
        </w:rPr>
      </w:pPr>
      <w:r>
        <w:rPr>
          <w:rStyle w:val="EndnoteReference"/>
        </w:rPr>
        <w:endnoteRef/>
      </w:r>
      <w:r>
        <w:t xml:space="preserve"> </w:t>
      </w:r>
      <w:r w:rsidRPr="00FB4858">
        <w:rPr>
          <w:sz w:val="20"/>
          <w:szCs w:val="20"/>
        </w:rPr>
        <w:t xml:space="preserve">David Miller and Patrick Le </w:t>
      </w:r>
      <w:r>
        <w:rPr>
          <w:sz w:val="20"/>
          <w:szCs w:val="20"/>
        </w:rPr>
        <w:t>Boeuf</w:t>
      </w:r>
      <w:r w:rsidRPr="00FB4858">
        <w:rPr>
          <w:sz w:val="20"/>
          <w:szCs w:val="20"/>
        </w:rPr>
        <w:t xml:space="preserve">, “ ‘Such Stuff as Dreams Are Made On’: How Does FRBR Fit the Performing Arts?,” </w:t>
      </w:r>
      <w:r w:rsidRPr="00FB4858">
        <w:rPr>
          <w:i/>
          <w:sz w:val="20"/>
          <w:szCs w:val="20"/>
        </w:rPr>
        <w:t xml:space="preserve">Cataloging &amp; Classification Quarterly </w:t>
      </w:r>
      <w:r w:rsidRPr="00FB4858">
        <w:rPr>
          <w:sz w:val="20"/>
          <w:szCs w:val="20"/>
        </w:rPr>
        <w:t xml:space="preserve">39, no. 3-4 (2005), 151-178. </w:t>
      </w:r>
      <w:r w:rsidRPr="00FB4858">
        <w:rPr>
          <w:rFonts w:cs="Cambria"/>
          <w:sz w:val="20"/>
          <w:szCs w:val="20"/>
        </w:rPr>
        <w:t>doi: 10.1300/J104v39n03_10</w:t>
      </w:r>
    </w:p>
  </w:endnote>
  <w:endnote w:id="30">
    <w:p w14:paraId="636AC085" w14:textId="120DA63C" w:rsidR="009C11FB" w:rsidRDefault="009C11FB" w:rsidP="00E14925">
      <w:pPr>
        <w:pStyle w:val="EndnoteText"/>
        <w:spacing w:line="480" w:lineRule="auto"/>
        <w:ind w:firstLine="360"/>
      </w:pPr>
      <w:r>
        <w:rPr>
          <w:rStyle w:val="EndnoteReference"/>
        </w:rPr>
        <w:endnoteRef/>
      </w:r>
      <w:r>
        <w:t xml:space="preserve"> Kara Van Malssen, </w:t>
      </w:r>
      <w:r>
        <w:rPr>
          <w:i/>
        </w:rPr>
        <w:t xml:space="preserve">BIBFRAME AV Modeling Study: Defining a Flexible Model for Description of Audiovisual Resources. Appendix A. Recorded Sound Issues Related to Music Types, </w:t>
      </w:r>
      <w:r>
        <w:t xml:space="preserve">(2014), </w:t>
      </w:r>
      <w:r w:rsidRPr="00503648">
        <w:t>http://www.loc.gov/bibframe /pdf/av-appendix-a.pdf</w:t>
      </w:r>
    </w:p>
  </w:endnote>
  <w:endnote w:id="31">
    <w:p w14:paraId="75303630" w14:textId="6FF3D782" w:rsidR="009C11FB" w:rsidRDefault="009C11FB" w:rsidP="00E14925">
      <w:pPr>
        <w:pStyle w:val="EndnoteText"/>
        <w:spacing w:line="480" w:lineRule="auto"/>
        <w:ind w:firstLine="360"/>
      </w:pPr>
      <w:r>
        <w:rPr>
          <w:rStyle w:val="EndnoteReference"/>
        </w:rPr>
        <w:endnoteRef/>
      </w:r>
      <w:r>
        <w:t xml:space="preserve"> Massimo Gentili-Tedeschi, et al., </w:t>
      </w:r>
      <w:r>
        <w:rPr>
          <w:i/>
        </w:rPr>
        <w:t xml:space="preserve">ISBD Profile in RDA: Constructing Functionally Interoperable Core Records. Draft Version 1, </w:t>
      </w:r>
      <w:r>
        <w:t xml:space="preserve">(2013), 41, </w:t>
      </w:r>
      <w:r w:rsidRPr="00503648">
        <w:t>http://www.rda-jsc.org/docs/6JSC-ISBD-Discussion-3-Profile.pdf</w:t>
      </w:r>
    </w:p>
  </w:endnote>
  <w:endnote w:id="32">
    <w:p w14:paraId="532B6F51" w14:textId="35A9913A" w:rsidR="009C11FB" w:rsidRDefault="009C11FB" w:rsidP="00E14925">
      <w:pPr>
        <w:pStyle w:val="EndnoteText"/>
        <w:spacing w:line="480" w:lineRule="auto"/>
        <w:ind w:firstLine="360"/>
      </w:pPr>
      <w:r>
        <w:rPr>
          <w:rStyle w:val="EndnoteReference"/>
        </w:rPr>
        <w:endnoteRef/>
      </w:r>
      <w:r>
        <w:t xml:space="preserve"> RDA Music Implementation Task Force, Bibliographic Control Committee, Music Library Association, </w:t>
      </w:r>
      <w:r>
        <w:rPr>
          <w:i/>
        </w:rPr>
        <w:t xml:space="preserve">Best Practices for Music Cataloging Using RDA and MARC21. Version 1.0, </w:t>
      </w:r>
      <w:r>
        <w:t xml:space="preserve">(2014), 13, </w:t>
      </w:r>
      <w:r w:rsidRPr="00503648">
        <w:t>http://bcc.musiclibraryassoc.org</w:t>
      </w:r>
    </w:p>
    <w:p w14:paraId="53F589B5" w14:textId="22F9F67C" w:rsidR="009C11FB" w:rsidRDefault="009C11FB" w:rsidP="00E14925">
      <w:pPr>
        <w:pStyle w:val="EndnoteText"/>
        <w:spacing w:line="480" w:lineRule="auto"/>
      </w:pPr>
      <w:r w:rsidRPr="00503648">
        <w:t>/BCCHistorical/BCC2014/RDA%20Best%20Practices%20for%20Music%20Cataloging.pdf</w:t>
      </w:r>
    </w:p>
  </w:endnote>
  <w:endnote w:id="33">
    <w:p w14:paraId="535E1E6E" w14:textId="39EBFFC3" w:rsidR="009C11FB" w:rsidRDefault="009C11FB" w:rsidP="00E14925">
      <w:pPr>
        <w:pStyle w:val="EndnoteText"/>
        <w:spacing w:line="480" w:lineRule="auto"/>
        <w:ind w:firstLine="360"/>
      </w:pPr>
      <w:r>
        <w:rPr>
          <w:rStyle w:val="EndnoteReference"/>
        </w:rPr>
        <w:endnoteRef/>
      </w:r>
      <w:r>
        <w:t xml:space="preserve"> Music Library Association’s Emerging Technologies and Services Committee, </w:t>
      </w:r>
      <w:r>
        <w:rPr>
          <w:i/>
        </w:rPr>
        <w:t xml:space="preserve">Music Discovery Requirements, </w:t>
      </w:r>
      <w:r>
        <w:t xml:space="preserve">(2012), 23, </w:t>
      </w:r>
      <w:r w:rsidRPr="00503648">
        <w:t>http://committees.musiclibraryassoc.org/uploads/ETSC/MDRdocument.pdf</w:t>
      </w:r>
      <w:r>
        <w:t>.</w:t>
      </w:r>
    </w:p>
  </w:endnote>
  <w:endnote w:id="34">
    <w:p w14:paraId="22A25777" w14:textId="61172AD7" w:rsidR="009C11FB" w:rsidRDefault="009C11FB" w:rsidP="00E14925">
      <w:pPr>
        <w:pStyle w:val="EndnoteText"/>
        <w:spacing w:line="480" w:lineRule="auto"/>
        <w:ind w:firstLine="360"/>
      </w:pPr>
      <w:r>
        <w:rPr>
          <w:rStyle w:val="EndnoteReference"/>
        </w:rPr>
        <w:endnoteRef/>
      </w:r>
      <w:r>
        <w:t xml:space="preserve"> Roman Ingarden, </w:t>
      </w:r>
      <w:r>
        <w:rPr>
          <w:i/>
        </w:rPr>
        <w:t xml:space="preserve">The Work of Music and the Problem of Its Identity, </w:t>
      </w:r>
      <w:r>
        <w:t>trans. Adam Czerniawski</w:t>
      </w:r>
      <w:r>
        <w:rPr>
          <w:i/>
        </w:rPr>
        <w:t xml:space="preserve"> </w:t>
      </w:r>
      <w:r>
        <w:t>(Berkeley: University of California Press, 1986).</w:t>
      </w:r>
    </w:p>
  </w:endnote>
  <w:endnote w:id="35">
    <w:p w14:paraId="7587A13D" w14:textId="6C27C95D" w:rsidR="009C11FB" w:rsidRDefault="009C11FB" w:rsidP="00E14925">
      <w:pPr>
        <w:pStyle w:val="EndnoteText"/>
        <w:spacing w:line="480" w:lineRule="auto"/>
        <w:ind w:firstLine="360"/>
      </w:pPr>
      <w:r>
        <w:rPr>
          <w:rStyle w:val="EndnoteReference"/>
        </w:rPr>
        <w:endnoteRef/>
      </w:r>
      <w:r>
        <w:t xml:space="preserve"> Jean-Jacques Nattiez, “The Concept of the Musical Work,” in </w:t>
      </w:r>
      <w:r>
        <w:rPr>
          <w:i/>
        </w:rPr>
        <w:t xml:space="preserve">Music and Discourse: Toward a Semiology of Music, </w:t>
      </w:r>
      <w:r>
        <w:t>trans. Carolyn Abbate (Princeton: Princeton University Press, 1990), 69-90.</w:t>
      </w:r>
    </w:p>
  </w:endnote>
  <w:endnote w:id="36">
    <w:p w14:paraId="409F4393" w14:textId="093F0D88" w:rsidR="009C11FB" w:rsidRDefault="009C11FB" w:rsidP="00E14925">
      <w:pPr>
        <w:pStyle w:val="EndnoteText"/>
        <w:spacing w:line="480" w:lineRule="auto"/>
        <w:ind w:firstLine="360"/>
      </w:pPr>
      <w:r>
        <w:rPr>
          <w:rStyle w:val="EndnoteReference"/>
        </w:rPr>
        <w:endnoteRef/>
      </w:r>
      <w:r>
        <w:t xml:space="preserve"> Lydia Goehr, </w:t>
      </w:r>
      <w:r>
        <w:rPr>
          <w:i/>
        </w:rPr>
        <w:t xml:space="preserve">The Imaginary Museum of Musical Works: An Essay in the Philosophy of Music </w:t>
      </w:r>
      <w:r>
        <w:t>(Oxford: Oxford University Press, 1992).</w:t>
      </w:r>
    </w:p>
  </w:endnote>
  <w:endnote w:id="37">
    <w:p w14:paraId="71A20017" w14:textId="3A21C262" w:rsidR="009C11FB" w:rsidRDefault="009C11FB" w:rsidP="00E14925">
      <w:pPr>
        <w:pStyle w:val="EndnoteText"/>
        <w:spacing w:line="480" w:lineRule="auto"/>
        <w:ind w:firstLine="360"/>
      </w:pPr>
      <w:r>
        <w:rPr>
          <w:rStyle w:val="EndnoteReference"/>
        </w:rPr>
        <w:endnoteRef/>
      </w:r>
      <w:r>
        <w:t xml:space="preserve"> Peter Kivy, “Orchestrating Platonism,” in </w:t>
      </w:r>
      <w:r>
        <w:rPr>
          <w:i/>
        </w:rPr>
        <w:t xml:space="preserve">Authenticities: Philosophical Reflections on Music Performance </w:t>
      </w:r>
      <w:r>
        <w:t>(Ithaca: Cornell University Press, 1995), 75-94.</w:t>
      </w:r>
    </w:p>
  </w:endnote>
  <w:endnote w:id="38">
    <w:p w14:paraId="327BF23C" w14:textId="0E5BDB1B" w:rsidR="009C11FB" w:rsidRDefault="009C11FB" w:rsidP="00E14925">
      <w:pPr>
        <w:pStyle w:val="EndnoteText"/>
        <w:spacing w:line="480" w:lineRule="auto"/>
        <w:ind w:firstLine="360"/>
      </w:pPr>
      <w:r>
        <w:rPr>
          <w:rStyle w:val="EndnoteReference"/>
        </w:rPr>
        <w:endnoteRef/>
      </w:r>
      <w:r>
        <w:t xml:space="preserve"> Nicholas Cook, “Music as Performance,” in </w:t>
      </w:r>
      <w:r>
        <w:rPr>
          <w:i/>
        </w:rPr>
        <w:t xml:space="preserve">The Cultural Study of Music, </w:t>
      </w:r>
      <w:r>
        <w:t>eds. Martin Clayton, Trevor Herbert and Richard Middleton (New York: Routledge, 2003), 204-06.</w:t>
      </w:r>
    </w:p>
  </w:endnote>
  <w:endnote w:id="39">
    <w:p w14:paraId="5808A550" w14:textId="53838859" w:rsidR="009C11FB" w:rsidRPr="007D6A1C" w:rsidRDefault="009C11FB" w:rsidP="00E14925">
      <w:pPr>
        <w:pStyle w:val="EndnoteText"/>
        <w:spacing w:line="480" w:lineRule="auto"/>
        <w:ind w:firstLine="360"/>
        <w:rPr>
          <w:i/>
        </w:rPr>
      </w:pPr>
      <w:r>
        <w:rPr>
          <w:rStyle w:val="EndnoteReference"/>
        </w:rPr>
        <w:endnoteRef/>
      </w:r>
      <w:r>
        <w:t xml:space="preserve"> Arved Ashby, </w:t>
      </w:r>
      <w:r>
        <w:rPr>
          <w:i/>
        </w:rPr>
        <w:t>Absolute Music.</w:t>
      </w:r>
    </w:p>
  </w:endnote>
  <w:endnote w:id="40">
    <w:p w14:paraId="3F4E922F" w14:textId="09946C7F" w:rsidR="009C11FB" w:rsidRDefault="009C11FB" w:rsidP="00E14925">
      <w:pPr>
        <w:pStyle w:val="EndnoteText"/>
        <w:spacing w:line="480" w:lineRule="auto"/>
        <w:ind w:firstLine="360"/>
      </w:pPr>
      <w:r>
        <w:rPr>
          <w:rStyle w:val="EndnoteReference"/>
        </w:rPr>
        <w:endnoteRef/>
      </w:r>
      <w:r>
        <w:t xml:space="preserve"> Michael Chanan, </w:t>
      </w:r>
      <w:r>
        <w:rPr>
          <w:i/>
        </w:rPr>
        <w:t xml:space="preserve">Repeated Takes: A Short History of Recording and Its Effects on Music </w:t>
      </w:r>
      <w:r>
        <w:t>(London: Verso, 1995), 144-45.</w:t>
      </w:r>
    </w:p>
  </w:endnote>
  <w:endnote w:id="41">
    <w:p w14:paraId="09C4F84C" w14:textId="0B24F6C9" w:rsidR="009C11FB" w:rsidRDefault="009C11FB" w:rsidP="00E14925">
      <w:pPr>
        <w:pStyle w:val="EndnoteText"/>
        <w:spacing w:line="480" w:lineRule="auto"/>
        <w:ind w:firstLine="360"/>
      </w:pPr>
      <w:r>
        <w:rPr>
          <w:rStyle w:val="EndnoteReference"/>
        </w:rPr>
        <w:endnoteRef/>
      </w:r>
      <w:r>
        <w:t xml:space="preserve"> John A. Fisher, “Rock ‘n’Recording: The Ontological Complexity of Rock Music,” in </w:t>
      </w:r>
      <w:r>
        <w:rPr>
          <w:i/>
        </w:rPr>
        <w:t xml:space="preserve">Musical Worlds: New Directions in the Philosophy of Music, </w:t>
      </w:r>
      <w:r>
        <w:t>ed. Philip Alperson (University Park, PA: Pennsylvania State University Press, 1998), 110.</w:t>
      </w:r>
    </w:p>
  </w:endnote>
  <w:endnote w:id="42">
    <w:p w14:paraId="230DA6C8" w14:textId="29B74F21" w:rsidR="009C11FB" w:rsidRDefault="009C11FB" w:rsidP="00E14925">
      <w:pPr>
        <w:pStyle w:val="EndnoteText"/>
        <w:spacing w:line="480" w:lineRule="auto"/>
        <w:ind w:firstLine="360"/>
      </w:pPr>
      <w:r>
        <w:rPr>
          <w:rStyle w:val="EndnoteReference"/>
        </w:rPr>
        <w:endnoteRef/>
      </w:r>
      <w:r>
        <w:t xml:space="preserve"> Lee B. Brown, “Phonography, Rock Records, and the Ontology of Recorded Music,” </w:t>
      </w:r>
      <w:r>
        <w:rPr>
          <w:i/>
        </w:rPr>
        <w:t xml:space="preserve">The Journal of Aesthetics and Art Criticism </w:t>
      </w:r>
      <w:r>
        <w:t xml:space="preserve">58, no. 4 (2000), 363. doi: </w:t>
      </w:r>
      <w:r w:rsidRPr="004E1098">
        <w:t>10.2307/432181</w:t>
      </w:r>
    </w:p>
  </w:endnote>
  <w:endnote w:id="43">
    <w:p w14:paraId="5DC407D8" w14:textId="74D4C049" w:rsidR="009C11FB" w:rsidRDefault="009C11FB" w:rsidP="00E14925">
      <w:pPr>
        <w:pStyle w:val="EndnoteText"/>
        <w:spacing w:line="480" w:lineRule="auto"/>
        <w:ind w:firstLine="360"/>
      </w:pPr>
      <w:r>
        <w:rPr>
          <w:rStyle w:val="EndnoteReference"/>
        </w:rPr>
        <w:endnoteRef/>
      </w:r>
      <w:r>
        <w:t xml:space="preserve"> Ibid., 367.</w:t>
      </w:r>
    </w:p>
  </w:endnote>
  <w:endnote w:id="44">
    <w:p w14:paraId="4212BD90" w14:textId="140396E2" w:rsidR="009C11FB" w:rsidRDefault="009C11FB" w:rsidP="00E14925">
      <w:pPr>
        <w:pStyle w:val="EndnoteText"/>
        <w:spacing w:line="480" w:lineRule="auto"/>
        <w:ind w:firstLine="360"/>
      </w:pPr>
      <w:r>
        <w:rPr>
          <w:rStyle w:val="EndnoteReference"/>
        </w:rPr>
        <w:endnoteRef/>
      </w:r>
      <w:r>
        <w:t xml:space="preserve"> Andrew Kania, “Making Tracks: The Ontology of Rock Music,” </w:t>
      </w:r>
      <w:r>
        <w:rPr>
          <w:i/>
        </w:rPr>
        <w:t xml:space="preserve">The Journal of Aesthetics and Art Criticism </w:t>
      </w:r>
      <w:r>
        <w:t>64, no. 4 (2006), 404. doi: 10.1111/j.1540-594X.2006.00219.x</w:t>
      </w:r>
    </w:p>
  </w:endnote>
  <w:endnote w:id="45">
    <w:p w14:paraId="17F488B2" w14:textId="77777777" w:rsidR="009C11FB" w:rsidRDefault="009C11FB" w:rsidP="00E14925">
      <w:pPr>
        <w:pStyle w:val="EndnoteText"/>
        <w:spacing w:line="480" w:lineRule="auto"/>
        <w:ind w:firstLine="360"/>
      </w:pPr>
      <w:r>
        <w:rPr>
          <w:rStyle w:val="EndnoteReference"/>
        </w:rPr>
        <w:endnoteRef/>
      </w:r>
      <w:r>
        <w:t xml:space="preserve"> Andrew Kania, “Musical Recordings,” </w:t>
      </w:r>
      <w:r>
        <w:rPr>
          <w:i/>
        </w:rPr>
        <w:t xml:space="preserve">Philosophy Compass </w:t>
      </w:r>
      <w:r>
        <w:t>4, no. 1 (2009), 29. doi: 10.1111</w:t>
      </w:r>
    </w:p>
    <w:p w14:paraId="493126FB" w14:textId="23A4751C" w:rsidR="009C11FB" w:rsidRDefault="009C11FB" w:rsidP="00E14925">
      <w:pPr>
        <w:pStyle w:val="EndnoteText"/>
        <w:spacing w:line="480" w:lineRule="auto"/>
      </w:pPr>
      <w:r>
        <w:t>/j.1747-9991.2008.00194.x</w:t>
      </w:r>
    </w:p>
  </w:endnote>
  <w:endnote w:id="46">
    <w:p w14:paraId="16B171D6" w14:textId="116E8435" w:rsidR="009C11FB" w:rsidRDefault="009C11FB" w:rsidP="00E14925">
      <w:pPr>
        <w:pStyle w:val="EndnoteText"/>
        <w:spacing w:line="480" w:lineRule="auto"/>
        <w:ind w:firstLine="360"/>
      </w:pPr>
      <w:r>
        <w:rPr>
          <w:rStyle w:val="EndnoteReference"/>
        </w:rPr>
        <w:endnoteRef/>
      </w:r>
      <w:r>
        <w:t xml:space="preserve"> Linda Ferguson, “Tape Composition: An Art Form in Search of Its Metaphysics,” </w:t>
      </w:r>
      <w:r>
        <w:rPr>
          <w:i/>
        </w:rPr>
        <w:t xml:space="preserve">The Journal of Aesthetics and Art Criticism </w:t>
      </w:r>
      <w:r>
        <w:t xml:space="preserve">42, no. 1 (1983), 17-27. doi: </w:t>
      </w:r>
      <w:r w:rsidRPr="004E1098">
        <w:t>10.2307/429943</w:t>
      </w:r>
    </w:p>
  </w:endnote>
  <w:endnote w:id="47">
    <w:p w14:paraId="3F9208CF" w14:textId="1C0BF633" w:rsidR="009C11FB" w:rsidRDefault="009C11FB" w:rsidP="00E14925">
      <w:pPr>
        <w:pStyle w:val="EndnoteText"/>
        <w:spacing w:line="480" w:lineRule="auto"/>
        <w:ind w:firstLine="360"/>
      </w:pPr>
      <w:r>
        <w:rPr>
          <w:rStyle w:val="EndnoteReference"/>
        </w:rPr>
        <w:endnoteRef/>
      </w:r>
      <w:r>
        <w:t xml:space="preserve"> Adam Stansbie, “Through Thick and Thin: The Ontology of Tape Music,” </w:t>
      </w:r>
      <w:r>
        <w:rPr>
          <w:i/>
        </w:rPr>
        <w:t xml:space="preserve">JMM: The Journal of Music and Meaning </w:t>
      </w:r>
      <w:r>
        <w:t>9 (2010), 67-87.</w:t>
      </w:r>
    </w:p>
  </w:endnote>
  <w:endnote w:id="48">
    <w:p w14:paraId="32C34153" w14:textId="72BA1E5E" w:rsidR="009C11FB" w:rsidRDefault="009C11FB" w:rsidP="00E14925">
      <w:pPr>
        <w:pStyle w:val="EndnoteText"/>
        <w:spacing w:line="480" w:lineRule="auto"/>
        <w:ind w:firstLine="360"/>
      </w:pPr>
      <w:r>
        <w:rPr>
          <w:rStyle w:val="EndnoteReference"/>
        </w:rPr>
        <w:endnoteRef/>
      </w:r>
      <w:r>
        <w:t xml:space="preserve"> Virgil Moorfield, </w:t>
      </w:r>
      <w:r>
        <w:rPr>
          <w:i/>
        </w:rPr>
        <w:t>The Producer as Composer</w:t>
      </w:r>
      <w:r>
        <w:t xml:space="preserve"> (Cambridge: MIT Press, 2005).</w:t>
      </w:r>
    </w:p>
  </w:endnote>
  <w:endnote w:id="49">
    <w:p w14:paraId="07ADED37" w14:textId="1933737C" w:rsidR="009C11FB" w:rsidRDefault="009C11FB" w:rsidP="00E14925">
      <w:pPr>
        <w:pStyle w:val="EndnoteText"/>
        <w:spacing w:line="480" w:lineRule="auto"/>
        <w:ind w:firstLine="360"/>
      </w:pPr>
      <w:r>
        <w:rPr>
          <w:rStyle w:val="EndnoteReference"/>
        </w:rPr>
        <w:endnoteRef/>
      </w:r>
      <w:r>
        <w:t xml:space="preserve"> IFLA, 17.</w:t>
      </w:r>
    </w:p>
  </w:endnote>
  <w:endnote w:id="50">
    <w:p w14:paraId="36720536" w14:textId="1C093E90" w:rsidR="009C11FB" w:rsidRDefault="009C11FB" w:rsidP="00E14925">
      <w:pPr>
        <w:pStyle w:val="EndnoteText"/>
        <w:spacing w:line="480" w:lineRule="auto"/>
        <w:ind w:firstLine="360"/>
      </w:pPr>
      <w:r>
        <w:rPr>
          <w:rStyle w:val="EndnoteReference"/>
        </w:rPr>
        <w:endnoteRef/>
      </w:r>
      <w:r>
        <w:t xml:space="preserve"> IFLA, 19.</w:t>
      </w:r>
    </w:p>
  </w:endnote>
  <w:endnote w:id="51">
    <w:p w14:paraId="26C90764" w14:textId="77777777" w:rsidR="009C11FB" w:rsidRDefault="009C11FB" w:rsidP="00E14925">
      <w:pPr>
        <w:pStyle w:val="EndnoteText"/>
        <w:spacing w:line="480" w:lineRule="auto"/>
        <w:ind w:firstLine="360"/>
      </w:pPr>
      <w:r>
        <w:rPr>
          <w:rStyle w:val="EndnoteReference"/>
        </w:rPr>
        <w:endnoteRef/>
      </w:r>
      <w:r>
        <w:t xml:space="preserve"> Moorfield, 53-54.</w:t>
      </w:r>
    </w:p>
  </w:endnote>
  <w:endnote w:id="52">
    <w:p w14:paraId="092D43E0" w14:textId="33F1B841" w:rsidR="009C11FB" w:rsidRPr="00EB1EE8" w:rsidRDefault="009C11FB" w:rsidP="00E14925">
      <w:pPr>
        <w:pStyle w:val="EndnoteText"/>
        <w:spacing w:line="480" w:lineRule="auto"/>
        <w:ind w:firstLine="360"/>
        <w:rPr>
          <w:b/>
        </w:rPr>
      </w:pPr>
      <w:r>
        <w:rPr>
          <w:rStyle w:val="EndnoteReference"/>
        </w:rPr>
        <w:endnoteRef/>
      </w:r>
      <w:r>
        <w:t xml:space="preserve"> Moorfield, 5.</w:t>
      </w:r>
    </w:p>
  </w:endnote>
  <w:endnote w:id="53">
    <w:p w14:paraId="59B8E481" w14:textId="3188098F" w:rsidR="009C11FB" w:rsidRPr="007350FF" w:rsidRDefault="009C11FB" w:rsidP="00E14925">
      <w:pPr>
        <w:pStyle w:val="EndnoteText"/>
        <w:spacing w:line="480" w:lineRule="auto"/>
        <w:ind w:firstLine="360"/>
      </w:pPr>
      <w:r>
        <w:rPr>
          <w:rStyle w:val="EndnoteReference"/>
        </w:rPr>
        <w:endnoteRef/>
      </w:r>
      <w:r>
        <w:t xml:space="preserve"> Potter, Keith, </w:t>
      </w:r>
      <w:r>
        <w:rPr>
          <w:i/>
        </w:rPr>
        <w:t xml:space="preserve">Four Musical Minimalists: La Monte Young, Terry Riley, Steve Reich, Philip Glass </w:t>
      </w:r>
      <w:r>
        <w:t>(Cambridge: Cambridge University Press, 2000), 169.</w:t>
      </w:r>
    </w:p>
  </w:endnote>
  <w:endnote w:id="54">
    <w:p w14:paraId="289192DC" w14:textId="0C4A10BF" w:rsidR="009C11FB" w:rsidRDefault="009C11FB" w:rsidP="00E14925">
      <w:pPr>
        <w:pStyle w:val="EndnoteText"/>
        <w:spacing w:line="480" w:lineRule="auto"/>
        <w:ind w:firstLine="360"/>
      </w:pPr>
      <w:r>
        <w:rPr>
          <w:rStyle w:val="EndnoteReference"/>
        </w:rPr>
        <w:endnoteRef/>
      </w:r>
      <w:r>
        <w:t xml:space="preserve"> Nelson Goodman, </w:t>
      </w:r>
      <w:r>
        <w:rPr>
          <w:i/>
        </w:rPr>
        <w:t>Languages of Art</w:t>
      </w:r>
      <w:r>
        <w:t xml:space="preserve"> (Indianapolis: The Bobbs-Merrill Company, Inc., 1968), 112.</w:t>
      </w:r>
    </w:p>
  </w:endnote>
  <w:endnote w:id="55">
    <w:p w14:paraId="73BBDB62" w14:textId="77777777" w:rsidR="009C11FB" w:rsidRDefault="009C11FB" w:rsidP="00E14925">
      <w:pPr>
        <w:pStyle w:val="EndnoteText"/>
        <w:spacing w:line="480" w:lineRule="auto"/>
        <w:ind w:firstLine="360"/>
      </w:pPr>
      <w:r>
        <w:rPr>
          <w:rStyle w:val="EndnoteReference"/>
        </w:rPr>
        <w:endnoteRef/>
      </w:r>
      <w:r>
        <w:t xml:space="preserve"> Ibid., 113.</w:t>
      </w:r>
    </w:p>
  </w:endnote>
  <w:endnote w:id="56">
    <w:p w14:paraId="08DC3A29" w14:textId="7C31A48A" w:rsidR="009C11FB" w:rsidRDefault="009C11FB" w:rsidP="00E14925">
      <w:pPr>
        <w:pStyle w:val="EndnoteText"/>
        <w:spacing w:line="480" w:lineRule="auto"/>
        <w:ind w:firstLine="360"/>
      </w:pPr>
      <w:r>
        <w:rPr>
          <w:rStyle w:val="EndnoteReference"/>
        </w:rPr>
        <w:endnoteRef/>
      </w:r>
      <w:r>
        <w:t xml:space="preserve"> Theodore Gracyk, </w:t>
      </w:r>
      <w:r>
        <w:rPr>
          <w:i/>
        </w:rPr>
        <w:t>Rhythm and Noise: An Aesthetics of Rock</w:t>
      </w:r>
      <w:r>
        <w:t xml:space="preserve"> (Durham, NC: Duke University Press, 1996), 32.</w:t>
      </w:r>
    </w:p>
  </w:endnote>
  <w:endnote w:id="57">
    <w:p w14:paraId="11C72D45" w14:textId="77777777" w:rsidR="009C11FB" w:rsidRDefault="009C11FB" w:rsidP="00E14925">
      <w:pPr>
        <w:pStyle w:val="EndnoteText"/>
        <w:spacing w:line="480" w:lineRule="auto"/>
        <w:ind w:firstLine="360"/>
      </w:pPr>
      <w:r>
        <w:rPr>
          <w:rStyle w:val="EndnoteReference"/>
        </w:rPr>
        <w:endnoteRef/>
      </w:r>
      <w:r>
        <w:t xml:space="preserve"> Ibid., 19.</w:t>
      </w:r>
    </w:p>
  </w:endnote>
  <w:endnote w:id="58">
    <w:p w14:paraId="72809E33" w14:textId="590D1816" w:rsidR="009C11FB" w:rsidRDefault="009C11FB" w:rsidP="00E14925">
      <w:pPr>
        <w:pStyle w:val="EndnoteText"/>
        <w:spacing w:line="480" w:lineRule="auto"/>
        <w:ind w:firstLine="360"/>
      </w:pPr>
      <w:r>
        <w:rPr>
          <w:rStyle w:val="EndnoteReference"/>
        </w:rPr>
        <w:endnoteRef/>
      </w:r>
      <w:r>
        <w:t xml:space="preserve"> Stephen Davies, </w:t>
      </w:r>
      <w:r>
        <w:rPr>
          <w:i/>
        </w:rPr>
        <w:t>Musical Works and Performances: A Philosophical Exploration</w:t>
      </w:r>
      <w:r>
        <w:t xml:space="preserve"> (Oxford: Oxford University Press, 2001), 25.</w:t>
      </w:r>
    </w:p>
  </w:endnote>
  <w:endnote w:id="59">
    <w:p w14:paraId="4B4204E3" w14:textId="77777777" w:rsidR="009C11FB" w:rsidRDefault="009C11FB" w:rsidP="00E14925">
      <w:pPr>
        <w:pStyle w:val="EndnoteText"/>
        <w:spacing w:line="480" w:lineRule="auto"/>
        <w:ind w:firstLine="360"/>
      </w:pPr>
      <w:r>
        <w:rPr>
          <w:rStyle w:val="EndnoteReference"/>
        </w:rPr>
        <w:endnoteRef/>
      </w:r>
      <w:r>
        <w:t xml:space="preserve"> Ibid., 13.</w:t>
      </w:r>
    </w:p>
  </w:endnote>
  <w:endnote w:id="60">
    <w:p w14:paraId="3EC243C5" w14:textId="6661F6C8" w:rsidR="009C11FB" w:rsidRDefault="009C11FB" w:rsidP="00E14925">
      <w:pPr>
        <w:pStyle w:val="EndnoteText"/>
        <w:spacing w:line="480" w:lineRule="auto"/>
        <w:ind w:firstLine="360"/>
      </w:pPr>
      <w:r>
        <w:rPr>
          <w:rStyle w:val="EndnoteReference"/>
        </w:rPr>
        <w:endnoteRef/>
      </w:r>
      <w:r>
        <w:t xml:space="preserve"> Gracyk, </w:t>
      </w:r>
      <w:r>
        <w:rPr>
          <w:i/>
        </w:rPr>
        <w:t xml:space="preserve">Rhythm and Noise, </w:t>
      </w:r>
      <w:r>
        <w:t>34.</w:t>
      </w:r>
    </w:p>
  </w:endnote>
  <w:endnote w:id="61">
    <w:p w14:paraId="3DAEA519" w14:textId="77777777" w:rsidR="009C11FB" w:rsidRDefault="009C11FB" w:rsidP="00E14925">
      <w:pPr>
        <w:pStyle w:val="EndnoteText"/>
        <w:spacing w:line="480" w:lineRule="auto"/>
        <w:ind w:firstLine="360"/>
      </w:pPr>
      <w:r>
        <w:rPr>
          <w:rStyle w:val="EndnoteReference"/>
        </w:rPr>
        <w:endnoteRef/>
      </w:r>
      <w:r>
        <w:t xml:space="preserve"> Ibid.</w:t>
      </w:r>
    </w:p>
  </w:endnote>
  <w:endnote w:id="62">
    <w:p w14:paraId="5EBAFFC9" w14:textId="4C070E95" w:rsidR="009C11FB" w:rsidRDefault="009C11FB" w:rsidP="00E14925">
      <w:pPr>
        <w:pStyle w:val="EndnoteText"/>
        <w:spacing w:line="480" w:lineRule="auto"/>
        <w:ind w:firstLine="360"/>
      </w:pPr>
      <w:r>
        <w:rPr>
          <w:rStyle w:val="EndnoteReference"/>
        </w:rPr>
        <w:endnoteRef/>
      </w:r>
      <w:r>
        <w:t xml:space="preserve"> Martha M. Yee, “FRBR and Moving Image Materials</w:t>
      </w:r>
      <w:r>
        <w:rPr>
          <w:i/>
        </w:rPr>
        <w:t xml:space="preserve">,” </w:t>
      </w:r>
      <w:r>
        <w:t xml:space="preserve">in </w:t>
      </w:r>
      <w:r>
        <w:rPr>
          <w:i/>
        </w:rPr>
        <w:t xml:space="preserve">Understanding FRBR: What It Is and How It Will Affect Our Retrieval Tools, </w:t>
      </w:r>
      <w:r>
        <w:t>ed. Arlene J. Taylor (Westport, Conn.: Libraries Unlimited, 2007), 124.</w:t>
      </w:r>
    </w:p>
  </w:endnote>
  <w:endnote w:id="63">
    <w:p w14:paraId="46F3ACF1" w14:textId="3ECAE671" w:rsidR="009C11FB" w:rsidRPr="004E5C00" w:rsidRDefault="009C11FB" w:rsidP="00E14925">
      <w:pPr>
        <w:pStyle w:val="EndnoteText"/>
        <w:spacing w:line="480" w:lineRule="auto"/>
        <w:ind w:firstLine="360"/>
        <w:rPr>
          <w:i/>
        </w:rPr>
      </w:pPr>
      <w:r>
        <w:rPr>
          <w:rStyle w:val="EndnoteReference"/>
        </w:rPr>
        <w:endnoteRef/>
      </w:r>
      <w:r>
        <w:t xml:space="preserve"> Theodore Gracyk, </w:t>
      </w:r>
      <w:r>
        <w:rPr>
          <w:i/>
        </w:rPr>
        <w:t>Rhythm and Noise</w:t>
      </w:r>
      <w:r>
        <w:t xml:space="preserve">; Virgil Moorfield, </w:t>
      </w:r>
      <w:r>
        <w:rPr>
          <w:i/>
        </w:rPr>
        <w:t>Producer as Composer</w:t>
      </w:r>
      <w:r>
        <w:t xml:space="preserve">; Arved Ashby, </w:t>
      </w:r>
      <w:r>
        <w:rPr>
          <w:i/>
        </w:rPr>
        <w:t>Absolute Music.</w:t>
      </w:r>
    </w:p>
  </w:endnote>
  <w:endnote w:id="64">
    <w:p w14:paraId="0D3E7B1C" w14:textId="77777777" w:rsidR="009C11FB" w:rsidRDefault="009C11FB" w:rsidP="00E14925">
      <w:pPr>
        <w:pStyle w:val="EndnoteText"/>
        <w:spacing w:line="480" w:lineRule="auto"/>
        <w:ind w:firstLine="360"/>
      </w:pPr>
      <w:r>
        <w:rPr>
          <w:rStyle w:val="EndnoteReference"/>
        </w:rPr>
        <w:endnoteRef/>
      </w:r>
      <w:r>
        <w:t xml:space="preserve"> IFLA, p. 56.</w:t>
      </w:r>
    </w:p>
  </w:endnote>
  <w:endnote w:id="65">
    <w:p w14:paraId="3105A7AE" w14:textId="27C79D6D" w:rsidR="009C11FB" w:rsidRDefault="009C11FB" w:rsidP="00E14925">
      <w:pPr>
        <w:pStyle w:val="EndnoteText"/>
        <w:spacing w:line="480" w:lineRule="auto"/>
        <w:ind w:firstLine="360"/>
      </w:pPr>
      <w:r>
        <w:rPr>
          <w:rStyle w:val="EndnoteReference"/>
        </w:rPr>
        <w:endnoteRef/>
      </w:r>
      <w:r>
        <w:t xml:space="preserve"> Sherry L. Vellucci, “FRBR and Music,” 142-43.</w:t>
      </w:r>
    </w:p>
  </w:endnote>
  <w:endnote w:id="66">
    <w:p w14:paraId="40FE9521" w14:textId="4AB15440" w:rsidR="009C11FB" w:rsidRDefault="009C11FB" w:rsidP="00E14925">
      <w:pPr>
        <w:pStyle w:val="EndnoteText"/>
        <w:spacing w:line="480" w:lineRule="auto"/>
        <w:ind w:firstLine="360"/>
      </w:pPr>
      <w:r>
        <w:rPr>
          <w:rStyle w:val="EndnoteReference"/>
        </w:rPr>
        <w:endnoteRef/>
      </w:r>
      <w:r>
        <w:t xml:space="preserve"> Stephen Davies, </w:t>
      </w:r>
      <w:r>
        <w:rPr>
          <w:i/>
        </w:rPr>
        <w:t>Musical Works</w:t>
      </w:r>
      <w:r>
        <w:t>, 20.</w:t>
      </w:r>
    </w:p>
  </w:endnote>
  <w:endnote w:id="67">
    <w:p w14:paraId="01ABE171" w14:textId="1E49FA7E" w:rsidR="009C11FB" w:rsidRDefault="009C11FB" w:rsidP="00E14925">
      <w:pPr>
        <w:pStyle w:val="EndnoteText"/>
        <w:spacing w:line="480" w:lineRule="auto"/>
        <w:ind w:firstLine="360"/>
      </w:pPr>
      <w:r>
        <w:rPr>
          <w:rStyle w:val="EndnoteReference"/>
        </w:rPr>
        <w:endnoteRef/>
      </w:r>
      <w:r>
        <w:t xml:space="preserve"> Adam Stansbie, “Through Thick and Thin,” 85.</w:t>
      </w:r>
    </w:p>
  </w:endnote>
  <w:endnote w:id="68">
    <w:p w14:paraId="5CFAF3EC" w14:textId="2DAD32E7" w:rsidR="009C11FB" w:rsidRPr="0056799E" w:rsidRDefault="009C11FB" w:rsidP="00E14925">
      <w:pPr>
        <w:spacing w:after="0" w:line="480" w:lineRule="auto"/>
        <w:ind w:firstLine="360"/>
        <w:rPr>
          <w:sz w:val="20"/>
          <w:szCs w:val="20"/>
        </w:rPr>
      </w:pPr>
      <w:r>
        <w:rPr>
          <w:rStyle w:val="EndnoteReference"/>
        </w:rPr>
        <w:endnoteRef/>
      </w:r>
      <w:r>
        <w:t xml:space="preserve"> </w:t>
      </w:r>
      <w:r>
        <w:rPr>
          <w:sz w:val="20"/>
          <w:szCs w:val="20"/>
        </w:rPr>
        <w:t xml:space="preserve">Marie-Louise Ayres, “Case Studies in Implementing Functional Requirements for Bibliographic Records (FRBR): AustLit and Music Australia,” </w:t>
      </w:r>
      <w:r>
        <w:rPr>
          <w:i/>
          <w:sz w:val="20"/>
          <w:szCs w:val="20"/>
        </w:rPr>
        <w:t xml:space="preserve">Australian Library Journal </w:t>
      </w:r>
      <w:r>
        <w:rPr>
          <w:sz w:val="20"/>
          <w:szCs w:val="20"/>
        </w:rPr>
        <w:t xml:space="preserve">54, no. 1 (2005), 51; Raymond Schmidt, “Composing in Real Time,” 655; Martha M. Yee, “Lubetzky’s Work Principle” in </w:t>
      </w:r>
      <w:r>
        <w:rPr>
          <w:i/>
          <w:sz w:val="20"/>
          <w:szCs w:val="20"/>
        </w:rPr>
        <w:t xml:space="preserve">The Future of Cataloging: Insights from the Lubetzky Symposium, April 18, 1998, </w:t>
      </w:r>
      <w:r>
        <w:rPr>
          <w:sz w:val="20"/>
          <w:szCs w:val="20"/>
        </w:rPr>
        <w:t>ed. Tschera Harkness Connell and Robert L. Maxwell (Chicago: American Library Association, 2000), 80-81.</w:t>
      </w:r>
    </w:p>
  </w:endnote>
  <w:endnote w:id="69">
    <w:p w14:paraId="29EFDF26" w14:textId="596F43B0" w:rsidR="009C11FB" w:rsidRDefault="009C11FB" w:rsidP="00B867F4">
      <w:pPr>
        <w:pStyle w:val="EndnoteText"/>
        <w:spacing w:line="480" w:lineRule="auto"/>
        <w:ind w:left="360"/>
      </w:pPr>
      <w:r>
        <w:rPr>
          <w:rStyle w:val="EndnoteReference"/>
        </w:rPr>
        <w:endnoteRef/>
      </w:r>
      <w:r>
        <w:t xml:space="preserve"> Raymond Schmidt, “Composing in Real Time,” 663.</w:t>
      </w:r>
    </w:p>
  </w:endnote>
  <w:endnote w:id="70">
    <w:p w14:paraId="226C8C10" w14:textId="205C9098" w:rsidR="009C11FB" w:rsidRDefault="009C11FB" w:rsidP="00E14925">
      <w:pPr>
        <w:pStyle w:val="EndnoteText"/>
        <w:spacing w:line="480" w:lineRule="auto"/>
        <w:ind w:firstLine="360"/>
      </w:pPr>
      <w:r>
        <w:rPr>
          <w:rStyle w:val="EndnoteReference"/>
        </w:rPr>
        <w:endnoteRef/>
      </w:r>
      <w:r>
        <w:t xml:space="preserve"> IFLA, 17.</w:t>
      </w:r>
    </w:p>
  </w:endnote>
  <w:endnote w:id="71">
    <w:p w14:paraId="394607CC" w14:textId="269C0D8C" w:rsidR="009C11FB" w:rsidRPr="00B427C4" w:rsidRDefault="009C11FB" w:rsidP="00E14925">
      <w:pPr>
        <w:pStyle w:val="EndnoteText"/>
        <w:spacing w:line="480" w:lineRule="auto"/>
        <w:ind w:firstLine="360"/>
      </w:pPr>
      <w:r>
        <w:rPr>
          <w:rStyle w:val="EndnoteReference"/>
        </w:rPr>
        <w:endnoteRef/>
      </w:r>
      <w:r>
        <w:t xml:space="preserve"> Patrick Le Boeuf, “Foreword,” </w:t>
      </w:r>
      <w:r>
        <w:rPr>
          <w:i/>
        </w:rPr>
        <w:t xml:space="preserve">Cataloging &amp; Classification Quarterly </w:t>
      </w:r>
      <w:r>
        <w:t>50, no. 5-7 (2012), 355-359.</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4613395"/>
      <w:docPartObj>
        <w:docPartGallery w:val="Page Numbers (Bottom of Page)"/>
        <w:docPartUnique/>
      </w:docPartObj>
    </w:sdtPr>
    <w:sdtEndPr>
      <w:rPr>
        <w:noProof/>
      </w:rPr>
    </w:sdtEndPr>
    <w:sdtContent>
      <w:p w14:paraId="6799EB35" w14:textId="58B979A3" w:rsidR="009C11FB" w:rsidRDefault="009C11FB">
        <w:pPr>
          <w:pStyle w:val="Footer"/>
          <w:jc w:val="center"/>
        </w:pPr>
        <w:r>
          <w:fldChar w:fldCharType="begin"/>
        </w:r>
        <w:r>
          <w:instrText xml:space="preserve"> PAGE   \* MERGEFORMAT </w:instrText>
        </w:r>
        <w:r>
          <w:fldChar w:fldCharType="separate"/>
        </w:r>
        <w:r w:rsidR="00B867F4">
          <w:rPr>
            <w:noProof/>
          </w:rPr>
          <w:t>2</w:t>
        </w:r>
        <w:r>
          <w:rPr>
            <w:noProof/>
          </w:rPr>
          <w:fldChar w:fldCharType="end"/>
        </w:r>
      </w:p>
    </w:sdtContent>
  </w:sdt>
  <w:p w14:paraId="069F8E75" w14:textId="77777777" w:rsidR="009C11FB" w:rsidRDefault="009C11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1B7055" w14:textId="77777777" w:rsidR="009C11FB" w:rsidRDefault="009C11FB" w:rsidP="008F4129">
      <w:pPr>
        <w:spacing w:after="0" w:line="240" w:lineRule="auto"/>
      </w:pPr>
      <w:r>
        <w:separator/>
      </w:r>
    </w:p>
  </w:footnote>
  <w:footnote w:type="continuationSeparator" w:id="0">
    <w:p w14:paraId="613D0C9F" w14:textId="77777777" w:rsidR="009C11FB" w:rsidRDefault="009C11FB" w:rsidP="008F412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BE7"/>
    <w:rsid w:val="00023369"/>
    <w:rsid w:val="00031856"/>
    <w:rsid w:val="00042A58"/>
    <w:rsid w:val="00045344"/>
    <w:rsid w:val="0004717E"/>
    <w:rsid w:val="00053DAD"/>
    <w:rsid w:val="0005640F"/>
    <w:rsid w:val="000848C9"/>
    <w:rsid w:val="000B0FE5"/>
    <w:rsid w:val="000C0FC4"/>
    <w:rsid w:val="000D05F4"/>
    <w:rsid w:val="000D2176"/>
    <w:rsid w:val="000E5D5E"/>
    <w:rsid w:val="00101A94"/>
    <w:rsid w:val="00107B7D"/>
    <w:rsid w:val="00181359"/>
    <w:rsid w:val="001A7364"/>
    <w:rsid w:val="001A7FBF"/>
    <w:rsid w:val="001D0A5A"/>
    <w:rsid w:val="001D4872"/>
    <w:rsid w:val="00210CC9"/>
    <w:rsid w:val="00210FAF"/>
    <w:rsid w:val="00224CF3"/>
    <w:rsid w:val="002447A3"/>
    <w:rsid w:val="002A7F4B"/>
    <w:rsid w:val="002C02CA"/>
    <w:rsid w:val="002C4D18"/>
    <w:rsid w:val="002D0183"/>
    <w:rsid w:val="002D13D0"/>
    <w:rsid w:val="002E7796"/>
    <w:rsid w:val="00363E67"/>
    <w:rsid w:val="00367233"/>
    <w:rsid w:val="00371536"/>
    <w:rsid w:val="00383C46"/>
    <w:rsid w:val="003D5C9C"/>
    <w:rsid w:val="003D69D9"/>
    <w:rsid w:val="003D7DC6"/>
    <w:rsid w:val="003E2813"/>
    <w:rsid w:val="003E6C27"/>
    <w:rsid w:val="00423199"/>
    <w:rsid w:val="004336B7"/>
    <w:rsid w:val="00434F7C"/>
    <w:rsid w:val="004522FB"/>
    <w:rsid w:val="00456990"/>
    <w:rsid w:val="00472924"/>
    <w:rsid w:val="00481E2F"/>
    <w:rsid w:val="0049768F"/>
    <w:rsid w:val="004A307A"/>
    <w:rsid w:val="004E1098"/>
    <w:rsid w:val="004E5C00"/>
    <w:rsid w:val="00503648"/>
    <w:rsid w:val="0050660F"/>
    <w:rsid w:val="00510D69"/>
    <w:rsid w:val="00512A3A"/>
    <w:rsid w:val="005141CE"/>
    <w:rsid w:val="00521DDF"/>
    <w:rsid w:val="00522423"/>
    <w:rsid w:val="0052369E"/>
    <w:rsid w:val="0056799E"/>
    <w:rsid w:val="00572DBC"/>
    <w:rsid w:val="005840C1"/>
    <w:rsid w:val="00597850"/>
    <w:rsid w:val="005A43DC"/>
    <w:rsid w:val="005C6C90"/>
    <w:rsid w:val="005F7AEB"/>
    <w:rsid w:val="00602388"/>
    <w:rsid w:val="00631A0C"/>
    <w:rsid w:val="00631E30"/>
    <w:rsid w:val="006452E8"/>
    <w:rsid w:val="00655B13"/>
    <w:rsid w:val="00672EC9"/>
    <w:rsid w:val="006828A5"/>
    <w:rsid w:val="0068300A"/>
    <w:rsid w:val="006839CF"/>
    <w:rsid w:val="00694FD3"/>
    <w:rsid w:val="006B3D34"/>
    <w:rsid w:val="006B72EF"/>
    <w:rsid w:val="006C4FF5"/>
    <w:rsid w:val="006F2A67"/>
    <w:rsid w:val="00706B0A"/>
    <w:rsid w:val="007350FF"/>
    <w:rsid w:val="00740157"/>
    <w:rsid w:val="00754F47"/>
    <w:rsid w:val="00760477"/>
    <w:rsid w:val="007619DE"/>
    <w:rsid w:val="00770F95"/>
    <w:rsid w:val="00774B2D"/>
    <w:rsid w:val="00775D28"/>
    <w:rsid w:val="00791F1F"/>
    <w:rsid w:val="007948B2"/>
    <w:rsid w:val="007A2BD1"/>
    <w:rsid w:val="007D6A1C"/>
    <w:rsid w:val="007D760F"/>
    <w:rsid w:val="007E7FEB"/>
    <w:rsid w:val="0082585D"/>
    <w:rsid w:val="008425A9"/>
    <w:rsid w:val="008513D7"/>
    <w:rsid w:val="00852D71"/>
    <w:rsid w:val="00870E05"/>
    <w:rsid w:val="008804CE"/>
    <w:rsid w:val="00892F05"/>
    <w:rsid w:val="008F4129"/>
    <w:rsid w:val="008F448E"/>
    <w:rsid w:val="008F4A3C"/>
    <w:rsid w:val="00905F48"/>
    <w:rsid w:val="00906FCC"/>
    <w:rsid w:val="0093488D"/>
    <w:rsid w:val="00936C57"/>
    <w:rsid w:val="009405FA"/>
    <w:rsid w:val="00964BC5"/>
    <w:rsid w:val="009741BE"/>
    <w:rsid w:val="009A4254"/>
    <w:rsid w:val="009C11FB"/>
    <w:rsid w:val="009C1A01"/>
    <w:rsid w:val="009D334B"/>
    <w:rsid w:val="009D3BE7"/>
    <w:rsid w:val="009E250B"/>
    <w:rsid w:val="009E6D49"/>
    <w:rsid w:val="00A11A7F"/>
    <w:rsid w:val="00A21565"/>
    <w:rsid w:val="00A46565"/>
    <w:rsid w:val="00A660E2"/>
    <w:rsid w:val="00A675E8"/>
    <w:rsid w:val="00AA4337"/>
    <w:rsid w:val="00AB4440"/>
    <w:rsid w:val="00AB48BD"/>
    <w:rsid w:val="00AB7B5F"/>
    <w:rsid w:val="00AC63DD"/>
    <w:rsid w:val="00AC7BEE"/>
    <w:rsid w:val="00AD5702"/>
    <w:rsid w:val="00AE2C42"/>
    <w:rsid w:val="00AF646F"/>
    <w:rsid w:val="00AF7589"/>
    <w:rsid w:val="00B10A76"/>
    <w:rsid w:val="00B16DED"/>
    <w:rsid w:val="00B2395D"/>
    <w:rsid w:val="00B369B6"/>
    <w:rsid w:val="00B427C4"/>
    <w:rsid w:val="00B43972"/>
    <w:rsid w:val="00B56060"/>
    <w:rsid w:val="00B66E36"/>
    <w:rsid w:val="00B67477"/>
    <w:rsid w:val="00B71E81"/>
    <w:rsid w:val="00B80693"/>
    <w:rsid w:val="00B867F4"/>
    <w:rsid w:val="00B95927"/>
    <w:rsid w:val="00BA08EC"/>
    <w:rsid w:val="00BA64C3"/>
    <w:rsid w:val="00BD50E4"/>
    <w:rsid w:val="00BF7231"/>
    <w:rsid w:val="00C01792"/>
    <w:rsid w:val="00C13912"/>
    <w:rsid w:val="00C164A9"/>
    <w:rsid w:val="00C23E32"/>
    <w:rsid w:val="00C516F0"/>
    <w:rsid w:val="00C725EA"/>
    <w:rsid w:val="00C74832"/>
    <w:rsid w:val="00C77EB4"/>
    <w:rsid w:val="00C82404"/>
    <w:rsid w:val="00C93530"/>
    <w:rsid w:val="00CA57DC"/>
    <w:rsid w:val="00CA76A1"/>
    <w:rsid w:val="00CC1172"/>
    <w:rsid w:val="00CD6EC2"/>
    <w:rsid w:val="00D00EEF"/>
    <w:rsid w:val="00D033A8"/>
    <w:rsid w:val="00D038AA"/>
    <w:rsid w:val="00D06F58"/>
    <w:rsid w:val="00D31076"/>
    <w:rsid w:val="00D8477F"/>
    <w:rsid w:val="00D850B7"/>
    <w:rsid w:val="00D85771"/>
    <w:rsid w:val="00D95463"/>
    <w:rsid w:val="00D96949"/>
    <w:rsid w:val="00DA38DF"/>
    <w:rsid w:val="00DA5270"/>
    <w:rsid w:val="00DC7878"/>
    <w:rsid w:val="00E1035A"/>
    <w:rsid w:val="00E14925"/>
    <w:rsid w:val="00E27DE6"/>
    <w:rsid w:val="00E32A36"/>
    <w:rsid w:val="00E52DE1"/>
    <w:rsid w:val="00E87B65"/>
    <w:rsid w:val="00EA2BFA"/>
    <w:rsid w:val="00EB1EE8"/>
    <w:rsid w:val="00EE0C41"/>
    <w:rsid w:val="00EF3283"/>
    <w:rsid w:val="00EF6534"/>
    <w:rsid w:val="00F068B5"/>
    <w:rsid w:val="00F25B65"/>
    <w:rsid w:val="00F352F5"/>
    <w:rsid w:val="00F45955"/>
    <w:rsid w:val="00F50302"/>
    <w:rsid w:val="00F57F15"/>
    <w:rsid w:val="00F6454A"/>
    <w:rsid w:val="00F930C7"/>
    <w:rsid w:val="00FA1563"/>
    <w:rsid w:val="00FB4858"/>
    <w:rsid w:val="00FB4F44"/>
    <w:rsid w:val="00FD2764"/>
    <w:rsid w:val="00FF14D9"/>
    <w:rsid w:val="00FF1780"/>
    <w:rsid w:val="00FF189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ECC3820"/>
  <w15:docId w15:val="{C4FFDBBD-1569-47EC-9BA5-5C354046BB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F412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F4129"/>
    <w:rPr>
      <w:sz w:val="20"/>
      <w:szCs w:val="20"/>
    </w:rPr>
  </w:style>
  <w:style w:type="character" w:styleId="FootnoteReference">
    <w:name w:val="footnote reference"/>
    <w:basedOn w:val="DefaultParagraphFont"/>
    <w:uiPriority w:val="99"/>
    <w:semiHidden/>
    <w:unhideWhenUsed/>
    <w:rsid w:val="008F4129"/>
    <w:rPr>
      <w:vertAlign w:val="superscript"/>
    </w:rPr>
  </w:style>
  <w:style w:type="character" w:styleId="CommentReference">
    <w:name w:val="annotation reference"/>
    <w:basedOn w:val="DefaultParagraphFont"/>
    <w:uiPriority w:val="99"/>
    <w:semiHidden/>
    <w:unhideWhenUsed/>
    <w:rsid w:val="00B43972"/>
    <w:rPr>
      <w:sz w:val="16"/>
      <w:szCs w:val="16"/>
    </w:rPr>
  </w:style>
  <w:style w:type="paragraph" w:styleId="CommentText">
    <w:name w:val="annotation text"/>
    <w:basedOn w:val="Normal"/>
    <w:link w:val="CommentTextChar"/>
    <w:uiPriority w:val="99"/>
    <w:semiHidden/>
    <w:unhideWhenUsed/>
    <w:rsid w:val="0005640F"/>
    <w:pPr>
      <w:spacing w:line="240" w:lineRule="auto"/>
    </w:pPr>
    <w:rPr>
      <w:sz w:val="20"/>
      <w:szCs w:val="20"/>
    </w:rPr>
  </w:style>
  <w:style w:type="character" w:customStyle="1" w:styleId="CommentTextChar">
    <w:name w:val="Comment Text Char"/>
    <w:basedOn w:val="DefaultParagraphFont"/>
    <w:link w:val="CommentText"/>
    <w:uiPriority w:val="99"/>
    <w:semiHidden/>
    <w:rsid w:val="0005640F"/>
    <w:rPr>
      <w:sz w:val="20"/>
      <w:szCs w:val="20"/>
    </w:rPr>
  </w:style>
  <w:style w:type="paragraph" w:styleId="CommentSubject">
    <w:name w:val="annotation subject"/>
    <w:basedOn w:val="CommentText"/>
    <w:next w:val="CommentText"/>
    <w:link w:val="CommentSubjectChar"/>
    <w:uiPriority w:val="99"/>
    <w:semiHidden/>
    <w:unhideWhenUsed/>
    <w:rsid w:val="0005640F"/>
    <w:rPr>
      <w:b/>
      <w:bCs/>
    </w:rPr>
  </w:style>
  <w:style w:type="character" w:customStyle="1" w:styleId="CommentSubjectChar">
    <w:name w:val="Comment Subject Char"/>
    <w:basedOn w:val="CommentTextChar"/>
    <w:link w:val="CommentSubject"/>
    <w:uiPriority w:val="99"/>
    <w:semiHidden/>
    <w:rsid w:val="0005640F"/>
    <w:rPr>
      <w:b/>
      <w:bCs/>
      <w:sz w:val="20"/>
      <w:szCs w:val="20"/>
    </w:rPr>
  </w:style>
  <w:style w:type="paragraph" w:styleId="BalloonText">
    <w:name w:val="Balloon Text"/>
    <w:basedOn w:val="Normal"/>
    <w:link w:val="BalloonTextChar"/>
    <w:uiPriority w:val="99"/>
    <w:semiHidden/>
    <w:unhideWhenUsed/>
    <w:rsid w:val="000564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640F"/>
    <w:rPr>
      <w:rFonts w:ascii="Tahoma" w:hAnsi="Tahoma" w:cs="Tahoma"/>
      <w:sz w:val="16"/>
      <w:szCs w:val="16"/>
    </w:rPr>
  </w:style>
  <w:style w:type="character" w:styleId="Hyperlink">
    <w:name w:val="Hyperlink"/>
    <w:basedOn w:val="DefaultParagraphFont"/>
    <w:uiPriority w:val="99"/>
    <w:unhideWhenUsed/>
    <w:rsid w:val="00E87B65"/>
    <w:rPr>
      <w:color w:val="0000FF" w:themeColor="hyperlink"/>
      <w:u w:val="single"/>
    </w:rPr>
  </w:style>
  <w:style w:type="character" w:styleId="FollowedHyperlink">
    <w:name w:val="FollowedHyperlink"/>
    <w:basedOn w:val="DefaultParagraphFont"/>
    <w:uiPriority w:val="99"/>
    <w:semiHidden/>
    <w:unhideWhenUsed/>
    <w:rsid w:val="00042A58"/>
    <w:rPr>
      <w:color w:val="800080" w:themeColor="followedHyperlink"/>
      <w:u w:val="single"/>
    </w:rPr>
  </w:style>
  <w:style w:type="paragraph" w:styleId="EndnoteText">
    <w:name w:val="endnote text"/>
    <w:basedOn w:val="Normal"/>
    <w:link w:val="EndnoteTextChar"/>
    <w:uiPriority w:val="99"/>
    <w:unhideWhenUsed/>
    <w:rsid w:val="005840C1"/>
    <w:pPr>
      <w:spacing w:after="0" w:line="240" w:lineRule="auto"/>
    </w:pPr>
    <w:rPr>
      <w:sz w:val="20"/>
      <w:szCs w:val="20"/>
    </w:rPr>
  </w:style>
  <w:style w:type="character" w:customStyle="1" w:styleId="EndnoteTextChar">
    <w:name w:val="Endnote Text Char"/>
    <w:basedOn w:val="DefaultParagraphFont"/>
    <w:link w:val="EndnoteText"/>
    <w:uiPriority w:val="99"/>
    <w:rsid w:val="005840C1"/>
    <w:rPr>
      <w:sz w:val="20"/>
      <w:szCs w:val="20"/>
    </w:rPr>
  </w:style>
  <w:style w:type="character" w:styleId="EndnoteReference">
    <w:name w:val="endnote reference"/>
    <w:basedOn w:val="DefaultParagraphFont"/>
    <w:uiPriority w:val="99"/>
    <w:unhideWhenUsed/>
    <w:rsid w:val="005840C1"/>
    <w:rPr>
      <w:vertAlign w:val="superscript"/>
    </w:rPr>
  </w:style>
  <w:style w:type="paragraph" w:styleId="Header">
    <w:name w:val="header"/>
    <w:basedOn w:val="Normal"/>
    <w:link w:val="HeaderChar"/>
    <w:uiPriority w:val="99"/>
    <w:unhideWhenUsed/>
    <w:rsid w:val="005840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40C1"/>
  </w:style>
  <w:style w:type="paragraph" w:styleId="Footer">
    <w:name w:val="footer"/>
    <w:basedOn w:val="Normal"/>
    <w:link w:val="FooterChar"/>
    <w:uiPriority w:val="99"/>
    <w:unhideWhenUsed/>
    <w:rsid w:val="005840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40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2085666">
      <w:bodyDiv w:val="1"/>
      <w:marLeft w:val="0"/>
      <w:marRight w:val="0"/>
      <w:marTop w:val="0"/>
      <w:marBottom w:val="0"/>
      <w:divBdr>
        <w:top w:val="none" w:sz="0" w:space="0" w:color="auto"/>
        <w:left w:val="none" w:sz="0" w:space="0" w:color="auto"/>
        <w:bottom w:val="none" w:sz="0" w:space="0" w:color="auto"/>
        <w:right w:val="none" w:sz="0" w:space="0" w:color="auto"/>
      </w:divBdr>
    </w:div>
    <w:div w:id="1743065509">
      <w:bodyDiv w:val="1"/>
      <w:marLeft w:val="0"/>
      <w:marRight w:val="0"/>
      <w:marTop w:val="0"/>
      <w:marBottom w:val="0"/>
      <w:divBdr>
        <w:top w:val="none" w:sz="0" w:space="0" w:color="auto"/>
        <w:left w:val="none" w:sz="0" w:space="0" w:color="auto"/>
        <w:bottom w:val="none" w:sz="0" w:space="0" w:color="auto"/>
        <w:right w:val="none" w:sz="0" w:space="0" w:color="auto"/>
      </w:divBdr>
    </w:div>
    <w:div w:id="1794791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45E584BC-F3B6-4988-BE23-F69702673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31</Pages>
  <Words>10457</Words>
  <Characters>43189</Characters>
  <Application>Microsoft Office Word</Application>
  <DocSecurity>0</DocSecurity>
  <Lines>526</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Holden, Christopher</cp:lastModifiedBy>
  <cp:revision>2</cp:revision>
  <dcterms:created xsi:type="dcterms:W3CDTF">2015-11-11T20:41:00Z</dcterms:created>
  <dcterms:modified xsi:type="dcterms:W3CDTF">2015-11-11T20:41:00Z</dcterms:modified>
</cp:coreProperties>
</file>